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3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5"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As of May 6, 2021 there were 27,888,217 shares of the Company’s common stock, $0.01 par value per share, issued and 26,524,288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201" w:lineRule="exact"/>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3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80" w:type="dxa"/>
            <w:vAlign w:val="bottom"/>
            <w:gridSpan w:val="9"/>
          </w:tcPr>
          <w:p>
            <w:pPr>
              <w:jc w:val="center"/>
              <w:ind w:right="2520"/>
              <w:spacing w:after="0" w:line="201" w:lineRule="exact"/>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980" w:type="dxa"/>
            <w:vAlign w:val="bottom"/>
            <w:gridSpan w:val="9"/>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Nine Months Ended March 31, 2021 and 2020</w:t>
              </w:r>
            </w:hyperlink>
          </w:p>
        </w:tc>
        <w:tc>
          <w:tcPr>
            <w:tcW w:w="380" w:type="dxa"/>
            <w:vAlign w:val="bottom"/>
            <w:gridSpan w:val="2"/>
          </w:tcPr>
          <w:p>
            <w:pPr>
              <w:jc w:val="center"/>
              <w:ind w:left="19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Comprehensive Income for the Three and Nine Months Ended March 31, 2021 and 2020</w:t>
              </w:r>
            </w:hyperlink>
          </w:p>
        </w:tc>
        <w:tc>
          <w:tcPr>
            <w:tcW w:w="380" w:type="dxa"/>
            <w:vAlign w:val="bottom"/>
            <w:gridSpan w:val="2"/>
          </w:tcPr>
          <w:p>
            <w:pPr>
              <w:jc w:val="center"/>
              <w:ind w:left="19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60" w:type="dxa"/>
            <w:vAlign w:val="bottom"/>
            <w:tcBorders>
              <w:top w:val="single" w:sz="8" w:color="0000FF"/>
            </w:tcBorders>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March 31, 2021 and June 30, 2020</w:t>
              </w:r>
            </w:hyperlink>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March 31, 2021 and 2020</w:t>
              </w:r>
            </w:hyperlink>
          </w:p>
        </w:tc>
        <w:tc>
          <w:tcPr>
            <w:tcW w:w="380" w:type="dxa"/>
            <w:vAlign w:val="bottom"/>
            <w:gridSpan w:val="2"/>
          </w:tcPr>
          <w:p>
            <w:pPr>
              <w:jc w:val="center"/>
              <w:ind w:left="191"/>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5"/>
          </w:tcPr>
          <w:p>
            <w:pPr>
              <w:spacing w:after="0"/>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Consolidated Statements of Changes in Stockholders’ Equity for the Three and Nine Months Ended March 31, 2021</w:t>
              </w:r>
            </w:hyperlink>
          </w:p>
        </w:tc>
        <w:tc>
          <w:tcPr>
            <w:tcW w:w="380" w:type="dxa"/>
            <w:vAlign w:val="bottom"/>
            <w:gridSpan w:val="2"/>
            <w:vMerge w:val="restart"/>
          </w:tcPr>
          <w:p>
            <w:pPr>
              <w:jc w:val="center"/>
              <w:ind w:left="191"/>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and 2020</w:t>
              </w:r>
            </w:hyperlink>
          </w:p>
        </w:tc>
        <w:tc>
          <w:tcPr>
            <w:tcW w:w="18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400" w:type="dxa"/>
            <w:vAlign w:val="bottom"/>
            <w:gridSpan w:val="8"/>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0"/>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2"/>
                <w:szCs w:val="22"/>
                <w:color w:val="auto"/>
              </w:rPr>
            </w:pP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w:t>
              </w:r>
            </w:hyperlink>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gridSpan w:val="9"/>
          </w:tcPr>
          <w:p>
            <w:pPr>
              <w:jc w:val="center"/>
              <w:ind w:right="252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3"/>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Legal Proceedings</w:t>
              </w:r>
            </w:hyperlink>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380" w:type="dxa"/>
            <w:vAlign w:val="bottom"/>
            <w:gridSpan w:val="2"/>
          </w:tcPr>
          <w:p>
            <w:pPr>
              <w:jc w:val="center"/>
              <w:ind w:left="11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7080" w:type="dxa"/>
            <w:vAlign w:val="bottom"/>
            <w:gridSpan w:val="10"/>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Other Information</w:t>
              </w:r>
            </w:hyperlink>
          </w:p>
        </w:tc>
        <w:tc>
          <w:tcPr>
            <w:tcW w:w="440" w:type="dxa"/>
            <w:vAlign w:val="bottom"/>
          </w:tcPr>
          <w:p>
            <w:pPr>
              <w:spacing w:after="0"/>
              <w:rPr>
                <w:sz w:val="22"/>
                <w:szCs w:val="22"/>
                <w:color w:val="auto"/>
              </w:rPr>
            </w:pPr>
          </w:p>
        </w:tc>
        <w:tc>
          <w:tcPr>
            <w:tcW w:w="7640" w:type="dxa"/>
            <w:vAlign w:val="bottom"/>
            <w:gridSpan w:val="11"/>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Exhibits</w:t>
              </w:r>
            </w:hyperlink>
          </w:p>
        </w:tc>
        <w:tc>
          <w:tcPr>
            <w:tcW w:w="720" w:type="dxa"/>
            <w:vAlign w:val="bottom"/>
            <w:gridSpan w:val="2"/>
          </w:tcPr>
          <w:p>
            <w:pPr>
              <w:spacing w:after="0"/>
              <w:rPr>
                <w:sz w:val="22"/>
                <w:szCs w:val="22"/>
                <w:color w:val="auto"/>
              </w:rPr>
            </w:pP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w:t>
              </w:r>
            </w:hyperlink>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5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2"/>
              <w:spacing w:after="0" w:line="13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2"/>
              <w:spacing w:after="0" w:line="135" w:lineRule="exact"/>
              <w:rPr>
                <w:sz w:val="20"/>
                <w:szCs w:val="20"/>
                <w:color w:val="auto"/>
              </w:rPr>
            </w:pPr>
            <w:r>
              <w:rPr>
                <w:rFonts w:ascii="Arial" w:cs="Arial" w:eastAsia="Arial" w:hAnsi="Arial"/>
                <w:sz w:val="14"/>
                <w:szCs w:val="14"/>
                <w:b w:val="1"/>
                <w:bCs w:val="1"/>
                <w:color w:val="auto"/>
              </w:rPr>
              <w:t>March 31,</w:t>
            </w:r>
          </w:p>
        </w:tc>
      </w:tr>
      <w:tr>
        <w:trPr>
          <w:trHeight w:val="188"/>
        </w:trPr>
        <w:tc>
          <w:tcPr>
            <w:tcW w:w="5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905,101</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822,158</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66,574</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 impairments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Loss before income tax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(29,057)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federal, state and foreign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Basic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26,781</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5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7"/>
              <w:spacing w:after="0" w:line="13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7"/>
              <w:spacing w:after="0" w:line="135"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Foreign currency translation gain (loss) (net of tax expense (benefit) of</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($33) and $20 for the three and nine months ended March 31, 2021,</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respectively, and ($51) and ($14) for the three and nine months ended</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2020,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(28,327)</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100,036</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Accounts receivable, less allowances (March 31, 2021—$856 and June 30, 2020—$905)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160,671</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6,460</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335,160</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and buildings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42,695</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Construction equipment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94,154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55,864</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Office equipment and 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39,356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236,496</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(155,748)</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Property, plant and equipment -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80,748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60,369</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r>
      <w:tr>
        <w:trPr>
          <w:trHeight w:val="21"/>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175,947</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Borrowings under senior secured revolving credit facility</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177,817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209,421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Common stock—$.01 par value; 60,000,000 shares authorized; 27,888,217 shares issued as of March 31, 2021</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and June 30, 2020; 26,519,217 and 26,141,528 shares outstanding as of March 31, 2021 and June 30, 2020</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136,042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138,966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337,274</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89"/>
              </w:rPr>
              <w:t>Less: Treasury stock, at cost — 1,369,000 shares as of March 31, 2021, and 1,746,689 shares as of June 30, 2020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307,889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517,310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March 31,</w:t>
            </w:r>
          </w:p>
        </w:tc>
      </w:tr>
      <w:tr>
        <w:trPr>
          <w:trHeight w:val="188"/>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(27,352)</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(used) by operating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14,388</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other intangible asset impairment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8,115</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impairment due to restructuring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Deferred income tax</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Other assets and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5,427</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(35,129)</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(5,060)</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(15,080)</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31,487</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(17,650)</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24"/>
        </w:trPr>
        <w:tc>
          <w:tcPr>
            <w:tcW w:w="85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(16,632)</w:t>
            </w:r>
          </w:p>
        </w:tc>
      </w:tr>
    </w:tbl>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Advances under senior secured revolving credit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principal portion of long-term liability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89,715</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87,503</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1,404</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198,774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4"/>
              </w:rPr>
              <w:t>(7,150)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304,289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(12,873)</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ind w:left="98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Exercise of stock options (9,000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(900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(6,785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Treasury shares purchased to satisfy tax withholding obligations (428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4"/>
              </w:rPr>
              <w:t>(7,082)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293,860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4"/>
              </w:rPr>
              <w:t>(7,622)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322,795</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(5,495)</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4"/>
              </w:rPr>
              <w:t>(1,104)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(4,650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(3,805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Open market purchase of treasury shares (547,606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(7,132)</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shares purchased to satisfy tax withholding obligations (1,608</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4"/>
              </w:rPr>
              <w:t>(8,726)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311,426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July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(20,501)</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Exercise of stock options (9,000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(515,218 shares)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(24,100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Treasury shares purchased to satisfy tax withholding obligations (170,629</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6,413</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293,860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July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(27,352)</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(539,710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(12,326 shares)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Open market purchase of treasury shares (1,047,606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(17,045)</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Treasury shares purchased to satisfy tax withholding obligations (180,278</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March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311,426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2020, included in the Company’s Annual Report on Form 10-K for the year then ended. The results of operations for the three and nine month periods ended March 31, 2021 may not necessarily be indicative of the results of operations for the full year ending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updated its significant accounting policies as a result of adopting the Financial Accounting Standards Board ("FASB") Accounting Standards Update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on July 1, 2020, and our change in reportable segments effective July 1, 2020. The Company's other significant accounting policies are detailed in “Note 1 - Summary of Significant Accounting Policies” of our Annual Report on Form 10-K for the year ended June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Credit Losses Standard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16, 2016, the FASB issued ASU 2016-13, Financial Instruments - Credit Losses (Topic 326), which changed how the Company accounts for credit losses, including those related to its accounts receivable and contract assets. Under this guidance, a financial asset (or a group of financial assets) are required to be presented at the net amount expected to be collected. The statement of income reflects any increases or decreases of expected credit losses that have taken place during the period.</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amendments in this update eliminate the probable initial recognition threshold and, instead, reflect the Company's current estimate of all lifetime expected credit losses on its accounts receivable and contract asset balances. The measurement of expected credit losses is based on relevant information about past events, including historical experience, current conditions, and reasonable and supportable forecasts that affect the collectibility of the reported amounts. The Company determines its allowance for credit losses by using a loss-rate methodology, in which it assesses historical write-offs against total receivables and contract asset balances over several periods. In addition, the Company places reserves on specific balances as needed based on the most recent estimates of collectibility. The Company's adoption of this standard on July 1, 2020 did not have a material impact on its estimate of the allowance for credit losses.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 Refer to Note 9 - Segment Information, and Part I, Item 2 - Management's Discussion and Analysis - Results of Operations,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$444.5 million of remaining performance obligations yet to be satisfied as of March 31, 2021. The Company expects to recognize $340.8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7"/>
              </w:rPr>
              <w:t>37,964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7"/>
              <w:spacing w:after="0"/>
              <w:rPr>
                <w:sz w:val="20"/>
                <w:szCs w:val="20"/>
                <w:color w:val="auto"/>
              </w:rPr>
            </w:pPr>
            <w:r>
              <w:rPr>
                <w:rFonts w:ascii="Arial" w:cs="Arial" w:eastAsia="Arial" w:hAnsi="Arial"/>
                <w:sz w:val="18"/>
                <w:szCs w:val="18"/>
                <w:color w:val="auto"/>
                <w:w w:val="92"/>
              </w:rPr>
              <w:t>(59,495)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92"/>
              </w:rPr>
              <w:t>(21,531)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the Company's CIE and BIE primarily results from the timing of revenue recognized relative to its billings. The amount of revenue recognized during the nine months ended March 31, 2021 that was included in the June 30, 2020 BIE balance was $57.9 million. This revenue consists primarily of work performed during the period on contracts with customers that had advance billings.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March 31, 2021 and June 30, 2020 included retentions to be collected within one year of $20.7 million and $37.3 million, respectively. Contract retentions collectible beyond one year are included in other assets in the Condensed Consolidated Balance Sheet and totaled $3.8 million as of March 31, 2021 and $1.6 million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8"/>
              <w:spacing w:after="0" w:line="135"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838,371</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58,506</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905,101</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color w:val="auto"/>
              </w:rPr>
              <w:t>Contract Type Disaggregation:</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4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58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8"/>
              <w:spacing w:after="0" w:line="135"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533,375</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371,726</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905,101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results of operations were materially impacted by an increase in the forecasted costs to complete a large capital project in the Utility and Power Infrastructure segment, which resulted in a decrease in gross profit of $8.9 million in the three and nine months ended March 31, 2021. The change in estimate was due to lower than previously forecasted productivity caused by excessive rain at the project site, the continuing impact of COVID-19, and rework which led to higher costs and some schedule compression. The profit on future revenue related to this project will be recognized based on the current project forecast, which is at a reduced gross profit margin.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the Company achieved mechanical completion of a large crude oil terminal project, demobilized from the project site and completed its assessment of additional recovery of unpriced change orders. The project's financial impact for the nine months ended March 31, 2021 was a $3.8 million reduction to gross profit.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Real estate leases accounted for approximately 95% of all right-of-use assets as of March 31, 2021. Most real estate and information technology equipment leases generally have fixed payments that follow an agreed upon payment schedule and have remaining lease terms ranging from less than a year to 15 years. Construction equipment leases generally have "month-to-month" lease terms that automatically renew as long as the equipment remains in use.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March 31, 2021, the Company recognized $0.5 million of impairments of right-of-use assets in connection with the closure of leased office space. The impairments are included in restructuring costs in the condensed consolidated statements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3340" w:type="dxa"/>
            <w:vAlign w:val="bottom"/>
            <w:gridSpan w:val="2"/>
          </w:tcPr>
          <w:p>
            <w:pPr>
              <w:ind w:left="840"/>
              <w:spacing w:after="0"/>
              <w:rPr>
                <w:sz w:val="20"/>
                <w:szCs w:val="20"/>
                <w:color w:val="auto"/>
              </w:rPr>
            </w:pPr>
            <w:r>
              <w:rPr>
                <w:rFonts w:ascii="Arial" w:cs="Arial" w:eastAsia="Arial" w:hAnsi="Arial"/>
                <w:sz w:val="18"/>
                <w:szCs w:val="18"/>
                <w:b w:val="1"/>
                <w:bCs w:val="1"/>
                <w:color w:val="auto"/>
              </w:rPr>
              <w:t>Location of Expense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Operating lease expense</w:t>
            </w:r>
          </w:p>
        </w:tc>
        <w:tc>
          <w:tcPr>
            <w:tcW w:w="12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Cost of revenue and selling, general and</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30,423</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48"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the Company's Condensed Consolidated Balance Sheets, were as follows:</w:t>
      </w: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Maturity Analysis:</w:t>
            </w:r>
          </w:p>
        </w:tc>
        <w:tc>
          <w:tcPr>
            <w:tcW w:w="240" w:type="dxa"/>
            <w:vAlign w:val="bottom"/>
          </w:tcPr>
          <w:p>
            <w:pPr>
              <w:spacing w:after="0"/>
              <w:rPr>
                <w:sz w:val="18"/>
                <w:szCs w:val="18"/>
                <w:color w:val="auto"/>
              </w:rPr>
            </w:pPr>
          </w:p>
        </w:tc>
        <w:tc>
          <w:tcPr>
            <w:tcW w:w="1520" w:type="dxa"/>
            <w:vAlign w:val="bottom"/>
          </w:tcPr>
          <w:p>
            <w:pPr>
              <w:jc w:val="right"/>
              <w:ind w:right="392"/>
              <w:spacing w:after="0"/>
              <w:rPr>
                <w:sz w:val="20"/>
                <w:szCs w:val="20"/>
                <w:color w:val="auto"/>
              </w:rPr>
            </w:pPr>
            <w:r>
              <w:rPr>
                <w:rFonts w:ascii="Arial" w:cs="Arial" w:eastAsia="Arial" w:hAnsi="Arial"/>
                <w:sz w:val="14"/>
                <w:szCs w:val="14"/>
                <w:color w:val="auto"/>
              </w:rPr>
              <w:t>(in thousands)</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6,123</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31,444</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11240" w:type="dxa"/>
            <w:vAlign w:val="bottom"/>
            <w:gridSpan w:val="3"/>
          </w:tcPr>
          <w:p>
            <w:pPr>
              <w:spacing w:after="0"/>
              <w:rPr>
                <w:sz w:val="20"/>
                <w:szCs w:val="20"/>
                <w:color w:val="auto"/>
              </w:rPr>
            </w:pPr>
            <w:r>
              <w:rPr>
                <w:rFonts w:ascii="Arial" w:cs="Arial" w:eastAsia="Arial" w:hAnsi="Arial"/>
                <w:sz w:val="18"/>
                <w:szCs w:val="18"/>
                <w:color w:val="auto"/>
                <w:w w:val="98"/>
              </w:rPr>
              <w:t>The following is a summary of the weighted average remaining operating lease term and weighted average discount rate as of March 31, 2021:</w:t>
            </w:r>
          </w:p>
        </w:tc>
      </w:tr>
      <w:tr>
        <w:trPr>
          <w:trHeight w:val="189"/>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years</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35"/>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5"/>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715"/>
        </w:trPr>
        <w:tc>
          <w:tcPr>
            <w:tcW w:w="5200" w:type="dxa"/>
            <w:vAlign w:val="bottom"/>
          </w:tcPr>
          <w:p>
            <w:pPr>
              <w:spacing w:after="0"/>
              <w:rPr>
                <w:sz w:val="20"/>
                <w:szCs w:val="20"/>
                <w:color w:val="auto"/>
              </w:rPr>
            </w:pPr>
            <w:r>
              <w:rPr>
                <w:rFonts w:ascii="Arial" w:cs="Arial" w:eastAsia="Arial" w:hAnsi="Arial"/>
                <w:sz w:val="18"/>
                <w:szCs w:val="18"/>
                <w:b w:val="1"/>
                <w:bCs w:val="1"/>
                <w:color w:val="auto"/>
              </w:rPr>
              <w:t>Note 4 – Intangible Assets Including 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color w:val="auto"/>
                <w:w w:val="91"/>
              </w:rPr>
              <w:t>The changes in the carrying value of goodwill by segment are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Storage and Terminal</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its goodwill for impairment annually as of May 31st. While there continues to be uncertainty around the near-term level of spending by some of our customers due to the impacts of the COVID-19 pandemic and the timing of the economic recovery in certain energy markets, the Company concluded, that based on the totality of both positive and negative factors, no impairment indicators existed at March 31, 2021. However, if customer spending levels do not improve or if the outlook in certain key markets deteriorates, the Company may need to recognize an impairment in conjunction with the annual test in the fourth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At March 31, 2021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$0.6 million and $1.7 million during the three and nine months ended March 31, 2021 and $0.8 million and $2.7 million during the three and nine months ended March 31, 2020,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March 31, 2021 amortizing intangible assets will be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1,817</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estimated remaining amortization expense at March 31, 2021</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r>
      <w:tr>
        <w:trPr>
          <w:trHeight w:val="20"/>
        </w:trPr>
        <w:tc>
          <w:tcPr>
            <w:tcW w:w="9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The Credit Agreement replaced the Fourth Amended and Restated Credit Agreement, which is described in Part II, Item 8. Financial Statements and Supplementary Data, Note 5 - Debt, in the Company’s Annual Report on Form 10-K for the year ended June 30, 2020.</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include the following:</w:t>
      </w:r>
    </w:p>
    <w:p>
      <w:pPr>
        <w:spacing w:after="0" w:line="252" w:lineRule="exact"/>
        <w:rPr>
          <w:sz w:val="20"/>
          <w:szCs w:val="20"/>
          <w:color w:val="auto"/>
        </w:rPr>
      </w:pPr>
    </w:p>
    <w:p>
      <w:pPr>
        <w:jc w:val="both"/>
        <w:ind w:left="1300" w:hanging="482"/>
        <w:spacing w:after="0" w:line="311" w:lineRule="auto"/>
        <w:tabs>
          <w:tab w:leader="none" w:pos="1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175" w:lineRule="exact"/>
        <w:rPr>
          <w:rFonts w:ascii="Arial" w:cs="Arial" w:eastAsia="Arial" w:hAnsi="Arial"/>
          <w:sz w:val="16"/>
          <w:szCs w:val="16"/>
          <w:color w:val="auto"/>
        </w:rPr>
      </w:pPr>
    </w:p>
    <w:p>
      <w:pPr>
        <w:ind w:left="1300" w:right="300" w:hanging="482"/>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60" w:right="20" w:hanging="494"/>
        <w:spacing w:after="0" w:line="277" w:lineRule="auto"/>
        <w:tabs>
          <w:tab w:leader="none" w:pos="1956"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borrowings are outstanding at quarter end, the FCCR is calculated the same except that all share repurchases for the previous four quarters are also deducted from Covenant EBITDA.</w:t>
      </w:r>
    </w:p>
    <w:p>
      <w:pPr>
        <w:spacing w:after="0" w:line="116" w:lineRule="exact"/>
        <w:rPr>
          <w:rFonts w:ascii="Arial" w:cs="Arial" w:eastAsia="Arial" w:hAnsi="Arial"/>
          <w:sz w:val="18"/>
          <w:szCs w:val="18"/>
          <w:color w:val="auto"/>
        </w:rPr>
      </w:pPr>
    </w:p>
    <w:p>
      <w:pPr>
        <w:jc w:val="both"/>
        <w:ind w:left="1300" w:hanging="482"/>
        <w:spacing w:after="0" w:line="263"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4, 2021, the Company entered into the First Amendment to Fifth Amended and Restated Credit Agreement (the “Amended Credit Agreement”), by and among the Company and certain foreign subsidiaries, as Borrowers, various subsidiaries of the Company, as Guarantors, JPMorgan Chase Bank, N.A., as Administrative Agent, and the other Lenders party thereto, which amended the Credit Agreement.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the Amended Credit Agreement to obtain temporary relief from the financial covenants due to the continued decline in operating results. Under the Amended Credit Agreement, the Company will not be required to comply with the Leverage Ratio and FCCR financial covenants for the quarters ending March 31, 2021, June 30, 2021, September 30, 2021 and December 31,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Amended Credit Agreement adds a number of new requirements and restrictions. During a “Covenant Relief Period” commencing May 4, 2021 and ending on the date on which the Company provides a compliance certificate for the quarter ending March 31, 2022:</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revolving loans will be made under the credit facility.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new letters of credit are issued during the Covenant Relief Period, the Company will be required to provide cash collateral equal to 50% of the face value of the letter of credit (or 105% of the face value of the letter of credit if the aggregate amount of letters of credit outstanding exceeds $100 million).</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all times prior to July 1, 2021, the Company will be required to maintain at least $50.0 million of unrestricted cash. Beginning July 1, 2021, and at all times during the remainder of the Covenant Relief Period, the Company will be required to maintain at least $60.0 million of unrestricted cash. The requirement to maintain unrestricted cash is in addition to any cash which would be required as collateral for any new letters of credit.</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stock repurchases under the Company’s existing stock buyback program and cash dividends are prohibited.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may not exceed $2.0 million in any fiscal quarter.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provisions, the Amended Credit Agreement requires the Company to generate Covenant EBITDA of at least:</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 million for the fiscal quarter ending June 30,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$8.0 million for the six months ending September 30, 2021;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$16.5 million for the nine months ending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$41.4 million in letters of credit issued under the credit facility and no borrowings.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tax rates for the three and nine months ended March 31, 2021 were 28.2% and 22.6%, respectively; compared to 16.9% and 5.9% for the three and nine months ended March 31, 2020, respectively. Based on the third quarter and full year projected operating results for fiscal 2021, the Company, through provisions in the Coronavirus Aid, Relief, and Economic Security Act (the "CARES Act"), has an income tax benefit from the ability to carryback the fiscal 2021 federal net operating loss five years. $3.2 million of this benefit impacts the effective rate for the third quarter and is a result of the statutory federal income tax rate differential between the current and carryback years. The effective rate during the quarter was negatively impacted by $1.9 million of valuation allowances on certain deferred tax assets. In prior quarters this fiscal year, the Company recorded $1.2 million of other discrete deferred tax asset adjustments, which negatively impacted the effective rate for the nine months ended March 31, 2021. The Company estimates that it will receive a $7.8 million tax refund in connection with the carryback of the projected fiscal 2021 net operating loss, which is included in income taxes receivable in the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deferred $11.1 million of U.S. payroll tax as of March 31, 2021 through provisions of CARES Act. The deferred payroll taxes are included within other accrued expenses and other liabilities in the consolidated balance sheets. The Company must repay half of the deferred payroll tax by December 31, 2021 and the remainder by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$16.6 million at March 31, 2021 and $14.5 million at June 30, 2020.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2020, the Company commenced litigation in an effort to collect accounts receivable from an iron and steel customer following the deterioration of the relationship in the second quarter of fiscal 2020. The unpaid receivable balance at March 31, 2021 was $17.0 million. Litigation is unpredictable, however, based on the terms of the contract with this customer, the Company is entitled to collect the full amount owed under the contract.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other known legal actions, including a contract dispute with a customer involving the construction of a crude terminal, will have a material impact on the Company’s financial position,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5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8"/>
              <w:spacing w:after="0" w:line="13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March 31,</w:t>
            </w:r>
          </w:p>
        </w:tc>
      </w:tr>
      <w:tr>
        <w:trPr>
          <w:trHeight w:val="188"/>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63"/>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220"/>
              <w:spacing w:after="0"/>
              <w:rPr>
                <w:sz w:val="20"/>
                <w:szCs w:val="20"/>
                <w:color w:val="auto"/>
              </w:rPr>
            </w:pPr>
            <w:r>
              <w:rPr>
                <w:rFonts w:ascii="Arial" w:cs="Arial" w:eastAsia="Arial" w:hAnsi="Arial"/>
                <w:sz w:val="13"/>
                <w:szCs w:val="13"/>
                <w:color w:val="auto"/>
              </w:rPr>
              <w:t>(In thousands, except per share data)</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26,422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26,422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3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318"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LNG utility peak shaving facilities.</w:t>
      </w:r>
    </w:p>
    <w:p>
      <w:pPr>
        <w:spacing w:after="0" w:line="210"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b w:val="1"/>
          <w:bCs w:val="1"/>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47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44,720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55,670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157,414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152,552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375,518</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382,720</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gross revenue</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910,790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inter-segment revenue</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152,552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372,730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379,819</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consolidated revenue</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905,101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52,675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gross profit</w:t>
            </w:r>
          </w:p>
        </w:tc>
        <w:tc>
          <w:tcPr>
            <w:tcW w:w="8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82,943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19,942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Intangible asset impairments and restructuring costs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25,835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asset impairments and restructuring costs</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(31,582)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31,912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(22,165)</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operating loss</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780" w:type="dxa"/>
            <w:vAlign w:val="bottom"/>
          </w:tcPr>
          <w:p>
            <w:pPr>
              <w:spacing w:after="0"/>
              <w:rPr>
                <w:sz w:val="24"/>
                <w:szCs w:val="24"/>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138,734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124,011</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2020, the Company initiated a business improvement plan to increase profitability and reduce its cost structure related to:</w:t>
      </w:r>
    </w:p>
    <w:p>
      <w:pPr>
        <w:spacing w:after="0" w:line="1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strategic initiative to exit the domestic iron and steel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implementation of business improvements in the power delivery portion of the Utility and Power Infrastructure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decline in revenue caused by the ongoing effects of the COVID-19 pandemic and related market disruptions.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improvement plan consists of discretionary cost reductions, workforce reductions, reduction of capital expenditures and the reduction in size or closure of certain offices in order to increase the utilization of the Company's staff and bring the cost structure of the business in line with revenue volumes. The Company incurred $14.0 million of restructuring costs during fiscal 2020 and $6.6 million during the nine months ended March 31, 2021. The restructuring costs consist primarily of severance costs, facility closure costs, intangible asset impairments and other liabilities as a result of exiting certain operations. The Company will continue to assess whether further reductions in its cost structure are necessary and may incur additional restructuring costs in the near-term.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60" w:type="dxa"/>
            <w:vAlign w:val="bottom"/>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2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Since Inception of</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restart"/>
          </w:tcPr>
          <w:p>
            <w:pPr>
              <w:jc w:val="center"/>
              <w:ind w:right="12"/>
              <w:spacing w:after="0" w:line="135"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5"/>
                <w:szCs w:val="5"/>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Improvement Plan</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Process and Industrial Facilities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Storage and Terminal Solutions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 costs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Corporate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Total restructuring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restructuring reserve is included in other accrued expenses and other liabilities in the condensed consolidated balance sheets. The table below is a reconciliation of the beginning and ending restructuring reserve balance under the business improvement plan (in thousands):</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 to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March 31, 2021</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3,510</w:t>
            </w:r>
          </w:p>
        </w:tc>
      </w:tr>
      <w:tr>
        <w:trPr>
          <w:trHeight w:val="229"/>
        </w:trPr>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(3,143)</w:t>
            </w:r>
          </w:p>
        </w:tc>
      </w:tr>
      <w:tr>
        <w:trPr>
          <w:trHeight w:val="230"/>
        </w:trPr>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125"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2020 Annual Report on Form 10-K filed with the SEC. For more information on our critical accounting policies, see Part II, Item 7 of our fiscal 2020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$16.6 million at March 31, 2021 and $14.5 million at June 30, 2020.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perform our annual impairment test as of May 31st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are evaluated for impairment in accordance with our policy for impairment of long-lived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course of the COVID-19 pandemic, the Company's top priority has been to maintain a safe working environment for all field and office employees, customers and business partners. While North America has seen a significant reduction in infection rates and an equally significant increase in vaccine availability, our project teams, in coordination with our clients, continue to operate under enhanced work processes to protect the health and safety of everyone on our job sites.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in direct response to market conditions, many of which are a result of COVID-19’s impact on energy demand, over the last year, the Company has reduced its cost structure in excess of $60 million, or approximately 25%, with a third of those reductions related to SG&amp;A and the rest related to construction overhead, which is included in cost of revenue in the income statement. In order to achieve these cost savings, the Company incurred $14.0 million of restructuring costs during fiscal 2020 and $6.6 million during the nine months ended March 31, 2021. Despite these significant reductions in construction overhead, our third quarter revenue did not allow for complete recovery of overhead, which reduces gross margin. Based on our opportunity pipeline and the strengthening market, we believe our current adjusted overhead levels are appropriate. While the Company will continue to manage its cost structure, we are also focused on rebuilding our backlog and restoring revenue volume to more normalized levels.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more clearly depict the core profitability of the Company, the following table presents our net income (loss) and earnings (loss) per fully diluted share for the three and nine months ended March 31, 2021 and 2020 after adjusting for restructuring costs, impairments and the tax impacts of these adjustments and other net tax items: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(Loss) and Diluted Earnings (Loss) per Common Share</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5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March 31, 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March 31, 2020</w:t>
            </w:r>
          </w:p>
        </w:tc>
      </w:tr>
      <w:tr>
        <w:trPr>
          <w:trHeight w:val="224"/>
        </w:trPr>
        <w:tc>
          <w:tcPr>
            <w:tcW w:w="56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(27,352)</w:t>
            </w:r>
          </w:p>
        </w:tc>
      </w:tr>
      <w:tr>
        <w:trPr>
          <w:trHeight w:val="229"/>
        </w:trPr>
        <w:tc>
          <w:tcPr>
            <w:tcW w:w="40" w:type="dxa"/>
            <w:vAlign w:val="bottom"/>
          </w:tcPr>
          <w:p>
            <w:pPr>
              <w:spacing w:after="0"/>
              <w:rPr>
                <w:sz w:val="19"/>
                <w:szCs w:val="19"/>
                <w:color w:val="auto"/>
              </w:rPr>
            </w:pPr>
          </w:p>
        </w:tc>
        <w:tc>
          <w:tcPr>
            <w:tcW w:w="5560" w:type="dxa"/>
            <w:vAlign w:val="bottom"/>
            <w:gridSpan w:val="2"/>
          </w:tcPr>
          <w:p>
            <w:pPr>
              <w:ind w:left="320"/>
              <w:spacing w:after="0"/>
              <w:rPr>
                <w:sz w:val="20"/>
                <w:szCs w:val="20"/>
                <w:color w:val="auto"/>
              </w:rPr>
            </w:pPr>
            <w:r>
              <w:rPr>
                <w:rFonts w:ascii="Arial" w:cs="Arial" w:eastAsia="Arial" w:hAnsi="Arial"/>
                <w:sz w:val="18"/>
                <w:szCs w:val="18"/>
                <w:color w:val="auto"/>
              </w:rPr>
              <w:t>Restructuring costs incurred</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6,559</w:t>
            </w:r>
          </w:p>
        </w:tc>
      </w:tr>
      <w:tr>
        <w:trPr>
          <w:trHeight w:val="230"/>
        </w:trPr>
        <w:tc>
          <w:tcPr>
            <w:tcW w:w="4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Goodwill and intangible asset impairments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4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Tax impact of adjustments and other net tax items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r>
      <w:tr>
        <w:trPr>
          <w:trHeight w:val="248"/>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5"/>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per fully diluted share, as reported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Adjusted earnings (loss) per fully diluted share</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89" w:lineRule="exact"/>
        <w:rPr>
          <w:sz w:val="20"/>
          <w:szCs w:val="20"/>
          <w:color w:val="auto"/>
        </w:rPr>
      </w:pPr>
    </w:p>
    <w:p>
      <w:pPr>
        <w:jc w:val="both"/>
        <w:ind w:left="580" w:hanging="329"/>
        <w:spacing w:after="0" w:line="247" w:lineRule="auto"/>
        <w:tabs>
          <w:tab w:leader="none" w:pos="5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table presents non-GAAP financial measures of our adjusted net income (loss) and adjusted diluted earnings (loss) per common share for the three and nine months ended March 31, 2021 and 2020. The most directly comparable GAAP financial measures are net loss and diluted loss per common share, respectively, presented in the condensed consolidated statements of income. We have presented these non-GAAP financial measures because we believe they more clearly depict the core operating results of the Company during the periods presented and provide a more comparable measure of the Company's operating results to other companies considered to be in similar businesses. Since adjusted net income (loss) and adjusted diluted earnings (loss) per common share are not measures of performance calculated in accordance with GAAP, they should be considered in addition to, rather than as a substitute for, the most directly comparable GAAP financial measures.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changing markets facing our clients and to better align the financial reporting of the Company with our long-term strategic growth areas, we began reporting our financial results under new reportable segments effective July 1, 2020. The new reportable segments along with a description of each are as follows:</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The Company also provides construction and maintenance services to a variety of power generation facilities, including gas fired facilities in simple or combined cycle configuration, and provides engineering, fabrication, and construction services for liquefied natural gas LNG utility peak shaving facilities.</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The Company also serves customers in various other industries such as petrochemical, sulfur, mining and minerals companies engaged primarily in the extraction of non-ferrous metals, aerospace and defense, cement, agriculture, and other industrial customers. The Company's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Storage and Terminal Solutions</w:t>
      </w:r>
      <w:r>
        <w:rPr>
          <w:rFonts w:ascii="Arial" w:cs="Arial" w:eastAsia="Arial" w:hAnsi="Arial"/>
          <w:sz w:val="18"/>
          <w:szCs w:val="18"/>
          <w:color w:val="auto"/>
        </w:rPr>
        <w:t>: consists of work related to aboveground storage tanks and terminals. Also included in this segment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cryogenic and other specialty storage tanks and terminals, including LNG, liquid nitrogen/liquid oxygen, liquid petroleum, hydrogen and other specialty vessels such as spheres, as well as marine structures and truck and rail loading/offloading facilities. The Company's services include engineering, fabrication, construction, and maintenance and repair, which includes planned and emergency services for both tanks and full terminals. Finally, the Company offers tank products, including geodesic domes, aluminum internal floating roofs, floating suction and skimmer systems, roof drain systems and floating roof seals.</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prior period segment information has been restated to conform with our new reportable segments. In addition, beginning July 1, 2020, the Company is reporting separately corporate selling, general and administrative expenses and other corporate expenses that were previously allocated to the segments.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evaluates performance and allocates resources based on operating income. Intersegment sales and transfers are recorded at cost; therefore, no intercompany profit or loss is recognized.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112" w:lineRule="exact"/>
        <w:rPr>
          <w:sz w:val="20"/>
          <w:szCs w:val="20"/>
          <w:color w:val="auto"/>
        </w:rPr>
      </w:pPr>
    </w:p>
    <w:p>
      <w:pPr>
        <w:ind w:right="4100"/>
        <w:spacing w:after="0" w:line="440" w:lineRule="auto"/>
        <w:rPr>
          <w:sz w:val="20"/>
          <w:szCs w:val="20"/>
          <w:color w:val="auto"/>
        </w:rPr>
      </w:pPr>
      <w:r>
        <w:rPr>
          <w:rFonts w:ascii="Arial" w:cs="Arial" w:eastAsia="Arial" w:hAnsi="Arial"/>
          <w:sz w:val="18"/>
          <w:szCs w:val="18"/>
          <w:b w:val="1"/>
          <w:bCs w:val="1"/>
          <w:color w:val="auto"/>
        </w:rPr>
        <w:t xml:space="preserve">Three Months Ended March 31, 2021 Compared to the Three Months Ended March 31, 2020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revenue was $148.3 million for the three months ended March 31, 2021, compared to $248.3 million in the same period in the prior fiscal year. On a segment basis, revenue decreased for the Storage and Terminal Solutions, Process and Industrial Facilities, and Utility and Power Infrastructure segments by $57.0 million, $32.1 million, and $10.9 million, respectively.</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Consolidated gross profit decreased to $1.6 million in the three months ended March 31, 2021 compared to $20.5 million in the same period in the prior fiscal year. Gross margin decreased to 1.1% in the three months ended March 31, 2021 compared to 8.2% in the same period in the prior fiscal year. Gross margins in fiscal 2021 were largely impacted negatively by lower than forecasted volumes, which led to under recovery of construction overhead costs as well as a lower than previously forecasted margin on a large capital project in the Utility and Power Infrastructure segment. These negative impacts were partially offset by increases in estimated recoveries on other completed capital projects.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$17.2 million in the three months ended March 31, 2021 compared to $19.7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implemented cost reductions.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actions taken to reduce the cost structure of the Company, we recorded $1.9 million of restructuring costs in the three months ended March 31, 2021. See "Operational Update" in this Results of Operations section and Item 1. Financial Statements, Note 10 - Restructuring Costs, for more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was $0.3 million in the three months ended March 31, 2021 compared to $0.4 million in the three months ended March 31, 2020. The decrease resulted from the Company's repayment of outstanding borrowings in the previous quarter. Interest income was less than $0.1 million in the three months ended March 31, 2021 compared to $0.4 million in the same period a year ago primarily due to lower interest rates in the current period.</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effective tax rates for the three months ended March 31, 2021 and March 31, 2020 were 28.2% and 16.9%, respectively. Based on the third quarter and full year projected operating results for fiscal 2021, the Company, through provisions in the Coronavirus Aid, Relief, and Economic Security Act (the "CARES Act"), has an income tax benefit from the ability to carryback the fiscal 2021 federal net operating loss five years. $3.2 million of this benefit impacts the effective rate for the third quarter and is a result of the statutory federal income tax rate differential between the current and carryback years. The effective rate during the quarter was negatively impacted by $1.9 million of valuation allowances on certain deferred tax assets.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we had a net loss of $12.9 million, or $0.49 per fully diluted share, compared to a net loss of $5.5 million, or $0.21 per fully diluted share, in the three months ended March 31, 2020. For the three months ended March 31, 2021, the adjusted net loss was $11.5 million, or $0.43 per fully diluted share, compared to an adjusted net loss of $0.4 million, or $0.02 per fully diluted share, in the three months ended March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the Utility and Power Infrastructure segment was $44.7 million in the three months ended March 31, 2021 compared to $55.7 million in the same period a year earlier. The decrease is due to lower volumes of power generation and power delivery work.</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segment gross margin (loss) was (10.5)% in fiscal 2021 compared to 5.6% in fiscal 2020. The fiscal 2021 segment gross margin was negatively impacted by an increase in the forecasted costs to complete a large capital project, which resulted in a decrease in gross profit of $8.9 million. The change in estimate was due to lower than previously forecasted productivity caused by excessive rain at the project site, the continuing impact of COVID-19, and rework which led to higher costs and some schedule compression. The profit on future revenue related to this project will be recognized based on the current project forecast, which is at a reduced gross profit margin, but near our expected range for the segment. In addition, segment gross margin was negatively impacted by low volumes, which led to the under recovery of construction overhead costs. These negative impacts were partially offset by good project execution in the remainder of the segment.</w:t>
      </w:r>
    </w:p>
    <w:p>
      <w:pPr>
        <w:spacing w:after="0" w:line="1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Fiscal 2020 segment gross margin was negatively impacted by lower volumes, which led to the under recovery of construction overhead costs, and a lower than previously expected margin on a capital project due to costs to remediate faulty equipment designed by a subcontractor.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Process and Industrial Facilities segment was $42.8 million in the three months ended March 31, 2021 compared to $75.0 million in the same period a year earlier. The decrease is primarily due to lower volumes of midstream gas and refinery capital projects. The decrease was also attributable to the completion of our remaining iron and steel projects in the third quarter of fiscal 2020 after our strategic exit from the business in the same period.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segment gross margin was (0.4)% for the three months ended March 31, 2021 compared to 4.1% in the same period last year. Project execution generally met our expectations in the current quarter, however, segment gross margin was negatively impacted by low volumes, which led to the under recovery of construction overhead costs, and an adjustment related to the Company's assessment of the amount due on a completed project.</w:t>
      </w:r>
    </w:p>
    <w:p>
      <w:pPr>
        <w:spacing w:after="0" w:line="111" w:lineRule="exact"/>
        <w:rPr>
          <w:sz w:val="20"/>
          <w:szCs w:val="20"/>
          <w:color w:val="auto"/>
        </w:rPr>
      </w:pPr>
    </w:p>
    <w:p>
      <w:pPr>
        <w:ind w:right="1100"/>
        <w:spacing w:after="0" w:line="438" w:lineRule="auto"/>
        <w:rPr>
          <w:sz w:val="20"/>
          <w:szCs w:val="20"/>
          <w:color w:val="auto"/>
        </w:rPr>
      </w:pPr>
      <w:r>
        <w:rPr>
          <w:rFonts w:ascii="Arial" w:cs="Arial" w:eastAsia="Arial" w:hAnsi="Arial"/>
          <w:sz w:val="18"/>
          <w:szCs w:val="18"/>
          <w:color w:val="auto"/>
        </w:rPr>
        <w:t xml:space="preserve">Fiscal 2020 segment gross margin was negatively impacted by low volumes, which led to the under recovery of construction overhead costs. </w:t>
      </w:r>
      <w:r>
        <w:rPr>
          <w:rFonts w:ascii="Arial" w:cs="Arial" w:eastAsia="Arial" w:hAnsi="Arial"/>
          <w:sz w:val="18"/>
          <w:szCs w:val="18"/>
          <w:b w:val="1"/>
          <w:bCs w:val="1"/>
          <w:i w:val="1"/>
          <w:iCs w:val="1"/>
          <w:color w:val="auto"/>
        </w:rPr>
        <w:t>Storage and Terminal Solutions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for the Storage and Terminal Solutions segment was $60.7 million in the three months ended March 31, 2021 compared to $117.7 million in the same period a year earlier. The decrease in segment revenue is primarily a result of lower volumes of crude oil tank and terminal capital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gross margins were 10.6% and 12.7% in the three months ended March 31, 2021 and March 31, 2020, respectively. The fiscal 2021 segment gross margin was positively impacted by additional estimated recoveries of unpriced change orders on a large crude oil terminal project following the achievement of mechanical completion and demobilization from the project site. The project's financial impact for the three months ended March 31, 2021 was a $3.9 million increase to gross profit. The benefit of this adjustment was partially offset by the under recovery of construction overhead costs caused by lower revenue volumes.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2020 segment gross margin was positively impacted by strong project execution on large capital projects and higher volumes than fiscal 2021, which led to better recovery of construction overhead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Unallocated corporate expenses were $6.2 million during the three months ended March 31, 2021 compared to $7.5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cost reductions we implemented.</w:t>
      </w:r>
    </w:p>
    <w:p>
      <w:pPr>
        <w:spacing w:after="0" w:line="153"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 xml:space="preserve">Nine Months Ended March 31, 2021 Compared to the Nine Months Ended March 31, 2020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Consolidated revenue was $498.5 million for the nine months ended March 31, 2021, compared to $905.1 million in the same period in the prior fiscal year. On a segment basis, revenue decreased for the Process and Industrial Facilities and Storage and Terminal Solutions segments by $232.7 million, and $178.8 million, respectively. These decreases were partially offset by an increase in the Utility and Power Infrastructure segment of $4.9 million.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gross profit decreased to $31.2 million in the nine months ended March 31, 2021 compared to $82.9 million in the same period in the prior fiscal year. Gross margin decreased to 6.3% in the nine months ended March 31, 2021 compared to 9.2% in the same period in the prior fiscal year. Gross margins in fiscal 2021 were negatively impacted by lower than forecasted volumes, which led to under recovery of construction overhead costs as well as a lower than previously forecasted margin on a large capital project in the Utility and Power Infrastructure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$52.0 million in the nine months ended March 31, 2021 compared to $66.6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implemented cost reductions.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actions taken to reduce the cost structure of the Company, we recorded $6.6 million of restructuring costs in the nine months ended March 31, 2021. See "Operational Update" in this Results of Operations section and Item 1. Financial Statements, Note 10 - Restructuring Costs, for more information.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$1.1 million in the nine months ended March 31, 2021 compared to $1.2 million in the nine months ended March 31, 2020. The decrease is primarily due to a lower average debt balance in fiscal 2021. Interest income was $0.1 million in the nine months ended March 31, 2021 compared to $1.2 million in the same period a year ago primarily due to lower interest rates in the current period.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rates for the nine months ended March 31, 2021 and March 31, 2020 were 22.6% and 5.9%, respectively. Based on the third quarter and full year projected operating results for fiscal 2021, the Company, through provisions in the CARES Act, has an income tax benefit from the ability to carryback the fiscal 2021 federal net operating loss five years. $3.2 million of this benefit impacts the effective rate for the third quarter and is a result of the statutory federal income tax rate differential between the current and carryback years. The effective rate during the quarter was negatively impacted by $1.9 million of valuation allowances on certain deferred tax assets. In prior quarters this fiscal year, the Company recorded $1.2 million of other discrete deferred tax asset adjustments, which negatively impacted the effective rate for the nine months ended March 31, 2021.</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2021, we had a net loss of $20.5 million, or $0.78 per fully diluted share, compared to a net loss of $27.4 million, or $1.02 per fully diluted share, in the nine months ended March 31, 2020. For the nine months ended March 31, 2021, the adjusted net loss was $15.6 million, or $0.59 per fully diluted share, compared to adjusted net income of $11.0 million, or $0.40 per fully diluted share, in the nine months ended March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$157.4 million in the nine months ended March 31, 2021 compared to $152.6 million in the same period a year earlier. The increase is due to a higher volume of LNG utility peak shaving work, partially offset by lower volumes of power delivery and power generation work.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segment gross margin was 5.0% in fiscal 2021 compared to 1.1% in fiscal 2020. The fiscal 2021 segment gross margin was negatively impacted by an increase in the forecasted costs to complete a large capital project, which resulted in a decrease in gross profit of $8.9 million during the quarter. The change in estimate was due to lower than previously forecasted productivity caused by excessive rain at the project site, the continuing impact of COVID-19, and rework which led to higher costs and some schedule compression. The profit on future revenue related to this project will be recognized based on the current project forecast, which is at a reduced gross profit margin, but near our expected range for the segment. In addition, segment gross margin was negatively impacted by low volumes, which led to the under recovery of construction overhead costs. These negative impacts were partially offset by good project execution in the remainder of the segment.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fiscal 2020 segment gross margin was negatively impacted by poor execution in the first and second quarters, including a lower than previously expected margin on a capital project due to costs to remediate faulty equipment designed by a subcontractor. In addition, low volumes led to the under recovery of construction overhead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Process and Industrial Facilities segment was $140.0 million in the nine months ended March 31, 2021 compared to $372.7 million in the same period a year earlier. The decrease is primarily due to our strategic exit from the domestic iron and steel industry in the third quarter of fiscal 2020, lower volumes of midstream gas projects, the completion of a major capital project, and reduced refinery turnaround and maintenance work during the first and second quarters.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segment gross margin was 8.1% for the nine months ended March 31, 2021 compared to 8.2% in the same period last year. Segment gross margin in fiscal 2021 was positively impacted by strong project execution and the positive impact of a one-time workers' compensation item recorded in the second quarter, but these positive impacts were partially offset by lower revenue volumes, which led to the under recovery of construction overhead costs.</w:t>
      </w:r>
    </w:p>
    <w:p>
      <w:pPr>
        <w:spacing w:after="0" w:line="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fiscal 2020 segment gross margin was supported by good project execution on both capital and repair and maintenance iron and steel projects in the first and second quarters, partially offset by a lower volume of turnaround work, which led to the under recovery of construction overhead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Storage and Terminal Solutions segment was $201.1 million in the nine months ended March 31, 2021 compared to $379.8 million in the same period a year earlier. The decrease in segment revenue is primarily a result of lower volumes of crude oil tank and terminal capital work and lower repair and maintenance work.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segment gross margin was 6.0% in the nine months ended March 31, 2021 compared to 13.9% in the same period last year. The fiscal 2021 segment gross margin was negatively impacted by increases in the costs to complete a large crude oil terminal project, partially offset by an increase in the estimated recovery of those costs. During the third quarter, the Company achieved mechanical completion on the project, demobilized and completed its assessment of unpriced change orders. The project's financial impact for the nine months ended March 31, 2021 was a $3.8 million reduction to gross profit. In addition, fiscal 2021 gross margin was negatively impacted by low volumes, which led to the under recovery of construction overhead costs.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2020 segment gross margin was positively impacted by strong project execution on large capital projects and higher volumes than fiscal 2021, which led to better recovery of construction overhead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Unallocated corporate expenses were $20.2 million during the nine months ended March 31, 2021 compared to $22.2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cost reductions we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622,773</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138,043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adjustment</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(148,260)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538,337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110490</wp:posOffset>
            </wp:positionV>
            <wp:extent cx="7969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57" w:lineRule="exact"/>
        <w:rPr>
          <w:sz w:val="20"/>
          <w:szCs w:val="20"/>
          <w:color w:val="auto"/>
        </w:rPr>
      </w:pPr>
    </w:p>
    <w:p>
      <w:pPr>
        <w:ind w:left="580" w:hanging="329"/>
        <w:spacing w:after="0" w:line="250" w:lineRule="auto"/>
        <w:tabs>
          <w:tab w:leader="none" w:pos="5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other adjustment in the Storage and Terminal Solutions segment was due to a customer's decision not to renew our existing LNTP for a storage tank capital project. The Company was paid for all work performed on the project and has been invited to rebid the project when the customer makes the final investment decision.</w:t>
      </w:r>
    </w:p>
    <w:p>
      <w:pPr>
        <w:ind w:left="560" w:hanging="309"/>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758,465</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352,590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adjustment</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(498,499)</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538,337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110490</wp:posOffset>
            </wp:positionV>
            <wp:extent cx="7969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57" w:lineRule="exact"/>
        <w:rPr>
          <w:sz w:val="20"/>
          <w:szCs w:val="20"/>
          <w:color w:val="auto"/>
        </w:rPr>
      </w:pPr>
    </w:p>
    <w:p>
      <w:pPr>
        <w:ind w:left="580" w:hanging="329"/>
        <w:spacing w:after="0" w:line="250" w:lineRule="auto"/>
        <w:tabs>
          <w:tab w:leader="none" w:pos="5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other adjustment in the Storage and Terminal Solutions segment was due to a customer's decision not to renew our existing LNTP for a storage tank capital project. The Company was paid for all work performed on the project and has been invited to rebid the project when the customer makes the final investment decision.</w:t>
      </w:r>
    </w:p>
    <w:p>
      <w:pPr>
        <w:ind w:left="560" w:hanging="309"/>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impact of the COVID-19 pandemic and the resulting disruption to energy and industrial markets, some of our customers continue to be conservative with their spending levels.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Utility and Power Infrastructure segment, performance in the power delivery business continues to be strong on lower revenue. Bidding activity is strong and we expect project awards to improve. Similarly, our opportunity pipeline for LNG peak shaving projects is building, however those awards, while significant, can be less frequent. During the third quarter of fiscal 2021, we received a key contract for an upgrade of an LNG peak shaving facility. We are optimistic that the priorities of the new Biden Administration will lead to increased opportunities in this segment.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Process and Industrial Facilities segment, the short-term impact of the global pandemic on the Company's refinery maintenance operations has moderated. We saw an increase in demand for refinery and maintenance work on existing long-term maintenance contracts with certain customers. However, other customers continue to delay or reduce discretionary maintenance and capital spending. In addition, we continue to see strong demand for thermal vacuum chambers, as well as increasing opportunities in mining and minerals and chemicals. The larger midstream gas projects continue to be limited, but we are seeing some activity in smaller capital work.</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Storage and Terminal Solutions segment, we have seen deferrals in award dates and lengthening award cycles as a result of the COVID-19 pandemic and its disruption of global energy demand. Opportunities in crude oil tanks and terminals are limited. However, this segment also includes a strong funnel of opportunities in North America, Central America and the Caribbean for storage infrastructure projects related to natural gas, LNG, ammonia, hydrogen, NGLs and other forms of renewable energy that support clean energy investments, President Biden priorities, and chemical feed stocks.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volumes usually leads to over or under recovery of fixed overhead costs, which can have a material impact on our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presented Adjusted EBITDA, which we define as net loss before impairment of goodwill and other intangible assets, restructuring costs,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12" w:lineRule="exact"/>
        <w:rPr>
          <w:sz w:val="20"/>
          <w:szCs w:val="20"/>
          <w:color w:val="auto"/>
        </w:rPr>
      </w:pPr>
    </w:p>
    <w:p>
      <w:pPr>
        <w:ind w:left="980" w:right="180" w:hanging="324"/>
        <w:spacing w:after="0" w:line="259"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impairments to goodwill and other intangible assets. While impairments to intangible assets are non-cash expenses in the period recognized, cash or other consideration was still transferred in exchange for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3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by the company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80" w:hanging="324"/>
        <w:spacing w:after="0" w:line="311"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4"/>
              <w:spacing w:after="0" w:line="135" w:lineRule="exact"/>
              <w:rPr>
                <w:sz w:val="20"/>
                <w:szCs w:val="20"/>
                <w:color w:val="auto"/>
              </w:rPr>
            </w:pPr>
            <w:r>
              <w:rPr>
                <w:rFonts w:ascii="Arial" w:cs="Arial" w:eastAsia="Arial" w:hAnsi="Arial"/>
                <w:sz w:val="14"/>
                <w:szCs w:val="14"/>
                <w:b w:val="1"/>
                <w:bCs w:val="1"/>
                <w:color w:val="auto"/>
              </w:rPr>
              <w:t>March 31,</w:t>
            </w:r>
          </w:p>
        </w:tc>
      </w:tr>
      <w:tr>
        <w:trPr>
          <w:trHeight w:val="188"/>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3"/>
        </w:trPr>
        <w:tc>
          <w:tcPr>
            <w:tcW w:w="5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Goodwill and other intangible asset impairment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38,515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as of March 31, 2021 were cash and cash equivalents of $73.8 million and cash flows from operations. Due to the financial results of the Company, we are currently unable to obtain revolving loans under our credit facility and are subject to other restrictions as discussed below under the caption "Senior Secured Revolving Credit Facility".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continues to be significant uncertainty regarding the near- and intermediate-term business impacts from the COVID-19 pandemic and its disruption of our markets. However, the Company continues to maintain a strong balance sheet, which we believe is sufficient to support its near- to intermediate-term needs. The Company continues to take the following actions:</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cost structure of the business based on the expected near-term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proactive working capital management;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eliminating all non-critical 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980" w:right="32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3" w:lineRule="exact"/>
        <w:rPr>
          <w:rFonts w:ascii="Arial" w:cs="Arial" w:eastAsia="Arial" w:hAnsi="Arial"/>
          <w:sz w:val="17"/>
          <w:szCs w:val="17"/>
          <w:color w:val="auto"/>
        </w:rPr>
      </w:pPr>
    </w:p>
    <w:p>
      <w:pPr>
        <w:ind w:left="1620" w:right="78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620" w:right="14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620" w:right="12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97" w:lineRule="exact"/>
        <w:rPr>
          <w:rFonts w:ascii="Arial" w:cs="Arial" w:eastAsia="Arial" w:hAnsi="Arial"/>
          <w:sz w:val="18"/>
          <w:szCs w:val="18"/>
          <w:color w:val="auto"/>
        </w:rPr>
      </w:pPr>
    </w:p>
    <w:p>
      <w:pPr>
        <w:ind w:left="1620" w:right="240" w:hanging="316"/>
        <w:spacing w:after="0" w:line="277" w:lineRule="auto"/>
        <w:tabs>
          <w:tab w:leader="none" w:pos="16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980" w:right="7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52" w:lineRule="exact"/>
        <w:rPr>
          <w:sz w:val="20"/>
          <w:szCs w:val="20"/>
          <w:color w:val="auto"/>
        </w:rPr>
      </w:pPr>
    </w:p>
    <w:p>
      <w:pPr>
        <w:ind w:left="660" w:right="4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the Company entered into the Fifth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The Credit Agreement replaced the Fourth Amended and Restated Credit Agreement, which is described in Part II, Item 8. Financial Statements and Supplementary Data, Note 5 - Debt, in the Company’s Annual Report on Form 10-K for the year ended June 30, 2020.</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Agreement provides for a three-year senior secured revolving credit facility of $200.0 million that expires November 2, 2023. The credit facility may be used for working capital, acquisitions, capital expenditures, issuances of letters of credit and other lawful purposes.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includes a U.S. Dollar equivalent sublimit of $75.0 million for revolving loans denominated in Australian Dollars, Canadian Dollars, Euros and Pounds Sterling and letters of credit in Australian Dollars, Euros, and Pounds Sterling.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right="220" w:hanging="482"/>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Adjusted LIBO Rate or the Adjusted EURIBOR Rate, in the case of revolving loans denominated in Pounds Sterling or Australian Dollars; or</w:t>
      </w:r>
    </w:p>
    <w:p>
      <w:pPr>
        <w:spacing w:after="0" w:line="116" w:lineRule="exact"/>
        <w:rPr>
          <w:rFonts w:ascii="Arial" w:cs="Arial" w:eastAsia="Arial" w:hAnsi="Arial"/>
          <w:sz w:val="18"/>
          <w:szCs w:val="18"/>
          <w:color w:val="auto"/>
        </w:rPr>
      </w:pPr>
    </w:p>
    <w:p>
      <w:pPr>
        <w:ind w:left="1300" w:hanging="48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Adjusted EURIBOR Rate, in the case of revolving loans denominated in Euros,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1.00% and 2.00%. The Applicable Margin for Adjusted LIBO, Adjusted EURIBOR and CDOR loans ranges between 2.00% and 3.00% and the Applicable Margin for Canadian Prime Rate loans ranges between 2.50% and 3.50%.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0.35% and 0.50% based on the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Covenants and limitations under the Credit Agreement include the following:</w:t>
      </w:r>
    </w:p>
    <w:p>
      <w:pPr>
        <w:spacing w:after="0" w:line="252" w:lineRule="exact"/>
        <w:rPr>
          <w:sz w:val="20"/>
          <w:szCs w:val="20"/>
          <w:color w:val="auto"/>
        </w:rPr>
      </w:pPr>
    </w:p>
    <w:p>
      <w:pPr>
        <w:jc w:val="both"/>
        <w:ind w:left="1300" w:hanging="482"/>
        <w:spacing w:after="0" w:line="311"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Leverage Ratio, determined as of the end of each fiscal quarter, may not exceed 3.00 to 1.00. The Leverage Ratio covenant requires that Consolidated Funded Indebtedness, as defined in the Credit Agreement, as of the end of any fiscal quarter, may not exceed 3.0 times Consolidated EBITDA, as defined in the Credit Agreement, or “Covenant EBITDA,” over the previous four quarters.</w:t>
      </w:r>
    </w:p>
    <w:p>
      <w:pPr>
        <w:spacing w:after="0" w:line="175" w:lineRule="exact"/>
        <w:rPr>
          <w:rFonts w:ascii="Arial" w:cs="Arial" w:eastAsia="Arial" w:hAnsi="Arial"/>
          <w:sz w:val="16"/>
          <w:szCs w:val="16"/>
          <w:color w:val="auto"/>
        </w:rPr>
      </w:pPr>
    </w:p>
    <w:p>
      <w:pPr>
        <w:ind w:left="1300" w:right="300" w:hanging="482"/>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(“FCCR”), determined as of the end of each fiscal quarter, greater than or equal to 1.25 to 1.00. The FCCR is calculated as follows:</w:t>
      </w:r>
    </w:p>
    <w:p>
      <w:pPr>
        <w:spacing w:after="0" w:line="116" w:lineRule="exact"/>
        <w:rPr>
          <w:rFonts w:ascii="Arial" w:cs="Arial" w:eastAsia="Arial" w:hAnsi="Arial"/>
          <w:sz w:val="18"/>
          <w:szCs w:val="18"/>
          <w:color w:val="auto"/>
        </w:rPr>
      </w:pPr>
    </w:p>
    <w:p>
      <w:pPr>
        <w:jc w:val="both"/>
        <w:ind w:left="1960" w:hanging="494"/>
        <w:spacing w:after="0" w:line="259" w:lineRule="auto"/>
        <w:tabs>
          <w:tab w:leader="none" w:pos="19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no borrowings are outstanding at quarter end, then the FCCR covenant requires that, as of the end of any fiscal quarter, Covenant EBITDA, after deducting capital expenditures and dividends for the previous four quarters, may not be less than 1.25 times the total of interest expense and cash paid for income taxes over the previous four quarters plus scheduled maturities of certain indebtedness for the next four quarters.</w:t>
      </w:r>
    </w:p>
    <w:p>
      <w:pPr>
        <w:spacing w:after="0" w:line="132" w:lineRule="exact"/>
        <w:rPr>
          <w:rFonts w:ascii="Arial" w:cs="Arial" w:eastAsia="Arial" w:hAnsi="Arial"/>
          <w:sz w:val="18"/>
          <w:szCs w:val="18"/>
          <w:color w:val="auto"/>
        </w:rPr>
      </w:pPr>
    </w:p>
    <w:p>
      <w:pPr>
        <w:ind w:left="1960" w:right="20" w:hanging="494"/>
        <w:spacing w:after="0" w:line="277" w:lineRule="auto"/>
        <w:tabs>
          <w:tab w:leader="none" w:pos="19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borrowings are outstanding at quarter end, the FCCR is calculated the same except that all share repurchases for the previous four quarters are also deducted from Covenant EBITDA.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1300" w:hanging="482"/>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129" w:lineRule="exact"/>
        <w:rPr>
          <w:rFonts w:ascii="Arial" w:cs="Arial" w:eastAsia="Arial" w:hAnsi="Arial"/>
          <w:sz w:val="18"/>
          <w:szCs w:val="18"/>
          <w:color w:val="auto"/>
        </w:rPr>
      </w:pPr>
    </w:p>
    <w:p>
      <w:pPr>
        <w:ind w:left="1300" w:hanging="48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 repurchases are limited to $30.0 million per calendar year.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4, 2021, the Company entered into the First Amendment to Fifth Amended and Restated Credit Agreement (the “Amended Credit Agreement”), by and among the Company and certain foreign subsidiaries, as Borrowers, various subsidiaries of the Company, as Guarantors, JPMorgan Chase Bank, N.A., as Administrative Agent, and the other Lenders party thereto, which amended the Credit Agreement.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the Amended Credit Agreement to obtain temporary relief from the financial covenants due to the continued decline in operating results. Under the Amended Credit Agreement, the Company will not be required to comply with the Leverage Ratio and FCCR financial covenants for the quarters ending March 31, 2021, June 30, 2021, September 30, 2021 and December 31,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Amended Credit Agreement adds a number of new requirements and restrictions. During a “Covenant Relief Period” commencing May 4, 2021 and ending on the date on which the Company provides a compliance certificate for the quarter ending March 31, 2022:</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revolving loans will be made under the credit facility.</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any new letters of credit are issued during the Covenant Relief Period, the Company will be required to provide cash collateral equal to 50% of the face value of the letter of credit (or 105% of the face value of the letter of credit if the aggregate amount of letters of credit outstanding exceeds $100 million).</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all times prior to July 1, 2021, the Company will be required to maintain at least $50.0 million of unrestricted cash. Beginning July 1, 2021, and at all times during the remainder of the Covenant Relief Period, the Company will be required to maintain at least $60.0 million of unrestricted cash. The requirement to maintain unrestricted cash is in addition to any cash which would be required as collateral for any new letters of credit.</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stock repurchases under the Company’s existing stock buyback program and cash dividends are prohibited.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may not exceed $2.0 million in any fiscal quarter.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provisions, the Amended Credit Agreement requires the Company to generate Covenant EBITDA of at least:</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million for the fiscal quarter ending June 30,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$8.0 million for the six months ending September 30, 2021;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$16.5 million for the nine months ending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$41.4 million in letters of credit issued under the credit facility and no borrowings.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Nine Months Ended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Cash used by operating activities for the nine months ended March 31, 2021 totaled $13.2 million. The various components are as follows: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Used by Operating Activities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68" w:right="339" w:bottom="1440" w:gutter="0" w:footer="0" w:header="0"/>
        </w:sect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effect of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by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Cash effect of changes in operating assets and liabilities at March 31, 2021 in comparison to June 30, 2020 include the following: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660" w:hanging="659"/>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(20,501)</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7"/>
          <w:szCs w:val="17"/>
          <w:color w:val="auto"/>
        </w:rPr>
        <w:t>19,345</w:t>
      </w:r>
    </w:p>
    <w:p>
      <w:pPr>
        <w:spacing w:after="0" w:line="34"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1,468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(13,841)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8401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660" w:hanging="659"/>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840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55245</wp:posOffset>
            </wp:positionV>
            <wp:extent cx="8401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9340" w:space="580"/>
            <w:col w:w="1320"/>
          </w:cols>
          <w:pgMar w:left="320" w:top="368" w:right="339" w:bottom="1440" w:gutter="0" w:footer="0" w:header="0"/>
          <w:type w:val="continuous"/>
        </w:sectPr>
      </w:pPr>
    </w:p>
    <w:p>
      <w:pPr>
        <w:spacing w:after="0" w:line="75" w:lineRule="exact"/>
        <w:rPr>
          <w:sz w:val="20"/>
          <w:szCs w:val="20"/>
          <w:color w:val="auto"/>
        </w:rPr>
      </w:pPr>
    </w:p>
    <w:p>
      <w:pPr>
        <w:ind w:left="980" w:right="100" w:hanging="324"/>
        <w:spacing w:after="0" w:line="263"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receivable, net of credit losses recognized during the period, decreased $2.6 million during the nine months ended March 31, 2021, which increased cash flows from operating activities. The variance is primarily attributable to lower business volumes and the timing of billing and collections.</w:t>
      </w:r>
    </w:p>
    <w:p>
      <w:pPr>
        <w:spacing w:after="0" w:line="210" w:lineRule="exact"/>
        <w:rPr>
          <w:rFonts w:ascii="Arial" w:cs="Arial" w:eastAsia="Arial" w:hAnsi="Arial"/>
          <w:sz w:val="18"/>
          <w:szCs w:val="18"/>
          <w:color w:val="auto"/>
        </w:rPr>
      </w:pPr>
    </w:p>
    <w:p>
      <w:pPr>
        <w:ind w:left="980" w:right="140" w:hanging="324"/>
        <w:spacing w:after="0" w:line="279"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decreased $21.6 million, which increased cash flows from operating activities. Billings on uncompleted contracts in excess of costs and estimated earnings ("BIE") decreased $4.4 million, which decreased cash flows from operating activities. CIE and BIE balances can experience significant fluctuations based on business volumes and the timing of when job costs are incurred and the timing of customer billings and payments.</w:t>
      </w:r>
    </w:p>
    <w:p>
      <w:pPr>
        <w:spacing w:after="0" w:line="198" w:lineRule="exact"/>
        <w:rPr>
          <w:rFonts w:ascii="Arial" w:cs="Arial" w:eastAsia="Arial" w:hAnsi="Arial"/>
          <w:sz w:val="17"/>
          <w:szCs w:val="17"/>
          <w:color w:val="auto"/>
        </w:rPr>
      </w:pPr>
    </w:p>
    <w:p>
      <w:pPr>
        <w:ind w:left="980" w:right="180" w:hanging="324"/>
        <w:spacing w:after="0" w:line="301"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Inventories, income taxes receivable, other current assets, operating right-of-use lease assets and other assets increased $15.7 million during the nine months ended March 31, 2021, which decreased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184" w:lineRule="exact"/>
        <w:rPr>
          <w:rFonts w:ascii="Arial" w:cs="Arial" w:eastAsia="Arial" w:hAnsi="Arial"/>
          <w:sz w:val="16"/>
          <w:szCs w:val="16"/>
          <w:color w:val="auto"/>
        </w:rPr>
      </w:pPr>
    </w:p>
    <w:p>
      <w:pPr>
        <w:ind w:left="980" w:right="16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payable, accrued wages and benefits, accrued insurance, operating lease liabilities, and other accrued expenses decreased by $21.7 million during the nine months ended March 31, 2021,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213" w:lineRule="exact"/>
        <w:rPr>
          <w:rFonts w:ascii="Arial" w:cs="Arial" w:eastAsia="Arial" w:hAnsi="Arial"/>
          <w:sz w:val="18"/>
          <w:szCs w:val="18"/>
          <w:color w:val="auto"/>
        </w:rPr>
      </w:pPr>
    </w:p>
    <w:p>
      <w:pPr>
        <w:ind w:left="980" w:right="180" w:hanging="324"/>
        <w:spacing w:after="0" w:line="308"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liabilities increased by $3.7 million, which increased cash flows from operating activities. This increase was primarily due to deferred payroll tax associated with the CARES Act. See Item 1. Financial Information, Note 6 - Income Taxes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activities used $2.1 million of cash in the nine months ended March 31, 2021 primarily due to $3.9 million of capital expenditures, partially offset by $1.8 million of proceeds from other asset sales. Capital expenditures consisted of: $1.0 million for transportation equipment, $1.0 million for software and office equipment, $1.0 million for facilities, and $0.9 million for construction and fabrication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activities used $12.2 million of cash in the nine months ended March 31, 2021 primarily due to the net repayment of $9.8 million on the Company's senior secured revolving credit facility, $1.6 million paid to repurchase the Company's stock for payment of withholding taxes due on equity-based compensation, and $0.9 million paid in fees to amend the Company's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Amended Credit Agreement currently do not allow cash dividends. Upon expiration of the Covenant Relief Period described above under the caption "Senior Secured Revolving Credit Facility,"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our Amended Credit Agreement currently do not allow share repurchases. Upon expiration of the Covenant Relief Period described above under the caption "Senior Secured Revolving Credit Facility," the Company may repurchase common stock pursuant to the stock buyback program that was in place and approved by the board of directors in November 2018. However, the FCCR covenant in our Credit Agreement may still limit our ability to repurchase shares. The specific limitations are described in the Senior Secured Revolving Credit Facility section above.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stock buyback program, the Company may repurchase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stock buyback program will continue unless and until it is modified or revoked by the Board of Directors.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1,349,037 shares available for repurchase under the stock buyback plan upon expiration of the Covenant Relief Period. The Company had 1,369,000 treasury shares as of March 31, 2021 and intends to utilize these treasury shares in connection with equity awards under the Company’s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980" w:right="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2020, this Form 10-Q and listed from time to time in our filings with the Securities and Exchange Commission;</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COVID-19 pandemic) and in the oil, natural gas, power, agricultural and mining industries in particular;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COVID-19 concerns, permitting issues or other factors;</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to which our customers' businesses are affected;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2020, filed with the Securities and Exchange Commission. For more information on market risk, see Part II, Item 7A in our fiscal 2020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COVID-19 pandemic, most of the Company's office staff transitioned to remote working environments in March 2020. Some employees remain in that environment through the date of this filing. The Company has assessed the impact of this working arrangement on its internal controls over financial reporting and has determined that, while the manner in which some controls are being performed has changed to accommodate remote work, none of the control activities have changed in substance and the controls are operating effectively.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2021. Based on the foregoing, our Chief Executive Officer and Chief Financial Officer concluded that our disclosure controls and procedures were effective at the reasonable assurance level at March 31, 2021.</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additional risk factor below, there have not been any material changes from the risk factors previously disclosed in the “Risk Factors” section of our Annual Report on Form 10-K for the fiscal year ended June 30, 2020.</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risk factors in our Annual Report on Form 10-K for the fiscal year ended June 30, 2020, which could materially affect our business, financial condition or future results.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Amended Credit Agreement imposes new restrictions on our liquidity, requires us to maintain significant levels of unrestricted cash and requires us to generate certain increasing levels of EBITDA over the next three quarters.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a “Covenant Relief Period” commencing May 4, 2021 and ending on the date on which the Company provides a compliance certificate for the quarter ending March 31, 2022:</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revolving loans will be made under the credit facility.</w:t>
      </w:r>
    </w:p>
    <w:p>
      <w:pPr>
        <w:spacing w:after="0" w:line="252" w:lineRule="exact"/>
        <w:rPr>
          <w:rFonts w:ascii="Arial" w:cs="Arial" w:eastAsia="Arial" w:hAnsi="Arial"/>
          <w:sz w:val="18"/>
          <w:szCs w:val="18"/>
          <w:color w:val="auto"/>
        </w:rPr>
      </w:pPr>
    </w:p>
    <w:p>
      <w:pPr>
        <w:jc w:val="both"/>
        <w:ind w:left="660" w:right="80" w:hanging="328"/>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new letters of credit are issued during the Covenant Relief Period, the Company will be required to provide cash collateral equal to 50% of the face value of the letter of credit (or 105% of the face value of the letter of credit if the aggregate amount of letters of credit outstanding exceed $100 million).</w:t>
      </w:r>
    </w:p>
    <w:p>
      <w:pPr>
        <w:spacing w:after="0" w:line="2" w:lineRule="exact"/>
        <w:rPr>
          <w:rFonts w:ascii="Arial" w:cs="Arial" w:eastAsia="Arial" w:hAnsi="Arial"/>
          <w:sz w:val="18"/>
          <w:szCs w:val="18"/>
          <w:color w:val="auto"/>
        </w:rPr>
      </w:pPr>
    </w:p>
    <w:p>
      <w:pPr>
        <w:ind w:left="660" w:hanging="328"/>
        <w:spacing w:after="0" w:line="30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 all times prior to July 1, 2021, the Company will be required to maintain at least $50.0 million of unrestricted cash. Beginning July 1, 2021, and during the remainder of the Covenant Relief Period, the Company will be required to maintain at least $60.0 million of unrestricted cash at all times. The requirement to maintain unrestricted cash is in addition to any cash collateral which would be required for any new letters of credit.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provisions, the Amended Credit Agreement requires the Company to generate Covenant EBITDA of at least:</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 million for the fiscal quarter ending June 30,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$8.0 million for the six months ending September 30, 2021;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$16.5 million for the nine months ending December 31, 2021.</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on hand at March 31, 2021 totaled $73.8 million. Management believes it has sufficient cash on hand and will generate sufficient cash from operations to fund the business. However, there is risk that it will be unable to maintain the required levels of unrestricted cash and generate the required levels of Covenant EBITDA under the Amended Credit Agreement or obtain additional covenant relief under the Amended Credit Agreement. In addition, there is risk that the Company will be unable to comply with the Leverage Ratio and FCCR financial covenants in the Credit Agreement upon expiration of the Covenant Relief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the Company of its common stock during the third quarter of fiscal year 2021.</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1"/>
                <w:szCs w:val="11"/>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1"/>
                <w:szCs w:val="11"/>
                <w:color w:val="auto"/>
              </w:rPr>
            </w:pPr>
          </w:p>
        </w:tc>
        <w:tc>
          <w:tcPr>
            <w:tcW w:w="14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1"/>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to January 31, 2021</w:t>
            </w: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February 1 to February 28,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1 to March 31,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Arial" w:cs="Arial" w:eastAsia="Arial" w:hAnsi="Arial"/>
                <w:sz w:val="18"/>
                <w:szCs w:val="18"/>
                <w:color w:val="auto"/>
              </w:rPr>
              <w:t>Share Repurchase Program (A)</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80" w:hanging="329"/>
        <w:spacing w:after="0" w:line="268" w:lineRule="auto"/>
        <w:tabs>
          <w:tab w:leader="none" w:pos="5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described under the caption “Stock Repurchase Program and Treasury Shares” in the Liquidity and Capital Resources section of Part I, Item 2 of this Form 10-Q, on November 6, 2018, the Board of Directors approved a stock buyback program. Under the program, the Company may repurchase common stock up to a maximum of $30.0 million per calendar year provided that the aggregate number of shares repurchased may not exceed 10%, or approximately 2.7 million, of the Company's shares outstanding as of November 6, 2018. However, the Amended Credit Agreement currently does not allow share repurchases. In addition, even after the prohibition on stock buybacks in the Amended Credit Agreement lapses, the Company may have to limit share repurchases at times if the repurchases put it at risk of violating the FCCR covenant in the Credit Agreement. Under the program, the Company may repurchase its stock from time to time in the open market at prevailing market prices or in privately negotiated transactions and is not obligated to purchase any shares. The stock buyback program will continue unless and until it is modified or revoked by the Board of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Amended Credit Agreement currently do not allow cash dividends. After the current prohibition on the payment of cash dividends under our Amended Credit Agreement lapses,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4, 2021, the Company entered into the First Amendment to Fifth Amended and Restated Credit Agreement (the “Amended Credit Agreement”), by and among the Company and certain foreign subsidiaries, as Borrowers, various subsidiaries of the Company, as Guarantors, JPMorgan Chase Bank, N.A., as Administrative Agent, and the other Lenders party thereto, which amended the Credit Agreement. Key provisions of the Amended Credit Agreement are discussed under the caption “Senior Secured Revolving Credit Facility” in the Liquidity and Capital Resources section of Part I, Item 2 of this Quarterly Report on Form 10-Q and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w:t>
            </w:r>
          </w:p>
        </w:tc>
        <w:tc>
          <w:tcPr>
            <w:tcW w:w="9140" w:type="dxa"/>
            <w:vAlign w:val="bottom"/>
            <w:gridSpan w:val="11"/>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First Amendment to Fifth Amended and Restated Credit Agreement dated May 4, 2021 among the Company and certain</w:t>
              </w:r>
            </w:hyperlink>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70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foreign subsidiaries, as Borrowers, various subsidiaries of the Company, as Guarantors, JPMorgan Chase Bank, N.A., as</w:t>
              </w:r>
            </w:hyperlink>
          </w:p>
        </w:tc>
        <w:tc>
          <w:tcPr>
            <w:tcW w:w="440" w:type="dxa"/>
            <w:vAlign w:val="bottom"/>
          </w:tcPr>
          <w:p>
            <w:pPr>
              <w:spacing w:after="0"/>
              <w:rPr>
                <w:sz w:val="13"/>
                <w:szCs w:val="13"/>
                <w:color w:val="auto"/>
              </w:rPr>
            </w:pPr>
          </w:p>
        </w:tc>
      </w:tr>
      <w:tr>
        <w:trPr>
          <w:trHeight w:val="156"/>
        </w:trPr>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Administrative Agent, and the other Lenders party thereto.</w:t>
              </w:r>
            </w:hyperlink>
          </w:p>
        </w:tc>
        <w:tc>
          <w:tcPr>
            <w:tcW w:w="460" w:type="dxa"/>
            <w:vAlign w:val="bottom"/>
            <w:gridSpan w:val="2"/>
          </w:tcPr>
          <w:p>
            <w:pPr>
              <w:spacing w:after="0"/>
              <w:rPr>
                <w:sz w:val="13"/>
                <w:szCs w:val="13"/>
                <w:color w:val="auto"/>
              </w:rPr>
            </w:pPr>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15">
              <w:r>
                <w:rPr>
                  <w:rFonts w:ascii="Arial" w:cs="Arial" w:eastAsia="Arial" w:hAnsi="Arial"/>
                  <w:sz w:val="18"/>
                  <w:szCs w:val="18"/>
                  <w:color w:val="0000FF"/>
                  <w:w w:val="91"/>
                </w:rPr>
                <w:t>Certification Pursuant to Section 302 of Sarbanes-Oxley Act of 2002 – CEO.</w:t>
              </w:r>
            </w:hyperlink>
          </w:p>
        </w:tc>
        <w:tc>
          <w:tcPr>
            <w:tcW w:w="3580" w:type="dxa"/>
            <w:vAlign w:val="bottom"/>
            <w:gridSpan w:val="5"/>
          </w:tcPr>
          <w:p>
            <w:pPr>
              <w:spacing w:after="0"/>
              <w:rPr>
                <w:sz w:val="22"/>
                <w:szCs w:val="22"/>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31.2:</w:t>
            </w:r>
          </w:p>
        </w:tc>
        <w:tc>
          <w:tcPr>
            <w:tcW w:w="9140" w:type="dxa"/>
            <w:vAlign w:val="bottom"/>
            <w:gridSpan w:val="11"/>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Certification Pursuant to Section 302 of Sarbanes-Oxley Act of 2002 – CFO.</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217">
              <w:r>
                <w:rPr>
                  <w:rFonts w:ascii="Arial" w:cs="Arial" w:eastAsia="Arial" w:hAnsi="Arial"/>
                  <w:sz w:val="18"/>
                  <w:szCs w:val="18"/>
                  <w:color w:val="0000FF"/>
                  <w:w w:val="91"/>
                </w:rPr>
                <w:t>Certification Pursuant to 18 U.S.C. 1350 (section 906 of Sarbanes-Oxley Act of 2002) – CEO.</w:t>
              </w:r>
            </w:hyperlink>
          </w:p>
        </w:tc>
        <w:tc>
          <w:tcPr>
            <w:tcW w:w="2320" w:type="dxa"/>
            <w:vAlign w:val="bottom"/>
            <w:gridSpan w:val="3"/>
          </w:tcPr>
          <w:p>
            <w:pPr>
              <w:spacing w:after="0"/>
              <w:rPr>
                <w:sz w:val="22"/>
                <w:szCs w:val="22"/>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218">
              <w:r>
                <w:rPr>
                  <w:rFonts w:ascii="Arial" w:cs="Arial" w:eastAsia="Arial" w:hAnsi="Arial"/>
                  <w:sz w:val="18"/>
                  <w:szCs w:val="18"/>
                  <w:color w:val="0000FF"/>
                  <w:w w:val="91"/>
                </w:rPr>
                <w:t>Certification Pursuant to 18 U.S.C. 1350 (section 906 of Sarbanes-Oxley Act of 2002) – CFO.</w:t>
              </w:r>
            </w:hyperlink>
          </w:p>
        </w:tc>
        <w:tc>
          <w:tcPr>
            <w:tcW w:w="2340" w:type="dxa"/>
            <w:vAlign w:val="bottom"/>
            <w:gridSpan w:val="4"/>
          </w:tcPr>
          <w:p>
            <w:pPr>
              <w:spacing w:after="0"/>
              <w:rPr>
                <w:sz w:val="22"/>
                <w:szCs w:val="22"/>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95:</w:t>
            </w:r>
          </w:p>
        </w:tc>
        <w:tc>
          <w:tcPr>
            <w:tcW w:w="9140" w:type="dxa"/>
            <w:vAlign w:val="bottom"/>
            <w:gridSpan w:val="11"/>
          </w:tcPr>
          <w:p>
            <w:pPr>
              <w:spacing w:after="0"/>
              <w:rPr>
                <w:rFonts w:ascii="Arial" w:cs="Arial" w:eastAsia="Arial" w:hAnsi="Arial"/>
                <w:sz w:val="18"/>
                <w:szCs w:val="18"/>
                <w:color w:val="0000FF"/>
              </w:rPr>
            </w:pPr>
            <w:hyperlink w:anchor="page219">
              <w:r>
                <w:rPr>
                  <w:rFonts w:ascii="Arial" w:cs="Arial" w:eastAsia="Arial" w:hAnsi="Arial"/>
                  <w:sz w:val="18"/>
                  <w:szCs w:val="18"/>
                  <w:color w:val="0000FF"/>
                </w:rPr>
                <w:t>Mine Safety Disclosure.</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r>
      <w:tr>
        <w:trPr>
          <w:trHeight w:val="250"/>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9140" w:type="dxa"/>
            <w:vAlign w:val="bottom"/>
            <w:gridSpan w:val="11"/>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104</w:t>
            </w:r>
          </w:p>
        </w:tc>
        <w:tc>
          <w:tcPr>
            <w:tcW w:w="914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91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gridSpan w:val="2"/>
          </w:tcPr>
          <w:p>
            <w:pPr>
              <w:ind w:left="33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May 10, 2021</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35"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6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FIRST AMENDMENT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FIFTH AMENDED AND RESTATED CREDIT AGREEMENT</w:t>
      </w:r>
    </w:p>
    <w:p>
      <w:pPr>
        <w:spacing w:after="0" w:line="19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THIS FIRST AMENDMENT TO FIFTH AMENDED AND RESTATED CREDIT AGREEMENT </w:t>
      </w:r>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May 4,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is entered into by and among </w:t>
      </w:r>
      <w:r>
        <w:rPr>
          <w:rFonts w:ascii="Arial" w:cs="Arial" w:eastAsia="Arial" w:hAnsi="Arial"/>
          <w:sz w:val="21"/>
          <w:szCs w:val="21"/>
          <w:b w:val="1"/>
          <w:bCs w:val="1"/>
          <w:color w:val="auto"/>
        </w:rPr>
        <w:t>MATRIX SERVICE</w:t>
      </w:r>
      <w:r>
        <w:rPr>
          <w:rFonts w:ascii="Arial" w:cs="Arial" w:eastAsia="Arial" w:hAnsi="Arial"/>
          <w:sz w:val="21"/>
          <w:szCs w:val="21"/>
          <w:color w:val="auto"/>
        </w:rPr>
        <w:t xml:space="preserve"> </w:t>
      </w:r>
      <w:r>
        <w:rPr>
          <w:rFonts w:ascii="Arial" w:cs="Arial" w:eastAsia="Arial" w:hAnsi="Arial"/>
          <w:sz w:val="21"/>
          <w:szCs w:val="21"/>
          <w:b w:val="1"/>
          <w:bCs w:val="1"/>
          <w:color w:val="auto"/>
        </w:rPr>
        <w:t>COMPANY</w:t>
      </w:r>
      <w:r>
        <w:rPr>
          <w:rFonts w:ascii="Arial" w:cs="Arial" w:eastAsia="Arial" w:hAnsi="Arial"/>
          <w:sz w:val="21"/>
          <w:szCs w:val="21"/>
          <w:color w:val="auto"/>
        </w:rPr>
        <w:t>,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other Borrowers party hereto (together with the Company,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Borrowers</w:t>
      </w:r>
      <w:r>
        <w:rPr>
          <w:rFonts w:ascii="Arial" w:cs="Arial" w:eastAsia="Arial" w:hAnsi="Arial"/>
          <w:sz w:val="21"/>
          <w:szCs w:val="21"/>
          <w:color w:val="auto"/>
        </w:rPr>
        <w:t>”), the Subsidiary Guarantors party hereto (the “</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xml:space="preserve">”), the Lenders (as hereinafter defined) party hereto and </w:t>
      </w:r>
      <w:r>
        <w:rPr>
          <w:rFonts w:ascii="Arial" w:cs="Arial" w:eastAsia="Arial" w:hAnsi="Arial"/>
          <w:sz w:val="21"/>
          <w:szCs w:val="21"/>
          <w:b w:val="1"/>
          <w:bCs w:val="1"/>
          <w:color w:val="auto"/>
        </w:rPr>
        <w:t>JPMORGAN CHASE BANK, N.A.</w:t>
      </w:r>
      <w:r>
        <w:rPr>
          <w:rFonts w:ascii="Arial" w:cs="Arial" w:eastAsia="Arial" w:hAnsi="Arial"/>
          <w:sz w:val="21"/>
          <w:szCs w:val="21"/>
          <w:color w:val="auto"/>
        </w:rPr>
        <w:t>, as Administrative Agent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PRELIMINARY STATEMENT</w:t>
      </w:r>
    </w:p>
    <w:p>
      <w:pPr>
        <w:spacing w:after="0" w:line="21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the lenders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Administrative Agent are parties to</w:t>
      </w:r>
      <w:r>
        <w:rPr>
          <w:rFonts w:ascii="Arial" w:cs="Arial" w:eastAsia="Arial" w:hAnsi="Arial"/>
          <w:sz w:val="22"/>
          <w:szCs w:val="22"/>
          <w:b w:val="1"/>
          <w:bCs w:val="1"/>
          <w:color w:val="auto"/>
        </w:rPr>
        <w:t xml:space="preserve"> </w:t>
      </w:r>
      <w:r>
        <w:rPr>
          <w:rFonts w:ascii="Arial" w:cs="Arial" w:eastAsia="Arial" w:hAnsi="Arial"/>
          <w:sz w:val="22"/>
          <w:szCs w:val="22"/>
          <w:color w:val="auto"/>
        </w:rPr>
        <w:t>that certain Fifth Amended and Restated Credit Agreement dated as of November 2, 2020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 that certain Limited Waiver dated as of February 5, 2021 (the “</w:t>
      </w:r>
      <w:r>
        <w:rPr>
          <w:rFonts w:ascii="Arial" w:cs="Arial" w:eastAsia="Arial" w:hAnsi="Arial"/>
          <w:sz w:val="22"/>
          <w:szCs w:val="22"/>
          <w:u w:val="single" w:color="auto"/>
          <w:color w:val="auto"/>
        </w:rPr>
        <w:t>Limited Waiver</w:t>
      </w:r>
      <w:r>
        <w:rPr>
          <w:rFonts w:ascii="Arial" w:cs="Arial" w:eastAsia="Arial" w:hAnsi="Arial"/>
          <w:sz w:val="22"/>
          <w:szCs w:val="22"/>
          <w:color w:val="auto"/>
        </w:rPr>
        <w:t>”);</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now asked the Administrative Agent and the Lenders to amend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Credit Agreement;</w:t>
      </w:r>
    </w:p>
    <w:p>
      <w:pPr>
        <w:spacing w:after="0" w:line="16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Administrative Agent and the Lenders party hereto are willing to make such amendment,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terms and conditions set forth herein, provided that the Borrowers and Subsidiary Guarantors ratify and confirm all of their respective obligations under the Credit Agreement and the other Loan Documents;</w:t>
      </w:r>
    </w:p>
    <w:p>
      <w:pPr>
        <w:spacing w:after="0" w:line="15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hereby acknowledged, the parties hereto agree as follows:</w:t>
      </w:r>
    </w:p>
    <w:p>
      <w:pPr>
        <w:spacing w:after="0" w:line="168" w:lineRule="exact"/>
        <w:rPr>
          <w:sz w:val="20"/>
          <w:szCs w:val="20"/>
          <w:color w:val="auto"/>
        </w:rPr>
      </w:pPr>
    </w:p>
    <w:p>
      <w:pPr>
        <w:ind w:firstLine="1304"/>
        <w:spacing w:after="0" w:line="263"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capitalized terms used herein have the meanings assigned to them in the Credit Agreement.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47" w:lineRule="exact"/>
        <w:rPr>
          <w:sz w:val="20"/>
          <w:szCs w:val="20"/>
          <w:color w:val="auto"/>
        </w:rPr>
      </w:pPr>
    </w:p>
    <w:p>
      <w:pPr>
        <w:jc w:val="both"/>
        <w:ind w:firstLine="1304"/>
        <w:spacing w:after="0" w:line="250" w:lineRule="auto"/>
        <w:tabs>
          <w:tab w:leader="none" w:pos="1932"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Credit Agreement (exclusive of the Exhibits and Schedules thereto) is hereby amended to delete the bold, stricken text (indicated textually in the same manner as the following example: </w:t>
      </w:r>
      <w:r>
        <w:rPr>
          <w:rFonts w:ascii="Arial" w:cs="Arial" w:eastAsia="Arial" w:hAnsi="Arial"/>
          <w:sz w:val="22"/>
          <w:szCs w:val="22"/>
          <w:b w:val="1"/>
          <w:bCs w:val="1"/>
          <w:color w:val="auto"/>
          <w:strike w:val="1"/>
        </w:rPr>
        <w:t>stricken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u w:val="single" w:color="auto"/>
          <w:color w:val="auto"/>
        </w:rPr>
        <w:t>double-underlined text</w:t>
      </w:r>
      <w:r>
        <w:rPr>
          <w:rFonts w:ascii="Arial" w:cs="Arial" w:eastAsia="Arial" w:hAnsi="Arial"/>
          <w:sz w:val="22"/>
          <w:szCs w:val="22"/>
          <w:color w:val="auto"/>
        </w:rPr>
        <w:t xml:space="preserve">) as set forth in the pages of the Credit Agreement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w:t>
      </w:r>
    </w:p>
    <w:p>
      <w:pPr>
        <w:spacing w:after="0" w:line="214" w:lineRule="exact"/>
        <w:rPr>
          <w:rFonts w:ascii="Arial" w:cs="Arial" w:eastAsia="Arial" w:hAnsi="Arial"/>
          <w:sz w:val="22"/>
          <w:szCs w:val="22"/>
          <w:color w:val="auto"/>
        </w:rPr>
      </w:pPr>
    </w:p>
    <w:p>
      <w:pPr>
        <w:ind w:firstLine="1304"/>
        <w:spacing w:after="0" w:line="263"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Schedules 2.01(b), 6.01 and 6.02 to the Credit Agreement is hereby amended to read in their entirety as set forth on </w:t>
      </w:r>
      <w:r>
        <w:rPr>
          <w:rFonts w:ascii="Arial" w:cs="Arial" w:eastAsia="Arial" w:hAnsi="Arial"/>
          <w:sz w:val="22"/>
          <w:szCs w:val="22"/>
          <w:u w:val="single" w:color="auto"/>
          <w:color w:val="auto"/>
        </w:rPr>
        <w:t>Schedules 2.01(b)</w:t>
      </w:r>
      <w:r>
        <w:rPr>
          <w:rFonts w:ascii="Arial" w:cs="Arial" w:eastAsia="Arial" w:hAnsi="Arial"/>
          <w:sz w:val="22"/>
          <w:szCs w:val="22"/>
          <w:color w:val="auto"/>
        </w:rPr>
        <w:t xml:space="preserve">, </w:t>
      </w:r>
      <w:r>
        <w:rPr>
          <w:rFonts w:ascii="Arial" w:cs="Arial" w:eastAsia="Arial" w:hAnsi="Arial"/>
          <w:sz w:val="22"/>
          <w:szCs w:val="22"/>
          <w:u w:val="single" w:color="auto"/>
          <w:color w:val="auto"/>
        </w:rPr>
        <w:t>6.01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6.02</w:t>
      </w:r>
      <w:r>
        <w:rPr>
          <w:rFonts w:ascii="Arial" w:cs="Arial" w:eastAsia="Arial" w:hAnsi="Arial"/>
          <w:sz w:val="22"/>
          <w:szCs w:val="22"/>
          <w:color w:val="auto"/>
        </w:rPr>
        <w:t xml:space="preserve"> attached hereto,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6" w:right="339" w:bottom="1440" w:gutter="0" w:footer="0" w:header="0"/>
        </w:sectPr>
      </w:pPr>
    </w:p>
    <w:bookmarkStart w:id="47" w:name="page48"/>
    <w:bookmarkEnd w:id="47"/>
    <w:p>
      <w:pPr>
        <w:ind w:left="1960" w:hanging="656"/>
        <w:spacing w:after="0"/>
        <w:tabs>
          <w:tab w:leader="none" w:pos="19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 effective on the Effective Date upon satisfaction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conditions:</w:t>
      </w:r>
    </w:p>
    <w:p>
      <w:pPr>
        <w:spacing w:after="0" w:line="229" w:lineRule="exact"/>
        <w:rPr>
          <w:sz w:val="20"/>
          <w:szCs w:val="20"/>
          <w:color w:val="auto"/>
        </w:rPr>
      </w:pPr>
    </w:p>
    <w:p>
      <w:pPr>
        <w:ind w:left="1940" w:hanging="636"/>
        <w:spacing w:after="0"/>
        <w:tabs>
          <w:tab w:leader="none" w:pos="19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Default or Event of Default shall exist;</w:t>
      </w:r>
    </w:p>
    <w:p>
      <w:pPr>
        <w:spacing w:after="0" w:line="246" w:lineRule="exact"/>
        <w:rPr>
          <w:rFonts w:ascii="Arial" w:cs="Arial" w:eastAsia="Arial" w:hAnsi="Arial"/>
          <w:sz w:val="22"/>
          <w:szCs w:val="22"/>
          <w:color w:val="auto"/>
        </w:rPr>
      </w:pPr>
    </w:p>
    <w:p>
      <w:pPr>
        <w:ind w:firstLine="1304"/>
        <w:spacing w:after="0" w:line="263"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Amendment, duly executed by the Borrowers, the Subsidiary Guarantors and the Required Lenders;</w:t>
      </w:r>
    </w:p>
    <w:p>
      <w:pPr>
        <w:spacing w:after="0" w:line="201"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Borrowers shall have delivered to the Administrative Agent such documents and agreements required by the Administrative Agent in order to establish one or more Cash Collateral Accounts (as defined in the Credit Agreement as amended hereby) and to create and perfect the Administrative Agent’s Lien in such Cash Collateral Accounts and the balances held therein, and such Cash Collateral Accounts shall have been opened; and</w:t>
      </w:r>
    </w:p>
    <w:p>
      <w:pPr>
        <w:spacing w:after="0" w:line="215" w:lineRule="exact"/>
        <w:rPr>
          <w:rFonts w:ascii="Arial" w:cs="Arial" w:eastAsia="Arial" w:hAnsi="Arial"/>
          <w:sz w:val="21"/>
          <w:szCs w:val="21"/>
          <w:color w:val="auto"/>
        </w:rPr>
      </w:pPr>
    </w:p>
    <w:p>
      <w:pPr>
        <w:ind w:firstLine="1304"/>
        <w:spacing w:after="0" w:line="287" w:lineRule="auto"/>
        <w:tabs>
          <w:tab w:leader="none" w:pos="1944"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Administrative Agent shall have received all fees and other amounts due and payable on or prior to the Effective Date, including the reasonable fees, charges and disbursements of counsel for the Administrative Agent.</w:t>
      </w:r>
    </w:p>
    <w:p>
      <w:pPr>
        <w:spacing w:after="0" w:line="178" w:lineRule="exact"/>
        <w:rPr>
          <w:sz w:val="20"/>
          <w:szCs w:val="20"/>
          <w:color w:val="auto"/>
        </w:rPr>
      </w:pPr>
    </w:p>
    <w:p>
      <w:pPr>
        <w:jc w:val="both"/>
        <w:ind w:firstLine="1304"/>
        <w:spacing w:after="0" w:line="246"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Each of the Borrowers and Subsidiary Guarantors hereby ratifies all of its Obligations under the Credit Agreement and each of the Loan Documents to which it is a party, and agrees and acknowledges that the Credit Agreement and each of the other Loan Documents to which it is a party are and shall continue to be in full force and effect as amended and modified by this Amendment. Nothing in this Amendment extinguishes, novates or releases any right, claim, lien, security interest or entitlement of any of the Lenders or the Administrative Agent created by or contained in any of such documents nor are the Borrowers or Subsidiary Guarantors released from any covenant, warranty or obligation created by or contained herein or therein.</w:t>
      </w:r>
    </w:p>
    <w:p>
      <w:pPr>
        <w:spacing w:after="0" w:line="223" w:lineRule="exact"/>
        <w:rPr>
          <w:rFonts w:ascii="Arial" w:cs="Arial" w:eastAsia="Arial" w:hAnsi="Arial"/>
          <w:sz w:val="22"/>
          <w:szCs w:val="22"/>
          <w:color w:val="auto"/>
        </w:rPr>
      </w:pPr>
    </w:p>
    <w:p>
      <w:pPr>
        <w:ind w:left="1960" w:hanging="656"/>
        <w:spacing w:after="0"/>
        <w:tabs>
          <w:tab w:leader="none" w:pos="19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47" w:lineRule="exact"/>
        <w:rPr>
          <w:sz w:val="20"/>
          <w:szCs w:val="20"/>
          <w:color w:val="auto"/>
        </w:rPr>
      </w:pPr>
    </w:p>
    <w:p>
      <w:pPr>
        <w:jc w:val="both"/>
        <w:ind w:firstLine="1304"/>
        <w:spacing w:after="0" w:line="287" w:lineRule="auto"/>
        <w:tabs>
          <w:tab w:leader="none" w:pos="193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Each of the Borrowers and Subsidiary Guarantors hereby represents and warrants to the Lenders and the Administrative Agent that (i) this Amendment has been duly executed and delivered on behalf of each of the Borrowers and Subsidiary Guarantors, (ii) this Amendment constitutes a valid and legally binding agreement enforceable against each of the Borrowers and Subsidiary Guarantors in accordance with its terms, subject to applicable bankruptcy, insolvency, fraudulent transfer, reorganization, moratorium or other laws affecting creditors’ rights generally and subject to general principles of equity, regardless of whether considered in a proceeding in equity or at law, (iii) except as expressly set forth in the Limited Waiver with respect to the ERISA Rep (as defined therein), the representations and warranties contained in the Credit Agreement and the other Loan Documents are true and correct on and as of the date hereof in all material respects as though made as of the date hereof, except for such representations and warranties as are by their express terms limited to a specific date, in which case such representations and warranties were true and correct in all material respects as of such specific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qualified by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8" w:right="339" w:bottom="1440" w:gutter="0" w:footer="0" w:header="0"/>
        </w:sectPr>
      </w:pPr>
    </w:p>
    <w:bookmarkStart w:id="48" w:name="page49"/>
    <w:bookmarkEnd w:id="48"/>
    <w:p>
      <w:pPr>
        <w:jc w:val="both"/>
        <w:ind w:right="20"/>
        <w:spacing w:after="0" w:line="253" w:lineRule="auto"/>
        <w:rPr>
          <w:sz w:val="20"/>
          <w:szCs w:val="20"/>
          <w:color w:val="auto"/>
        </w:rPr>
      </w:pPr>
      <w:r>
        <w:rPr>
          <w:rFonts w:ascii="Arial" w:cs="Arial" w:eastAsia="Arial" w:hAnsi="Arial"/>
          <w:sz w:val="22"/>
          <w:szCs w:val="22"/>
          <w:color w:val="auto"/>
        </w:rPr>
        <w:t>or materiality qualifier shall be true and correct in all respects as of such respective dates, (iv) no Default or Event of Default exists and (v) the execution, delivery and performance of this Amendment has been duly authorized by each of the Borrowers and Subsidiary Guarantors.</w:t>
      </w:r>
    </w:p>
    <w:p>
      <w:pPr>
        <w:spacing w:after="0" w:line="212" w:lineRule="exact"/>
        <w:rPr>
          <w:sz w:val="20"/>
          <w:szCs w:val="20"/>
          <w:color w:val="auto"/>
        </w:rPr>
      </w:pPr>
    </w:p>
    <w:p>
      <w:pPr>
        <w:jc w:val="both"/>
        <w:ind w:firstLine="1304"/>
        <w:spacing w:after="0" w:line="247"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hereby represents and warrants to the Lenders and the Administrative Agent that the financial results of the Company and the Subsidiaries for the period ending March 31, 2021 are not inconsistent in a material and adverse manner with the information for such period provided to the Lenders and the Administrative Agent prior to the date hereof.</w:t>
      </w:r>
    </w:p>
    <w:p>
      <w:pPr>
        <w:spacing w:after="0" w:line="3" w:lineRule="exact"/>
        <w:rPr>
          <w:sz w:val="20"/>
          <w:szCs w:val="20"/>
          <w:color w:val="auto"/>
        </w:rPr>
      </w:pPr>
    </w:p>
    <w:p>
      <w:pPr>
        <w:ind w:left="1960" w:hanging="656"/>
        <w:spacing w:after="0"/>
        <w:tabs>
          <w:tab w:leader="none" w:pos="19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Release and Indemnity</w:t>
      </w:r>
      <w:r>
        <w:rPr>
          <w:rFonts w:ascii="Arial" w:cs="Arial" w:eastAsia="Arial" w:hAnsi="Arial"/>
          <w:sz w:val="22"/>
          <w:szCs w:val="22"/>
          <w:color w:val="auto"/>
        </w:rPr>
        <w:t>.</w:t>
      </w:r>
    </w:p>
    <w:p>
      <w:pPr>
        <w:spacing w:after="0" w:line="229" w:lineRule="exact"/>
        <w:rPr>
          <w:sz w:val="20"/>
          <w:szCs w:val="20"/>
          <w:color w:val="auto"/>
        </w:rPr>
      </w:pPr>
    </w:p>
    <w:p>
      <w:pPr>
        <w:jc w:val="both"/>
        <w:ind w:firstLine="1304"/>
        <w:spacing w:after="0" w:line="287" w:lineRule="auto"/>
        <w:tabs>
          <w:tab w:leader="none" w:pos="1932"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Borrower hereby releases and forever discharges the Administrative Agent and each of the Lenders and each Affiliate thereof and each of their respective employees, officers, directors, trustees, agents, attorneys, successors, assigns or other representatives from any and all claims, demands, damages, actions, cross-actions, causes of action, costs and expenses (including legal expenses), of any kind or nature whatsoever, whether based on law or equity, which any of said parties has held or may now own or hold, whether known or unknown, for or because of any matter or thing done, omitted or suffered to be done on or before the actual date upon which this Amendment is signed by any of such parties (i) arising directly or indirectly out of the Loan Documents, or any other documents, instruments or any other transactions relating thereto and/or (ii) relating directly or indirectly to all transactions by and between any Borrowers or its representatives and the Administrative Agent, and each Lender or any of their respective directors, officers, agents, employees, attorneys or other representatives. Such release, waiver, acquittal and discharge shall and does include, without limitation, any claims of usury, fraud, duress, misrepresentation, lender liability, control, exercise of remedies and all similar items and claims, which may, or could be, asserted by any Borrower.</w:t>
      </w:r>
    </w:p>
    <w:p>
      <w:pPr>
        <w:spacing w:after="0" w:line="203"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Each Borrower hereby ratifies the indemnification provisions contained in the Loan Documents, including, without limitation, Section 9.03 of the Credit Agreement, and agrees that this Amendment and losses, claims, damages and expenses related thereto shall be covered by such indemnities.</w:t>
      </w:r>
    </w:p>
    <w:p>
      <w:pPr>
        <w:spacing w:after="0" w:line="212" w:lineRule="exact"/>
        <w:rPr>
          <w:sz w:val="20"/>
          <w:szCs w:val="20"/>
          <w:color w:val="auto"/>
        </w:rPr>
      </w:pPr>
    </w:p>
    <w:p>
      <w:pPr>
        <w:jc w:val="both"/>
        <w:ind w:right="20" w:firstLine="1304"/>
        <w:spacing w:after="0" w:line="253" w:lineRule="auto"/>
        <w:tabs>
          <w:tab w:leader="none" w:pos="19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signed in any number of counterparts, which may be delivered in original, facsimile or electronic form each of which shall be construed as an original, but all of which together shall constitute one and the same instrument.</w:t>
      </w:r>
    </w:p>
    <w:p>
      <w:pPr>
        <w:spacing w:after="0" w:line="212" w:lineRule="exact"/>
        <w:rPr>
          <w:rFonts w:ascii="Arial" w:cs="Arial" w:eastAsia="Arial" w:hAnsi="Arial"/>
          <w:sz w:val="22"/>
          <w:szCs w:val="22"/>
          <w:color w:val="auto"/>
        </w:rPr>
      </w:pPr>
    </w:p>
    <w:p>
      <w:pPr>
        <w:ind w:left="1960" w:hanging="656"/>
        <w:spacing w:after="0"/>
        <w:tabs>
          <w:tab w:leader="none" w:pos="19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construed in accordance with and governed by the law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 of Oklahoma.</w:t>
      </w:r>
    </w:p>
    <w:p>
      <w:pPr>
        <w:spacing w:after="0" w:line="228"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Amendment is a Loan Document; References to Credit Agreement</w:t>
      </w:r>
      <w:r>
        <w:rPr>
          <w:rFonts w:ascii="Arial" w:cs="Arial" w:eastAsia="Arial" w:hAnsi="Arial"/>
          <w:sz w:val="22"/>
          <w:szCs w:val="22"/>
          <w:color w:val="auto"/>
        </w:rPr>
        <w:t>. This Amendment is a Loan Document, as defined in the Credit Agreement. All references in the Credit Agreement to “this Agreement” shall mean the Credit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49" w:name="page50"/>
    <w:bookmarkEnd w:id="49"/>
    <w:p>
      <w:pPr>
        <w:jc w:val="both"/>
        <w:ind w:firstLine="1304"/>
        <w:spacing w:after="0" w:line="250"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Amendment, the other Loan Documents and any separate letter agreements with respect to fees payable to the Administrative Agent or its Affiliates constitute the entire contract among the parties relating to the subject matter hereof and supersede any and all previous agreements and understandings, oral or written, relating to the subject matter 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8" w:right="339" w:bottom="1440" w:gutter="0" w:footer="0" w:header="0"/>
        </w:sectPr>
      </w:pPr>
    </w:p>
    <w:bookmarkStart w:id="50" w:name="page51"/>
    <w:bookmarkEnd w:id="50"/>
    <w:p>
      <w:pPr>
        <w:ind w:firstLine="1296"/>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thereunto duly authorized as of the Effective Date.</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BORROWERS:</w:t>
      </w:r>
    </w:p>
    <w:p>
      <w:pPr>
        <w:spacing w:after="0" w:line="332" w:lineRule="exact"/>
        <w:rPr>
          <w:sz w:val="20"/>
          <w:szCs w:val="20"/>
          <w:color w:val="auto"/>
        </w:rPr>
      </w:pPr>
    </w:p>
    <w:p>
      <w:pPr>
        <w:jc w:val="both"/>
        <w:ind w:left="3900"/>
        <w:spacing w:after="0" w:line="248" w:lineRule="auto"/>
        <w:rPr>
          <w:sz w:val="20"/>
          <w:szCs w:val="20"/>
          <w:color w:val="auto"/>
        </w:rPr>
      </w:pPr>
      <w:r>
        <w:rPr>
          <w:rFonts w:ascii="Arial" w:cs="Arial" w:eastAsia="Arial" w:hAnsi="Arial"/>
          <w:sz w:val="22"/>
          <w:szCs w:val="22"/>
          <w:b w:val="1"/>
          <w:bCs w:val="1"/>
          <w:color w:val="auto"/>
        </w:rPr>
        <w:t>MATRIX SERVICE COMPANY</w:t>
      </w:r>
      <w:r>
        <w:rPr>
          <w:rFonts w:ascii="Arial" w:cs="Arial" w:eastAsia="Arial" w:hAnsi="Arial"/>
          <w:sz w:val="22"/>
          <w:szCs w:val="22"/>
          <w:color w:val="auto"/>
        </w:rPr>
        <w:t>, a Delaware corporation,</w:t>
      </w:r>
      <w:r>
        <w:rPr>
          <w:rFonts w:ascii="Arial" w:cs="Arial" w:eastAsia="Arial" w:hAnsi="Arial"/>
          <w:sz w:val="22"/>
          <w:szCs w:val="22"/>
          <w:b w:val="1"/>
          <w:bCs w:val="1"/>
          <w:color w:val="auto"/>
        </w:rPr>
        <w:t xml:space="preserve"> MATRIX SERVICE CANADA ULC</w:t>
      </w:r>
      <w:r>
        <w:rPr>
          <w:rFonts w:ascii="Arial" w:cs="Arial" w:eastAsia="Arial" w:hAnsi="Arial"/>
          <w:sz w:val="22"/>
          <w:szCs w:val="22"/>
          <w:color w:val="auto"/>
        </w:rPr>
        <w:t>, an Alberta unlimited liability corporation,</w:t>
      </w:r>
      <w:r>
        <w:rPr>
          <w:rFonts w:ascii="Arial" w:cs="Arial" w:eastAsia="Arial" w:hAnsi="Arial"/>
          <w:sz w:val="22"/>
          <w:szCs w:val="22"/>
          <w:b w:val="1"/>
          <w:bCs w:val="1"/>
          <w:color w:val="auto"/>
        </w:rPr>
        <w:t xml:space="preserve"> MATRIX SME CANADA ULC</w:t>
      </w:r>
      <w:r>
        <w:rPr>
          <w:rFonts w:ascii="Arial" w:cs="Arial" w:eastAsia="Arial" w:hAnsi="Arial"/>
          <w:sz w:val="22"/>
          <w:szCs w:val="22"/>
          <w:color w:val="auto"/>
        </w:rPr>
        <w:t>, a Nova Scotia unlimited liability company,</w:t>
      </w:r>
      <w:r>
        <w:rPr>
          <w:rFonts w:ascii="Arial" w:cs="Arial" w:eastAsia="Arial" w:hAnsi="Arial"/>
          <w:sz w:val="22"/>
          <w:szCs w:val="22"/>
          <w:b w:val="1"/>
          <w:bCs w:val="1"/>
          <w:color w:val="auto"/>
        </w:rPr>
        <w:t xml:space="preserve"> MATRIX NORTH AMERICAN CONSTRUCTION LTD.</w:t>
      </w:r>
      <w:r>
        <w:rPr>
          <w:rFonts w:ascii="Arial" w:cs="Arial" w:eastAsia="Arial" w:hAnsi="Arial"/>
          <w:sz w:val="22"/>
          <w:szCs w:val="22"/>
          <w:color w:val="auto"/>
        </w:rPr>
        <w:t>, an Ontario corporation, and</w:t>
      </w:r>
      <w:r>
        <w:rPr>
          <w:rFonts w:ascii="Arial" w:cs="Arial" w:eastAsia="Arial" w:hAnsi="Arial"/>
          <w:sz w:val="22"/>
          <w:szCs w:val="22"/>
          <w:b w:val="1"/>
          <w:bCs w:val="1"/>
          <w:color w:val="auto"/>
        </w:rPr>
        <w:t xml:space="preserve"> MATRIX INTERNATIONAL HOLDING COMPANY LIMITED</w:t>
      </w:r>
      <w:r>
        <w:rPr>
          <w:rFonts w:ascii="Arial" w:cs="Arial" w:eastAsia="Arial" w:hAnsi="Arial"/>
          <w:sz w:val="22"/>
          <w:szCs w:val="22"/>
          <w:color w:val="auto"/>
        </w:rPr>
        <w:t>, a private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formed under the laws of England and Wales</w:t>
      </w:r>
    </w:p>
    <w:p>
      <w:pPr>
        <w:spacing w:after="0" w:line="200" w:lineRule="exact"/>
        <w:rPr>
          <w:sz w:val="20"/>
          <w:szCs w:val="20"/>
          <w:color w:val="auto"/>
        </w:rPr>
      </w:pPr>
    </w:p>
    <w:p>
      <w:pPr>
        <w:spacing w:after="0" w:line="35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295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Kevin S. Cavanah</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Vice President or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by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MATRIX APPLIED TECHNOLOGIES PTY LTD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(ACN 089 397 982)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in accordance with section 127 of the </w:t>
      </w:r>
      <w:r>
        <w:rPr>
          <w:rFonts w:ascii="Arial" w:cs="Arial" w:eastAsia="Arial" w:hAnsi="Arial"/>
          <w:sz w:val="22"/>
          <w:szCs w:val="22"/>
          <w:i w:val="1"/>
          <w:iCs w:val="1"/>
          <w:color w:val="auto"/>
        </w:rPr>
        <w:t>Corporations Act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 xml:space="preserve">2001 </w:t>
      </w:r>
      <w:r>
        <w:rPr>
          <w:rFonts w:ascii="Arial" w:cs="Arial" w:eastAsia="Arial" w:hAnsi="Arial"/>
          <w:sz w:val="22"/>
          <w:szCs w:val="22"/>
          <w:color w:val="auto"/>
        </w:rPr>
        <w:t>by two directors:</w:t>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/s/ Jeffrey Heath</w:t>
      </w:r>
      <w:r>
        <w:rPr>
          <w:sz w:val="20"/>
          <w:szCs w:val="20"/>
          <w:color w:val="auto"/>
        </w:rPr>
        <w:tab/>
      </w:r>
      <w:r>
        <w:rPr>
          <w:rFonts w:ascii="Arial" w:cs="Arial" w:eastAsia="Arial" w:hAnsi="Arial"/>
          <w:sz w:val="16"/>
          <w:szCs w:val="16"/>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69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1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3840"/>
        <w:spacing w:after="0"/>
        <w:rPr>
          <w:sz w:val="20"/>
          <w:szCs w:val="20"/>
          <w:color w:val="auto"/>
        </w:rPr>
      </w:pPr>
      <w:r>
        <w:rPr>
          <w:rFonts w:ascii="Arial" w:cs="Arial" w:eastAsia="Arial" w:hAnsi="Arial"/>
          <w:sz w:val="19"/>
          <w:szCs w:val="19"/>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3120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4900" w:space="720"/>
            <w:col w:w="5620"/>
          </w:cols>
          <w:pgMar w:left="320" w:top="1422" w:right="339" w:bottom="1440" w:gutter="0" w:footer="0" w:header="0"/>
          <w:type w:val="continuous"/>
        </w:sectPr>
      </w:pPr>
    </w:p>
    <w:p>
      <w:pPr>
        <w:ind w:left="20"/>
        <w:spacing w:after="0"/>
        <w:tabs>
          <w:tab w:leader="none" w:pos="5600" w:val="left"/>
        </w:tabs>
        <w:rPr>
          <w:sz w:val="20"/>
          <w:szCs w:val="20"/>
          <w:color w:val="auto"/>
        </w:rPr>
      </w:pPr>
      <w:r>
        <w:rPr>
          <w:rFonts w:ascii="Arial" w:cs="Arial" w:eastAsia="Arial" w:hAnsi="Arial"/>
          <w:sz w:val="22"/>
          <w:szCs w:val="22"/>
          <w:color w:val="auto"/>
        </w:rPr>
        <w:t>Name of director (please print)</w:t>
      </w:r>
      <w:r>
        <w:rPr>
          <w:sz w:val="20"/>
          <w:szCs w:val="20"/>
          <w:color w:val="auto"/>
        </w:rPr>
        <w:tab/>
      </w:r>
      <w:r>
        <w:rPr>
          <w:rFonts w:ascii="Arial" w:cs="Arial" w:eastAsia="Arial" w:hAnsi="Arial"/>
          <w:sz w:val="19"/>
          <w:szCs w:val="19"/>
          <w:color w:val="auto"/>
        </w:rPr>
        <w:t>Name of director (please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Fifth Amended and Restated Credit Agreement</w:t>
      </w:r>
    </w:p>
    <w:p>
      <w:pPr>
        <w:sectPr>
          <w:pgSz w:w="11900" w:h="16838" w:orient="portrait"/>
          <w:cols w:equalWidth="0" w:num="1">
            <w:col w:w="11240"/>
          </w:cols>
          <w:pgMar w:left="320" w:top="1422" w:right="339" w:bottom="1440" w:gutter="0" w:footer="0" w:header="0"/>
          <w:type w:val="continuous"/>
        </w:sectPr>
      </w:pPr>
    </w:p>
    <w:bookmarkStart w:id="51" w:name="page52"/>
    <w:bookmarkEnd w:id="51"/>
    <w:p>
      <w:pPr>
        <w:ind w:left="2780"/>
        <w:spacing w:after="0"/>
        <w:rPr>
          <w:sz w:val="20"/>
          <w:szCs w:val="20"/>
          <w:color w:val="auto"/>
        </w:rPr>
      </w:pPr>
      <w:r>
        <w:rPr>
          <w:rFonts w:ascii="Arial" w:cs="Arial" w:eastAsia="Arial" w:hAnsi="Arial"/>
          <w:sz w:val="22"/>
          <w:szCs w:val="22"/>
          <w:b w:val="1"/>
          <w:bCs w:val="1"/>
          <w:color w:val="auto"/>
        </w:rPr>
        <w:t>SUBSIDIARY GUARANTORS:</w:t>
      </w:r>
    </w:p>
    <w:p>
      <w:pPr>
        <w:spacing w:after="0" w:line="328" w:lineRule="exact"/>
        <w:rPr>
          <w:sz w:val="20"/>
          <w:szCs w:val="20"/>
          <w:color w:val="auto"/>
        </w:rPr>
      </w:pPr>
    </w:p>
    <w:p>
      <w:pPr>
        <w:jc w:val="both"/>
        <w:ind w:left="2780"/>
        <w:spacing w:after="0" w:line="256" w:lineRule="auto"/>
        <w:rPr>
          <w:sz w:val="20"/>
          <w:szCs w:val="20"/>
          <w:color w:val="auto"/>
        </w:rPr>
      </w:pPr>
      <w:r>
        <w:rPr>
          <w:rFonts w:ascii="Arial" w:cs="Arial" w:eastAsia="Arial" w:hAnsi="Arial"/>
          <w:sz w:val="22"/>
          <w:szCs w:val="22"/>
          <w:b w:val="1"/>
          <w:bCs w:val="1"/>
          <w:color w:val="auto"/>
        </w:rPr>
        <w:t>MATRIX SERVICE INC</w:t>
      </w:r>
      <w:r>
        <w:rPr>
          <w:rFonts w:ascii="Arial" w:cs="Arial" w:eastAsia="Arial" w:hAnsi="Arial"/>
          <w:sz w:val="22"/>
          <w:szCs w:val="22"/>
          <w:color w:val="auto"/>
        </w:rPr>
        <w:t>., an Oklahoma corporation;</w:t>
      </w:r>
      <w:r>
        <w:rPr>
          <w:rFonts w:ascii="Arial" w:cs="Arial" w:eastAsia="Arial" w:hAnsi="Arial"/>
          <w:sz w:val="22"/>
          <w:szCs w:val="22"/>
          <w:b w:val="1"/>
          <w:bCs w:val="1"/>
          <w:color w:val="auto"/>
        </w:rPr>
        <w:t xml:space="preserve"> MATRIX PDM ENGINEERING, INC.</w:t>
      </w:r>
      <w:r>
        <w:rPr>
          <w:rFonts w:ascii="Arial" w:cs="Arial" w:eastAsia="Arial" w:hAnsi="Arial"/>
          <w:sz w:val="22"/>
          <w:szCs w:val="22"/>
          <w:color w:val="auto"/>
        </w:rPr>
        <w:t>, a Delaware corporation;</w:t>
      </w:r>
      <w:r>
        <w:rPr>
          <w:rFonts w:ascii="Arial" w:cs="Arial" w:eastAsia="Arial" w:hAnsi="Arial"/>
          <w:sz w:val="22"/>
          <w:szCs w:val="22"/>
          <w:b w:val="1"/>
          <w:bCs w:val="1"/>
          <w:color w:val="auto"/>
        </w:rPr>
        <w:t xml:space="preserve"> MATRIX NORTH AMERICAN CONSTRUCTION, INC.</w:t>
      </w:r>
      <w:r>
        <w:rPr>
          <w:rFonts w:ascii="Arial" w:cs="Arial" w:eastAsia="Arial" w:hAnsi="Arial"/>
          <w:sz w:val="22"/>
          <w:szCs w:val="22"/>
          <w:color w:val="auto"/>
        </w:rPr>
        <w:t>, an Oklahoma corporation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295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Kevin S. Cavanah</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Vice President or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10100"/>
          </w:cols>
          <w:pgMar w:left="1440" w:top="1422" w:right="35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ADMINISTRATIVE AGENT AND 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JPMORGAN CHASE BANK, N.A.</w:t>
      </w:r>
    </w:p>
    <w:p>
      <w:pPr>
        <w:spacing w:after="0" w:line="200" w:lineRule="exact"/>
        <w:rPr>
          <w:sz w:val="20"/>
          <w:szCs w:val="20"/>
          <w:color w:val="auto"/>
        </w:rPr>
      </w:pPr>
    </w:p>
    <w:p>
      <w:pPr>
        <w:spacing w:after="0" w:line="2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Michael Mattson</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Michael Mattson</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Authorized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BANK, N.A.</w:t>
      </w:r>
    </w:p>
    <w:p>
      <w:pPr>
        <w:spacing w:after="0" w:line="200" w:lineRule="exact"/>
        <w:rPr>
          <w:sz w:val="20"/>
          <w:szCs w:val="20"/>
          <w:color w:val="auto"/>
        </w:rPr>
      </w:pPr>
    </w:p>
    <w:p>
      <w:pPr>
        <w:spacing w:after="0" w:line="296"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Dan Hughes</w:t>
      </w:r>
    </w:p>
    <w:p>
      <w:pPr>
        <w:spacing w:after="0" w:line="21" w:lineRule="exact"/>
        <w:rPr>
          <w:sz w:val="20"/>
          <w:szCs w:val="20"/>
          <w:color w:val="auto"/>
        </w:rPr>
      </w:pP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Dan Hughes</w:t>
      </w:r>
    </w:p>
    <w:p>
      <w:pPr>
        <w:spacing w:after="0" w:line="4"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MONTREAL</w:t>
      </w:r>
    </w:p>
    <w:p>
      <w:pPr>
        <w:spacing w:after="0" w:line="200" w:lineRule="exact"/>
        <w:rPr>
          <w:sz w:val="20"/>
          <w:szCs w:val="20"/>
          <w:color w:val="auto"/>
        </w:rPr>
      </w:pPr>
    </w:p>
    <w:p>
      <w:pPr>
        <w:spacing w:after="0" w:line="296"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John M. Dillon</w:t>
      </w:r>
    </w:p>
    <w:p>
      <w:pPr>
        <w:spacing w:after="0" w:line="21" w:lineRule="exact"/>
        <w:rPr>
          <w:sz w:val="20"/>
          <w:szCs w:val="20"/>
          <w:color w:val="auto"/>
        </w:rPr>
      </w:pP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John M. Dillon</w:t>
      </w:r>
    </w:p>
    <w:p>
      <w:pPr>
        <w:spacing w:after="0" w:line="4"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p>
    <w:p>
      <w:pPr>
        <w:spacing w:after="0" w:line="200" w:lineRule="exact"/>
        <w:rPr>
          <w:sz w:val="20"/>
          <w:szCs w:val="20"/>
          <w:color w:val="auto"/>
        </w:rPr>
      </w:pPr>
    </w:p>
    <w:p>
      <w:pPr>
        <w:spacing w:after="0" w:line="296"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Scott Blackman</w:t>
      </w:r>
    </w:p>
    <w:p>
      <w:pPr>
        <w:spacing w:after="0" w:line="21" w:lineRule="exact"/>
        <w:rPr>
          <w:sz w:val="20"/>
          <w:szCs w:val="20"/>
          <w:color w:val="auto"/>
        </w:rPr>
      </w:pP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Scott Blackman</w:t>
      </w:r>
    </w:p>
    <w:p>
      <w:pPr>
        <w:spacing w:after="0" w:line="4"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u w:val="single" w:color="auto"/>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6" w:name="page57"/>
    <w:bookmarkEnd w:id="56"/>
    <w:p>
      <w:pPr>
        <w:ind w:left="3900"/>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BOKF, N.A., dba BANK OF OKLAHOMA</w:t>
      </w:r>
    </w:p>
    <w:p>
      <w:pPr>
        <w:spacing w:after="0" w:line="200" w:lineRule="exact"/>
        <w:rPr>
          <w:sz w:val="20"/>
          <w:szCs w:val="20"/>
          <w:color w:val="auto"/>
        </w:rPr>
      </w:pPr>
    </w:p>
    <w:p>
      <w:pPr>
        <w:spacing w:after="0" w:line="296"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Paul E. Johnson</w:t>
      </w:r>
    </w:p>
    <w:p>
      <w:pPr>
        <w:spacing w:after="0" w:line="21" w:lineRule="exact"/>
        <w:rPr>
          <w:sz w:val="20"/>
          <w:szCs w:val="20"/>
          <w:color w:val="auto"/>
        </w:rPr>
      </w:pP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Paul E. Johnson</w:t>
      </w:r>
    </w:p>
    <w:p>
      <w:pPr>
        <w:spacing w:after="0" w:line="4"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7" w:name="page58"/>
    <w:bookmarkEnd w:id="57"/>
    <w:p>
      <w:pPr>
        <w:ind w:left="3900"/>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COMMERCE BANK</w:t>
      </w:r>
    </w:p>
    <w:p>
      <w:pPr>
        <w:spacing w:after="0" w:line="200" w:lineRule="exact"/>
        <w:rPr>
          <w:sz w:val="20"/>
          <w:szCs w:val="20"/>
          <w:color w:val="auto"/>
        </w:rPr>
      </w:pPr>
    </w:p>
    <w:p>
      <w:pPr>
        <w:spacing w:after="0" w:line="296"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Stephen Elias</w:t>
      </w:r>
    </w:p>
    <w:p>
      <w:pPr>
        <w:spacing w:after="0" w:line="21" w:lineRule="exact"/>
        <w:rPr>
          <w:sz w:val="20"/>
          <w:szCs w:val="20"/>
          <w:color w:val="auto"/>
        </w:rPr>
      </w:pPr>
    </w:p>
    <w:p>
      <w:pPr>
        <w:ind w:left="3680"/>
        <w:spacing w:after="0"/>
        <w:tabs>
          <w:tab w:leader="none" w:pos="4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Stephen Elias</w:t>
      </w:r>
    </w:p>
    <w:p>
      <w:pPr>
        <w:spacing w:after="0" w:line="4" w:lineRule="exact"/>
        <w:rPr>
          <w:sz w:val="20"/>
          <w:szCs w:val="20"/>
          <w:color w:val="auto"/>
        </w:rPr>
      </w:pPr>
    </w:p>
    <w:p>
      <w:pPr>
        <w:ind w:left="3680"/>
        <w:spacing w:after="0"/>
        <w:tabs>
          <w:tab w:leader="none" w:pos="4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439"/>
        <w:spacing w:after="0"/>
        <w:rPr>
          <w:sz w:val="20"/>
          <w:szCs w:val="20"/>
          <w:color w:val="auto"/>
        </w:rPr>
      </w:pPr>
      <w:r>
        <w:rPr>
          <w:rFonts w:ascii="Arial" w:cs="Arial" w:eastAsia="Arial" w:hAnsi="Arial"/>
          <w:sz w:val="18"/>
          <w:szCs w:val="18"/>
          <w:i w:val="1"/>
          <w:iCs w:val="1"/>
          <w:color w:val="auto"/>
        </w:rPr>
        <w:t>Signature Page to First Amendment to Fifth Amended and Restated Credit Agreement</w:t>
      </w:r>
    </w:p>
    <w:p>
      <w:pPr>
        <w:sectPr>
          <w:pgSz w:w="11900" w:h="16838" w:orient="portrait"/>
          <w:cols w:equalWidth="0" w:num="1">
            <w:col w:w="9919"/>
          </w:cols>
          <w:pgMar w:left="540" w:top="1422"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1422" w:right="1440"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53"/>
        </w:trPr>
        <w:tc>
          <w:tcPr>
            <w:tcW w:w="3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580" w:type="dxa"/>
            <w:vAlign w:val="bottom"/>
            <w:gridSpan w:val="4"/>
          </w:tcPr>
          <w:p>
            <w:pPr>
              <w:jc w:val="center"/>
              <w:ind w:right="4700"/>
              <w:spacing w:after="0"/>
              <w:rPr>
                <w:sz w:val="20"/>
                <w:szCs w:val="20"/>
                <w:color w:val="auto"/>
              </w:rPr>
            </w:pPr>
            <w:r>
              <w:rPr>
                <w:rFonts w:ascii="Arial" w:cs="Arial" w:eastAsia="Arial" w:hAnsi="Arial"/>
                <w:sz w:val="22"/>
                <w:szCs w:val="22"/>
                <w:b w:val="1"/>
                <w:bCs w:val="1"/>
                <w:color w:val="auto"/>
                <w:w w:val="94"/>
              </w:rPr>
              <w:t>SCHEDULE 2.01(b)</w:t>
            </w:r>
          </w:p>
        </w:tc>
      </w:tr>
      <w:tr>
        <w:trPr>
          <w:trHeight w:val="20"/>
        </w:trPr>
        <w:tc>
          <w:tcPr>
            <w:tcW w:w="3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453"/>
        </w:trPr>
        <w:tc>
          <w:tcPr>
            <w:tcW w:w="3680" w:type="dxa"/>
            <w:vAlign w:val="bottom"/>
          </w:tcPr>
          <w:p>
            <w:pPr>
              <w:spacing w:after="0"/>
              <w:rPr>
                <w:sz w:val="24"/>
                <w:szCs w:val="24"/>
                <w:color w:val="auto"/>
              </w:rPr>
            </w:pPr>
          </w:p>
        </w:tc>
        <w:tc>
          <w:tcPr>
            <w:tcW w:w="7580" w:type="dxa"/>
            <w:vAlign w:val="bottom"/>
            <w:gridSpan w:val="5"/>
          </w:tcPr>
          <w:p>
            <w:pPr>
              <w:jc w:val="center"/>
              <w:ind w:right="3680"/>
              <w:spacing w:after="0"/>
              <w:rPr>
                <w:sz w:val="20"/>
                <w:szCs w:val="20"/>
                <w:color w:val="auto"/>
              </w:rPr>
            </w:pPr>
            <w:r>
              <w:rPr>
                <w:rFonts w:ascii="Arial" w:cs="Arial" w:eastAsia="Arial" w:hAnsi="Arial"/>
                <w:sz w:val="22"/>
                <w:szCs w:val="22"/>
                <w:b w:val="1"/>
                <w:bCs w:val="1"/>
                <w:color w:val="auto"/>
              </w:rPr>
              <w:t>LETTER OF CREDIT COMMITMENTS</w:t>
            </w:r>
          </w:p>
        </w:tc>
      </w:tr>
      <w:tr>
        <w:trPr>
          <w:trHeight w:val="503"/>
        </w:trPr>
        <w:tc>
          <w:tcPr>
            <w:tcW w:w="3680" w:type="dxa"/>
            <w:vAlign w:val="bottom"/>
          </w:tcPr>
          <w:p>
            <w:pPr>
              <w:spacing w:after="0"/>
              <w:rPr>
                <w:sz w:val="20"/>
                <w:szCs w:val="20"/>
                <w:color w:val="auto"/>
              </w:rPr>
            </w:pPr>
            <w:r>
              <w:rPr>
                <w:rFonts w:ascii="Arial" w:cs="Arial" w:eastAsia="Arial" w:hAnsi="Arial"/>
                <w:sz w:val="22"/>
                <w:szCs w:val="22"/>
                <w:color w:val="auto"/>
              </w:rPr>
              <w:t>During the Covenant Relief Period:</w:t>
            </w:r>
          </w:p>
        </w:tc>
        <w:tc>
          <w:tcPr>
            <w:tcW w:w="10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r>
      <w:tr>
        <w:trPr>
          <w:trHeight w:val="503"/>
        </w:trPr>
        <w:tc>
          <w:tcPr>
            <w:tcW w:w="3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spacing w:after="0"/>
              <w:rPr>
                <w:sz w:val="24"/>
                <w:szCs w:val="24"/>
                <w:color w:val="auto"/>
              </w:rPr>
            </w:pPr>
          </w:p>
        </w:tc>
      </w:tr>
      <w:tr>
        <w:trPr>
          <w:trHeight w:val="298"/>
        </w:trPr>
        <w:tc>
          <w:tcPr>
            <w:tcW w:w="3680" w:type="dxa"/>
            <w:vAlign w:val="bottom"/>
            <w:tcBorders>
              <w:left w:val="single" w:sz="8" w:color="auto"/>
              <w:bottom w:val="single" w:sz="8" w:color="auto"/>
            </w:tcBorders>
          </w:tcPr>
          <w:p>
            <w:pPr>
              <w:ind w:left="2560"/>
              <w:spacing w:after="0"/>
              <w:rPr>
                <w:sz w:val="20"/>
                <w:szCs w:val="20"/>
                <w:color w:val="auto"/>
              </w:rPr>
            </w:pPr>
            <w:r>
              <w:rPr>
                <w:rFonts w:ascii="Arial" w:cs="Arial" w:eastAsia="Arial" w:hAnsi="Arial"/>
                <w:sz w:val="22"/>
                <w:szCs w:val="22"/>
                <w:b w:val="1"/>
                <w:bCs w:val="1"/>
                <w:color w:val="auto"/>
              </w:rPr>
              <w:t>Lender</w:t>
            </w: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700" w:type="dxa"/>
            <w:vAlign w:val="bottom"/>
            <w:tcBorders>
              <w:bottom w:val="single" w:sz="8" w:color="auto"/>
              <w:right w:val="single" w:sz="8" w:color="auto"/>
            </w:tcBorders>
            <w:gridSpan w:val="2"/>
          </w:tcPr>
          <w:p>
            <w:pPr>
              <w:ind w:left="580"/>
              <w:spacing w:after="0"/>
              <w:rPr>
                <w:sz w:val="20"/>
                <w:szCs w:val="20"/>
                <w:color w:val="auto"/>
              </w:rPr>
            </w:pPr>
            <w:r>
              <w:rPr>
                <w:rFonts w:ascii="Arial" w:cs="Arial" w:eastAsia="Arial" w:hAnsi="Arial"/>
                <w:sz w:val="22"/>
                <w:szCs w:val="22"/>
                <w:b w:val="1"/>
                <w:bCs w:val="1"/>
                <w:color w:val="auto"/>
              </w:rPr>
              <w:t>Letter of Credit Commitment</w:t>
            </w:r>
          </w:p>
        </w:tc>
      </w:tr>
      <w:tr>
        <w:trPr>
          <w:trHeight w:val="304"/>
        </w:trPr>
        <w:tc>
          <w:tcPr>
            <w:tcW w:w="36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2"/>
                <w:szCs w:val="22"/>
                <w:color w:val="auto"/>
              </w:rPr>
              <w:t>JPMorgan Chase Bank, N.A.</w:t>
            </w:r>
          </w:p>
        </w:tc>
        <w:tc>
          <w:tcPr>
            <w:tcW w:w="2100" w:type="dxa"/>
            <w:vAlign w:val="bottom"/>
            <w:tcBorders>
              <w:bottom w:val="single" w:sz="8" w:color="auto"/>
              <w:right w:val="single" w:sz="8" w:color="auto"/>
            </w:tcBorders>
            <w:gridSpan w:val="2"/>
          </w:tcPr>
          <w:p>
            <w:pPr>
              <w:spacing w:after="0"/>
              <w:rPr>
                <w:sz w:val="24"/>
                <w:szCs w:val="24"/>
                <w:color w:val="auto"/>
              </w:rPr>
            </w:pPr>
          </w:p>
        </w:tc>
        <w:tc>
          <w:tcPr>
            <w:tcW w:w="54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$200,000,000.00</w:t>
            </w:r>
          </w:p>
        </w:tc>
      </w:tr>
      <w:tr>
        <w:trPr>
          <w:trHeight w:val="304"/>
        </w:trPr>
        <w:tc>
          <w:tcPr>
            <w:tcW w:w="36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2"/>
                <w:szCs w:val="22"/>
                <w:color w:val="auto"/>
              </w:rPr>
              <w:t>Wells Fargo Bank, N.A.</w:t>
            </w:r>
          </w:p>
        </w:tc>
        <w:tc>
          <w:tcPr>
            <w:tcW w:w="2100" w:type="dxa"/>
            <w:vAlign w:val="bottom"/>
            <w:tcBorders>
              <w:bottom w:val="single" w:sz="8" w:color="auto"/>
              <w:right w:val="single" w:sz="8" w:color="auto"/>
            </w:tcBorders>
            <w:gridSpan w:val="2"/>
          </w:tcPr>
          <w:p>
            <w:pPr>
              <w:spacing w:after="0"/>
              <w:rPr>
                <w:sz w:val="24"/>
                <w:szCs w:val="24"/>
                <w:color w:val="auto"/>
              </w:rPr>
            </w:pPr>
          </w:p>
        </w:tc>
        <w:tc>
          <w:tcPr>
            <w:tcW w:w="54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$0.00</w:t>
            </w:r>
          </w:p>
        </w:tc>
      </w:tr>
      <w:tr>
        <w:trPr>
          <w:trHeight w:val="712"/>
        </w:trPr>
        <w:tc>
          <w:tcPr>
            <w:tcW w:w="11260" w:type="dxa"/>
            <w:vAlign w:val="bottom"/>
            <w:gridSpan w:val="6"/>
          </w:tcPr>
          <w:p>
            <w:pPr>
              <w:spacing w:after="0"/>
              <w:rPr>
                <w:sz w:val="20"/>
                <w:szCs w:val="20"/>
                <w:color w:val="auto"/>
              </w:rPr>
            </w:pPr>
            <w:r>
              <w:rPr>
                <w:rFonts w:ascii="Arial" w:cs="Arial" w:eastAsia="Arial" w:hAnsi="Arial"/>
                <w:sz w:val="22"/>
                <w:szCs w:val="22"/>
                <w:color w:val="auto"/>
              </w:rPr>
              <w:t>After the expiration of the Covenant Relief Period:</w:t>
            </w:r>
          </w:p>
        </w:tc>
      </w:tr>
      <w:tr>
        <w:trPr>
          <w:trHeight w:val="260"/>
        </w:trPr>
        <w:tc>
          <w:tcPr>
            <w:tcW w:w="3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2"/>
          </w:tcPr>
          <w:p>
            <w:pPr>
              <w:spacing w:after="0"/>
              <w:rPr>
                <w:sz w:val="22"/>
                <w:szCs w:val="22"/>
                <w:color w:val="auto"/>
              </w:rPr>
            </w:pPr>
          </w:p>
        </w:tc>
      </w:tr>
      <w:tr>
        <w:trPr>
          <w:trHeight w:val="298"/>
        </w:trPr>
        <w:tc>
          <w:tcPr>
            <w:tcW w:w="3680" w:type="dxa"/>
            <w:vAlign w:val="bottom"/>
            <w:tcBorders>
              <w:left w:val="single" w:sz="8" w:color="auto"/>
              <w:bottom w:val="single" w:sz="8" w:color="auto"/>
            </w:tcBorders>
          </w:tcPr>
          <w:p>
            <w:pPr>
              <w:ind w:left="2560"/>
              <w:spacing w:after="0"/>
              <w:rPr>
                <w:sz w:val="20"/>
                <w:szCs w:val="20"/>
                <w:color w:val="auto"/>
              </w:rPr>
            </w:pPr>
            <w:r>
              <w:rPr>
                <w:rFonts w:ascii="Arial" w:cs="Arial" w:eastAsia="Arial" w:hAnsi="Arial"/>
                <w:sz w:val="22"/>
                <w:szCs w:val="22"/>
                <w:b w:val="1"/>
                <w:bCs w:val="1"/>
                <w:color w:val="auto"/>
              </w:rPr>
              <w:t>Lender</w:t>
            </w: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700" w:type="dxa"/>
            <w:vAlign w:val="bottom"/>
            <w:tcBorders>
              <w:bottom w:val="single" w:sz="8" w:color="auto"/>
              <w:right w:val="single" w:sz="8" w:color="auto"/>
            </w:tcBorders>
            <w:gridSpan w:val="2"/>
          </w:tcPr>
          <w:p>
            <w:pPr>
              <w:ind w:left="580"/>
              <w:spacing w:after="0"/>
              <w:rPr>
                <w:sz w:val="20"/>
                <w:szCs w:val="20"/>
                <w:color w:val="auto"/>
              </w:rPr>
            </w:pPr>
            <w:r>
              <w:rPr>
                <w:rFonts w:ascii="Arial" w:cs="Arial" w:eastAsia="Arial" w:hAnsi="Arial"/>
                <w:sz w:val="22"/>
                <w:szCs w:val="22"/>
                <w:b w:val="1"/>
                <w:bCs w:val="1"/>
                <w:color w:val="auto"/>
              </w:rPr>
              <w:t>Letter of Credit Commitment</w:t>
            </w:r>
          </w:p>
        </w:tc>
      </w:tr>
      <w:tr>
        <w:trPr>
          <w:trHeight w:val="304"/>
        </w:trPr>
        <w:tc>
          <w:tcPr>
            <w:tcW w:w="36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2"/>
                <w:szCs w:val="22"/>
                <w:color w:val="auto"/>
              </w:rPr>
              <w:t>JPMorgan Chase Bank, N.A.</w:t>
            </w:r>
          </w:p>
        </w:tc>
        <w:tc>
          <w:tcPr>
            <w:tcW w:w="2100" w:type="dxa"/>
            <w:vAlign w:val="bottom"/>
            <w:tcBorders>
              <w:bottom w:val="single" w:sz="8" w:color="auto"/>
              <w:right w:val="single" w:sz="8" w:color="auto"/>
            </w:tcBorders>
            <w:gridSpan w:val="2"/>
          </w:tcPr>
          <w:p>
            <w:pPr>
              <w:spacing w:after="0"/>
              <w:rPr>
                <w:sz w:val="24"/>
                <w:szCs w:val="24"/>
                <w:color w:val="auto"/>
              </w:rPr>
            </w:pPr>
          </w:p>
        </w:tc>
        <w:tc>
          <w:tcPr>
            <w:tcW w:w="54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$160,000,000.00</w:t>
            </w:r>
          </w:p>
        </w:tc>
      </w:tr>
      <w:tr>
        <w:trPr>
          <w:trHeight w:val="304"/>
        </w:trPr>
        <w:tc>
          <w:tcPr>
            <w:tcW w:w="368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2"/>
                <w:szCs w:val="22"/>
                <w:color w:val="auto"/>
              </w:rPr>
              <w:t>Wells Fargo Bank, N.A.</w:t>
            </w:r>
          </w:p>
        </w:tc>
        <w:tc>
          <w:tcPr>
            <w:tcW w:w="2100" w:type="dxa"/>
            <w:vAlign w:val="bottom"/>
            <w:tcBorders>
              <w:bottom w:val="single" w:sz="8" w:color="auto"/>
              <w:right w:val="single" w:sz="8" w:color="auto"/>
            </w:tcBorders>
            <w:gridSpan w:val="2"/>
          </w:tcPr>
          <w:p>
            <w:pPr>
              <w:spacing w:after="0"/>
              <w:rPr>
                <w:sz w:val="24"/>
                <w:szCs w:val="24"/>
                <w:color w:val="auto"/>
              </w:rPr>
            </w:pPr>
          </w:p>
        </w:tc>
        <w:tc>
          <w:tcPr>
            <w:tcW w:w="54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7"/>
              </w:rPr>
              <w:t>$40,000,000.00</w:t>
            </w:r>
          </w:p>
        </w:tc>
      </w:tr>
    </w:tbl>
    <w:p>
      <w:pPr>
        <w:sectPr>
          <w:pgSz w:w="11900" w:h="16838" w:orient="portrait"/>
          <w:cols w:equalWidth="0" w:num="1">
            <w:col w:w="11260"/>
          </w:cols>
          <w:pgMar w:left="320" w:top="1399"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u w:val="single" w:color="auto"/>
          <w:color w:val="auto"/>
        </w:rPr>
        <w:t>SCHEDULE 6.01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Existing Indebtedness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9019"/>
          </w:cols>
          <w:pgMar w:left="1440" w:top="1422"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9"/>
          <w:szCs w:val="19"/>
          <w:b w:val="1"/>
          <w:bCs w:val="1"/>
          <w:u w:val="single" w:color="auto"/>
          <w:color w:val="auto"/>
        </w:rPr>
        <w:t>SCHEDULE 6.02</w:t>
      </w:r>
    </w:p>
    <w:p>
      <w:pPr>
        <w:sectPr>
          <w:pgSz w:w="11900" w:h="16838" w:orient="portrait"/>
          <w:cols w:equalWidth="0" w:num="1">
            <w:col w:w="9019"/>
          </w:cols>
          <w:pgMar w:left="1440" w:top="747"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Existing Liens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747" w:right="1440" w:bottom="1440" w:gutter="0" w:footer="0" w:header="0"/>
          <w:type w:val="continuous"/>
        </w:sectPr>
      </w:pPr>
    </w:p>
    <w:bookmarkStart w:id="62" w:name="page63"/>
    <w:bookmarkEnd w:id="62"/>
    <w:p>
      <w:pPr>
        <w:jc w:val="right"/>
        <w:ind w:left="3860"/>
        <w:spacing w:after="0" w:line="269" w:lineRule="auto"/>
        <w:rPr>
          <w:sz w:val="20"/>
          <w:szCs w:val="20"/>
          <w:color w:val="auto"/>
        </w:rPr>
      </w:pPr>
      <w:r>
        <w:rPr>
          <w:rFonts w:ascii="Arial" w:cs="Arial" w:eastAsia="Arial" w:hAnsi="Arial"/>
          <w:sz w:val="22"/>
          <w:szCs w:val="22"/>
          <w:b w:val="1"/>
          <w:bCs w:val="1"/>
          <w:color w:val="auto"/>
        </w:rPr>
        <w:t>ANNEX A TO FIRST AMENDMENT TO FIFTH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325755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FIFTH AMENDED AND RESTATED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CREDIT AGREEMENT</w:t>
      </w:r>
    </w:p>
    <w:p>
      <w:pPr>
        <w:spacing w:after="0" w:line="14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November 2, 2020</w:t>
      </w:r>
    </w:p>
    <w:p>
      <w:pPr>
        <w:spacing w:after="0" w:line="14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among</w:t>
      </w:r>
    </w:p>
    <w:p>
      <w:pPr>
        <w:spacing w:after="0" w:line="166"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MATRIX SERVICE COMPANY,</w:t>
      </w:r>
    </w:p>
    <w:p>
      <w:pPr>
        <w:spacing w:after="0" w:line="166"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The Other Borrowers Party Hereto,</w:t>
      </w:r>
    </w:p>
    <w:p>
      <w:pPr>
        <w:spacing w:after="0" w:line="16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The Lenders Party Hereto,</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Administrative Agent</w:t>
      </w:r>
    </w:p>
    <w:p>
      <w:pPr>
        <w:spacing w:after="0" w:line="14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WELLS FARGO BANK, N.A.,</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BANK OF MONTREAL,</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BANK OF AMERICA, N.A.,</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Co-Syndication Agents</w:t>
      </w:r>
    </w:p>
    <w:p>
      <w:pPr>
        <w:spacing w:after="0" w:line="14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BOKF d/b/a BANK OF OKLAHOMA,</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Co-Documentation Agent</w:t>
      </w:r>
    </w:p>
    <w:p>
      <w:pPr>
        <w:spacing w:after="0" w:line="142"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 * *</w:t>
      </w:r>
    </w:p>
    <w:p>
      <w:pPr>
        <w:spacing w:after="0" w:line="166"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193040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20"/>
          </w:cols>
          <w:pgMar w:left="1440" w:top="1206" w:right="339" w:bottom="1440" w:gutter="0" w:footer="0" w:header="0"/>
        </w:sectPr>
      </w:pPr>
    </w:p>
    <w:bookmarkStart w:id="63" w:name="page64"/>
    <w:bookmarkEnd w:id="63"/>
    <w:p>
      <w:pPr>
        <w:ind w:left="44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00" w:type="dxa"/>
            <w:vAlign w:val="bottom"/>
          </w:tcPr>
          <w:p>
            <w:pPr>
              <w:spacing w:after="0"/>
              <w:rPr>
                <w:sz w:val="20"/>
                <w:szCs w:val="20"/>
                <w:color w:val="auto"/>
              </w:rPr>
            </w:pPr>
            <w:r>
              <w:rPr>
                <w:rFonts w:ascii="Arial" w:cs="Arial" w:eastAsia="Arial" w:hAnsi="Arial"/>
                <w:sz w:val="22"/>
                <w:szCs w:val="22"/>
                <w:color w:val="auto"/>
              </w:rPr>
              <w:t>ARTICLE I Definitions</w:t>
            </w:r>
          </w:p>
        </w:tc>
        <w:tc>
          <w:tcPr>
            <w:tcW w:w="1640" w:type="dxa"/>
            <w:vAlign w:val="bottom"/>
          </w:tcPr>
          <w:p>
            <w:pPr>
              <w:ind w:left="1420"/>
              <w:spacing w:after="0"/>
              <w:rPr>
                <w:sz w:val="20"/>
                <w:szCs w:val="20"/>
                <w:color w:val="auto"/>
              </w:rPr>
            </w:pPr>
            <w:r>
              <w:rPr>
                <w:rFonts w:ascii="Arial" w:cs="Arial" w:eastAsia="Arial" w:hAnsi="Arial"/>
                <w:sz w:val="22"/>
                <w:szCs w:val="22"/>
                <w:color w:val="auto"/>
              </w:rPr>
              <w:t>1</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1.01 Defined Terms</w:t>
            </w:r>
          </w:p>
        </w:tc>
        <w:tc>
          <w:tcPr>
            <w:tcW w:w="1640" w:type="dxa"/>
            <w:vAlign w:val="bottom"/>
          </w:tcPr>
          <w:p>
            <w:pPr>
              <w:ind w:left="1420"/>
              <w:spacing w:after="0"/>
              <w:rPr>
                <w:sz w:val="20"/>
                <w:szCs w:val="20"/>
                <w:color w:val="auto"/>
              </w:rPr>
            </w:pPr>
            <w:r>
              <w:rPr>
                <w:rFonts w:ascii="Arial" w:cs="Arial" w:eastAsia="Arial" w:hAnsi="Arial"/>
                <w:sz w:val="22"/>
                <w:szCs w:val="22"/>
                <w:color w:val="auto"/>
              </w:rPr>
              <w:t>1</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1.02 Classification of Loans and Borrowings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41</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1.03 Terms Generally</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41</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1.04 Accounting Terms; GAAP</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42</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1.05 Currency Matters; Determination of U.S. Dollar Amounts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43</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1.06 Interest Rates; LIBOR Notification</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44</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1.07 Letter of Credit Amounts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45</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1.08 Divisions</w:t>
            </w:r>
          </w:p>
        </w:tc>
        <w:tc>
          <w:tcPr>
            <w:tcW w:w="1640" w:type="dxa"/>
            <w:vAlign w:val="bottom"/>
          </w:tcPr>
          <w:p>
            <w:pPr>
              <w:spacing w:after="0"/>
              <w:rPr>
                <w:sz w:val="24"/>
                <w:szCs w:val="24"/>
                <w:color w:val="auto"/>
              </w:rPr>
            </w:pP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ARTICLE II The Credits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45</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2.01 Loans and Revolving Commitments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45</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2.02 Loans and Borrowings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45</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2.03 Requests for Revolving Borrowings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46</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2.04 Increase in Revolving Commitments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47</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2.05 Swingline Loans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49</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2.06 Letters of Credit</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51</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2.07 Funding of Borrowings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57</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2.08 Interest Elections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58</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2.09 Termination and Reduction of Revolving Commitments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59</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2.10 Repayment of Loans; Evidence of Debt</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60</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2.11 Prepayment of Loans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61</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2.12 Fees; Cost of Audits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62</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2.13 Interest</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63</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2.14 Alternate Rate of Interest; Illegality</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65</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2.15 Increased Costs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69</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2.16 Break Funding Payments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70</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2.17 Taxes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71</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2.18 Payments Generally; Pro Rata Treatment; Sharing of Set-offs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77</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2.19 Mitigation Obligations; Replacement of the Lenders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78</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2.20 Defaulting Lenders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79</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2.21 Illegality</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83</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2.22 Borrower Representative</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83</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ARTICLE III Representations and Warranties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84</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3.01 Organization; Powers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84</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3.02 Authorization; Enforceability</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84</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3.03 Governmental Approvals; No Conflicts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84</w:t>
            </w:r>
          </w:p>
        </w:tc>
      </w:tr>
      <w:tr>
        <w:trPr>
          <w:trHeight w:val="310"/>
        </w:trPr>
        <w:tc>
          <w:tcPr>
            <w:tcW w:w="9000" w:type="dxa"/>
            <w:vAlign w:val="bottom"/>
          </w:tcPr>
          <w:p>
            <w:pPr>
              <w:spacing w:after="0"/>
              <w:rPr>
                <w:sz w:val="20"/>
                <w:szCs w:val="20"/>
                <w:color w:val="auto"/>
              </w:rPr>
            </w:pPr>
            <w:r>
              <w:rPr>
                <w:rFonts w:ascii="Arial" w:cs="Arial" w:eastAsia="Arial" w:hAnsi="Arial"/>
                <w:sz w:val="22"/>
                <w:szCs w:val="22"/>
                <w:color w:val="auto"/>
              </w:rPr>
              <w:t>SECTION 3.04 Financial Condition; No Material Adverse Change; Absence of Default</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84</w:t>
            </w:r>
          </w:p>
        </w:tc>
      </w:tr>
      <w:tr>
        <w:trPr>
          <w:trHeight w:val="311"/>
        </w:trPr>
        <w:tc>
          <w:tcPr>
            <w:tcW w:w="9000" w:type="dxa"/>
            <w:vAlign w:val="bottom"/>
          </w:tcPr>
          <w:p>
            <w:pPr>
              <w:spacing w:after="0"/>
              <w:rPr>
                <w:sz w:val="20"/>
                <w:szCs w:val="20"/>
                <w:color w:val="auto"/>
              </w:rPr>
            </w:pPr>
            <w:r>
              <w:rPr>
                <w:rFonts w:ascii="Arial" w:cs="Arial" w:eastAsia="Arial" w:hAnsi="Arial"/>
                <w:sz w:val="22"/>
                <w:szCs w:val="22"/>
                <w:color w:val="auto"/>
              </w:rPr>
              <w:t>SECTION 3.05 Properties</w:t>
            </w:r>
          </w:p>
        </w:tc>
        <w:tc>
          <w:tcPr>
            <w:tcW w:w="1640" w:type="dxa"/>
            <w:vAlign w:val="bottom"/>
          </w:tcPr>
          <w:p>
            <w:pPr>
              <w:ind w:left="1420"/>
              <w:spacing w:after="0"/>
              <w:rPr>
                <w:sz w:val="20"/>
                <w:szCs w:val="20"/>
                <w:color w:val="auto"/>
              </w:rPr>
            </w:pPr>
            <w:r>
              <w:rPr>
                <w:rFonts w:ascii="Arial" w:cs="Arial" w:eastAsia="Arial" w:hAnsi="Arial"/>
                <w:sz w:val="22"/>
                <w:szCs w:val="22"/>
                <w:color w:val="auto"/>
                <w:w w:val="81"/>
              </w:rPr>
              <w:t>85</w:t>
            </w:r>
          </w:p>
        </w:tc>
      </w:tr>
    </w:tbl>
    <w:p>
      <w:pPr>
        <w:spacing w:after="0" w:line="200" w:lineRule="exact"/>
        <w:rPr>
          <w:sz w:val="20"/>
          <w:szCs w:val="20"/>
          <w:color w:val="auto"/>
        </w:rPr>
      </w:pPr>
    </w:p>
    <w:p>
      <w:pPr>
        <w:sectPr>
          <w:pgSz w:w="11900" w:h="16838" w:orient="portrait"/>
          <w:cols w:equalWidth="0" w:num="1">
            <w:col w:w="10640"/>
          </w:cols>
          <w:pgMar w:left="340" w:top="1422" w:right="919" w:bottom="6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640"/>
          </w:cols>
          <w:pgMar w:left="340" w:top="1422" w:right="919" w:bottom="688" w:gutter="0" w:footer="0" w:header="0"/>
          <w:type w:val="continuous"/>
        </w:sectPr>
      </w:pPr>
    </w:p>
    <w:bookmarkStart w:id="64" w:name="page65"/>
    <w:bookmarkEnd w:id="6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540" w:type="dxa"/>
            <w:vAlign w:val="bottom"/>
          </w:tcPr>
          <w:p>
            <w:pPr>
              <w:spacing w:after="0"/>
              <w:rPr>
                <w:sz w:val="20"/>
                <w:szCs w:val="20"/>
                <w:color w:val="auto"/>
              </w:rPr>
            </w:pPr>
            <w:r>
              <w:rPr>
                <w:rFonts w:ascii="Arial" w:cs="Arial" w:eastAsia="Arial" w:hAnsi="Arial"/>
                <w:sz w:val="22"/>
                <w:szCs w:val="22"/>
                <w:color w:val="auto"/>
              </w:rPr>
              <w:t>SECTION 3.06 Litigation and Environmental Matters</w:t>
            </w:r>
          </w:p>
        </w:tc>
        <w:tc>
          <w:tcPr>
            <w:tcW w:w="2220" w:type="dxa"/>
            <w:vAlign w:val="bottom"/>
          </w:tcPr>
          <w:p>
            <w:pPr>
              <w:ind w:left="1880"/>
              <w:spacing w:after="0"/>
              <w:rPr>
                <w:sz w:val="20"/>
                <w:szCs w:val="20"/>
                <w:color w:val="auto"/>
              </w:rPr>
            </w:pPr>
            <w:r>
              <w:rPr>
                <w:rFonts w:ascii="Arial" w:cs="Arial" w:eastAsia="Arial" w:hAnsi="Arial"/>
                <w:sz w:val="22"/>
                <w:szCs w:val="22"/>
                <w:color w:val="auto"/>
              </w:rPr>
              <w:t>85</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3.07 Compliance with Laws and Agreements</w:t>
            </w:r>
          </w:p>
        </w:tc>
        <w:tc>
          <w:tcPr>
            <w:tcW w:w="2220" w:type="dxa"/>
            <w:vAlign w:val="bottom"/>
          </w:tcPr>
          <w:p>
            <w:pPr>
              <w:ind w:left="1880"/>
              <w:spacing w:after="0"/>
              <w:rPr>
                <w:sz w:val="20"/>
                <w:szCs w:val="20"/>
                <w:color w:val="auto"/>
              </w:rPr>
            </w:pPr>
            <w:r>
              <w:rPr>
                <w:rFonts w:ascii="Arial" w:cs="Arial" w:eastAsia="Arial" w:hAnsi="Arial"/>
                <w:sz w:val="22"/>
                <w:szCs w:val="22"/>
                <w:color w:val="auto"/>
              </w:rPr>
              <w:t>86</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3.08 Investment Company Status</w:t>
            </w:r>
          </w:p>
        </w:tc>
        <w:tc>
          <w:tcPr>
            <w:tcW w:w="2220" w:type="dxa"/>
            <w:vAlign w:val="bottom"/>
          </w:tcPr>
          <w:p>
            <w:pPr>
              <w:ind w:left="1880"/>
              <w:spacing w:after="0"/>
              <w:rPr>
                <w:sz w:val="20"/>
                <w:szCs w:val="20"/>
                <w:color w:val="auto"/>
              </w:rPr>
            </w:pPr>
            <w:r>
              <w:rPr>
                <w:rFonts w:ascii="Arial" w:cs="Arial" w:eastAsia="Arial" w:hAnsi="Arial"/>
                <w:sz w:val="22"/>
                <w:szCs w:val="22"/>
                <w:color w:val="auto"/>
              </w:rPr>
              <w:t>86</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3.09 Taxes</w:t>
            </w:r>
          </w:p>
        </w:tc>
        <w:tc>
          <w:tcPr>
            <w:tcW w:w="2220" w:type="dxa"/>
            <w:vAlign w:val="bottom"/>
          </w:tcPr>
          <w:p>
            <w:pPr>
              <w:ind w:left="1880"/>
              <w:spacing w:after="0"/>
              <w:rPr>
                <w:sz w:val="20"/>
                <w:szCs w:val="20"/>
                <w:color w:val="auto"/>
              </w:rPr>
            </w:pPr>
            <w:r>
              <w:rPr>
                <w:rFonts w:ascii="Arial" w:cs="Arial" w:eastAsia="Arial" w:hAnsi="Arial"/>
                <w:sz w:val="22"/>
                <w:szCs w:val="22"/>
                <w:color w:val="auto"/>
              </w:rPr>
              <w:t>86</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3.10 ERISA; Canadian Pension and Benefit Plans</w:t>
            </w:r>
          </w:p>
        </w:tc>
        <w:tc>
          <w:tcPr>
            <w:tcW w:w="2220" w:type="dxa"/>
            <w:vAlign w:val="bottom"/>
          </w:tcPr>
          <w:p>
            <w:pPr>
              <w:ind w:left="1880"/>
              <w:spacing w:after="0"/>
              <w:rPr>
                <w:sz w:val="20"/>
                <w:szCs w:val="20"/>
                <w:color w:val="auto"/>
              </w:rPr>
            </w:pPr>
            <w:r>
              <w:rPr>
                <w:rFonts w:ascii="Arial" w:cs="Arial" w:eastAsia="Arial" w:hAnsi="Arial"/>
                <w:sz w:val="22"/>
                <w:szCs w:val="22"/>
                <w:color w:val="auto"/>
              </w:rPr>
              <w:t>86</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3.11 Plan Assets; Prohibited Transactions; ERISA</w:t>
            </w:r>
          </w:p>
        </w:tc>
        <w:tc>
          <w:tcPr>
            <w:tcW w:w="2220" w:type="dxa"/>
            <w:vAlign w:val="bottom"/>
          </w:tcPr>
          <w:p>
            <w:pPr>
              <w:ind w:left="1880"/>
              <w:spacing w:after="0"/>
              <w:rPr>
                <w:sz w:val="20"/>
                <w:szCs w:val="20"/>
                <w:color w:val="auto"/>
              </w:rPr>
            </w:pPr>
            <w:r>
              <w:rPr>
                <w:rFonts w:ascii="Arial" w:cs="Arial" w:eastAsia="Arial" w:hAnsi="Arial"/>
                <w:sz w:val="22"/>
                <w:szCs w:val="22"/>
                <w:color w:val="auto"/>
              </w:rPr>
              <w:t>87</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3.12 Disclosure</w:t>
            </w:r>
          </w:p>
        </w:tc>
        <w:tc>
          <w:tcPr>
            <w:tcW w:w="2220" w:type="dxa"/>
            <w:vAlign w:val="bottom"/>
          </w:tcPr>
          <w:p>
            <w:pPr>
              <w:ind w:left="1880"/>
              <w:spacing w:after="0"/>
              <w:rPr>
                <w:sz w:val="20"/>
                <w:szCs w:val="20"/>
                <w:color w:val="auto"/>
              </w:rPr>
            </w:pPr>
            <w:r>
              <w:rPr>
                <w:rFonts w:ascii="Arial" w:cs="Arial" w:eastAsia="Arial" w:hAnsi="Arial"/>
                <w:sz w:val="22"/>
                <w:szCs w:val="22"/>
                <w:color w:val="auto"/>
              </w:rPr>
              <w:t>87</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3.13 Subsidiaries</w:t>
            </w:r>
          </w:p>
        </w:tc>
        <w:tc>
          <w:tcPr>
            <w:tcW w:w="2220" w:type="dxa"/>
            <w:vAlign w:val="bottom"/>
          </w:tcPr>
          <w:p>
            <w:pPr>
              <w:ind w:left="1880"/>
              <w:spacing w:after="0"/>
              <w:rPr>
                <w:sz w:val="20"/>
                <w:szCs w:val="20"/>
                <w:color w:val="auto"/>
              </w:rPr>
            </w:pPr>
            <w:r>
              <w:rPr>
                <w:rFonts w:ascii="Arial" w:cs="Arial" w:eastAsia="Arial" w:hAnsi="Arial"/>
                <w:sz w:val="22"/>
                <w:szCs w:val="22"/>
                <w:color w:val="auto"/>
              </w:rPr>
              <w:t>87</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3.14 Material Agreements</w:t>
            </w:r>
          </w:p>
        </w:tc>
        <w:tc>
          <w:tcPr>
            <w:tcW w:w="2220" w:type="dxa"/>
            <w:vAlign w:val="bottom"/>
          </w:tcPr>
          <w:p>
            <w:pPr>
              <w:ind w:left="1880"/>
              <w:spacing w:after="0"/>
              <w:rPr>
                <w:sz w:val="20"/>
                <w:szCs w:val="20"/>
                <w:color w:val="auto"/>
              </w:rPr>
            </w:pPr>
            <w:r>
              <w:rPr>
                <w:rFonts w:ascii="Arial" w:cs="Arial" w:eastAsia="Arial" w:hAnsi="Arial"/>
                <w:sz w:val="22"/>
                <w:szCs w:val="22"/>
                <w:color w:val="auto"/>
              </w:rPr>
              <w:t>88</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3.15 Post-Retirement Benefits</w:t>
            </w:r>
          </w:p>
        </w:tc>
        <w:tc>
          <w:tcPr>
            <w:tcW w:w="2220" w:type="dxa"/>
            <w:vAlign w:val="bottom"/>
          </w:tcPr>
          <w:p>
            <w:pPr>
              <w:ind w:left="1880"/>
              <w:spacing w:after="0"/>
              <w:rPr>
                <w:sz w:val="20"/>
                <w:szCs w:val="20"/>
                <w:color w:val="auto"/>
              </w:rPr>
            </w:pPr>
            <w:r>
              <w:rPr>
                <w:rFonts w:ascii="Arial" w:cs="Arial" w:eastAsia="Arial" w:hAnsi="Arial"/>
                <w:sz w:val="22"/>
                <w:szCs w:val="22"/>
                <w:color w:val="auto"/>
              </w:rPr>
              <w:t>88</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3.16 Solvency</w:t>
            </w:r>
          </w:p>
        </w:tc>
        <w:tc>
          <w:tcPr>
            <w:tcW w:w="2220" w:type="dxa"/>
            <w:vAlign w:val="bottom"/>
          </w:tcPr>
          <w:p>
            <w:pPr>
              <w:ind w:left="1880"/>
              <w:spacing w:after="0"/>
              <w:rPr>
                <w:sz w:val="20"/>
                <w:szCs w:val="20"/>
                <w:color w:val="auto"/>
              </w:rPr>
            </w:pPr>
            <w:r>
              <w:rPr>
                <w:rFonts w:ascii="Arial" w:cs="Arial" w:eastAsia="Arial" w:hAnsi="Arial"/>
                <w:sz w:val="22"/>
                <w:szCs w:val="22"/>
                <w:color w:val="auto"/>
              </w:rPr>
              <w:t>88</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3.17 Payment and Performance Bonds</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3.18 Commercial Tort Claims</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3.19 Anti-Corruption Laws and Sanctions</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3.20 Affected Financial Institution</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3.21 Plan Assets</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ARTICLE IV Conditions</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4.01 Effective Date</w:t>
            </w:r>
          </w:p>
        </w:tc>
        <w:tc>
          <w:tcPr>
            <w:tcW w:w="2220" w:type="dxa"/>
            <w:vAlign w:val="bottom"/>
          </w:tcPr>
          <w:p>
            <w:pPr>
              <w:ind w:left="1880"/>
              <w:spacing w:after="0"/>
              <w:rPr>
                <w:sz w:val="20"/>
                <w:szCs w:val="20"/>
                <w:color w:val="auto"/>
              </w:rPr>
            </w:pPr>
            <w:r>
              <w:rPr>
                <w:rFonts w:ascii="Arial" w:cs="Arial" w:eastAsia="Arial" w:hAnsi="Arial"/>
                <w:sz w:val="22"/>
                <w:szCs w:val="22"/>
                <w:color w:val="auto"/>
              </w:rPr>
              <w:t>89</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4.02 Each Credit Event</w:t>
            </w:r>
          </w:p>
        </w:tc>
        <w:tc>
          <w:tcPr>
            <w:tcW w:w="2220" w:type="dxa"/>
            <w:vAlign w:val="bottom"/>
          </w:tcPr>
          <w:p>
            <w:pPr>
              <w:ind w:left="1880"/>
              <w:spacing w:after="0"/>
              <w:rPr>
                <w:sz w:val="20"/>
                <w:szCs w:val="20"/>
                <w:color w:val="auto"/>
              </w:rPr>
            </w:pPr>
            <w:r>
              <w:rPr>
                <w:rFonts w:ascii="Arial" w:cs="Arial" w:eastAsia="Arial" w:hAnsi="Arial"/>
                <w:sz w:val="22"/>
                <w:szCs w:val="22"/>
                <w:color w:val="auto"/>
              </w:rPr>
              <w:t>91</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ARTICLE V Affirmative Covenants</w:t>
            </w:r>
          </w:p>
        </w:tc>
        <w:tc>
          <w:tcPr>
            <w:tcW w:w="2220" w:type="dxa"/>
            <w:vAlign w:val="bottom"/>
          </w:tcPr>
          <w:p>
            <w:pPr>
              <w:ind w:left="1880"/>
              <w:spacing w:after="0"/>
              <w:rPr>
                <w:sz w:val="20"/>
                <w:szCs w:val="20"/>
                <w:color w:val="auto"/>
              </w:rPr>
            </w:pPr>
            <w:r>
              <w:rPr>
                <w:rFonts w:ascii="Arial" w:cs="Arial" w:eastAsia="Arial" w:hAnsi="Arial"/>
                <w:sz w:val="22"/>
                <w:szCs w:val="22"/>
                <w:color w:val="auto"/>
              </w:rPr>
              <w:t>92</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5.01 Financial Statements; Other Information</w:t>
            </w:r>
          </w:p>
        </w:tc>
        <w:tc>
          <w:tcPr>
            <w:tcW w:w="2220" w:type="dxa"/>
            <w:vAlign w:val="bottom"/>
          </w:tcPr>
          <w:p>
            <w:pPr>
              <w:ind w:left="1880"/>
              <w:spacing w:after="0"/>
              <w:rPr>
                <w:sz w:val="20"/>
                <w:szCs w:val="20"/>
                <w:color w:val="auto"/>
              </w:rPr>
            </w:pPr>
            <w:r>
              <w:rPr>
                <w:rFonts w:ascii="Arial" w:cs="Arial" w:eastAsia="Arial" w:hAnsi="Arial"/>
                <w:sz w:val="22"/>
                <w:szCs w:val="22"/>
                <w:color w:val="auto"/>
              </w:rPr>
              <w:t>92</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5.02 Notices of Material Events</w:t>
            </w:r>
          </w:p>
        </w:tc>
        <w:tc>
          <w:tcPr>
            <w:tcW w:w="2220" w:type="dxa"/>
            <w:vAlign w:val="bottom"/>
          </w:tcPr>
          <w:p>
            <w:pPr>
              <w:ind w:left="1880"/>
              <w:spacing w:after="0"/>
              <w:rPr>
                <w:sz w:val="20"/>
                <w:szCs w:val="20"/>
                <w:color w:val="auto"/>
              </w:rPr>
            </w:pPr>
            <w:r>
              <w:rPr>
                <w:rFonts w:ascii="Arial" w:cs="Arial" w:eastAsia="Arial" w:hAnsi="Arial"/>
                <w:sz w:val="22"/>
                <w:szCs w:val="22"/>
                <w:color w:val="auto"/>
              </w:rPr>
              <w:t>95</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5.03 Existence; Conduct of Business</w:t>
            </w:r>
          </w:p>
        </w:tc>
        <w:tc>
          <w:tcPr>
            <w:tcW w:w="2220" w:type="dxa"/>
            <w:vAlign w:val="bottom"/>
          </w:tcPr>
          <w:p>
            <w:pPr>
              <w:ind w:left="1880"/>
              <w:spacing w:after="0"/>
              <w:rPr>
                <w:sz w:val="20"/>
                <w:szCs w:val="20"/>
                <w:color w:val="auto"/>
              </w:rPr>
            </w:pPr>
            <w:r>
              <w:rPr>
                <w:rFonts w:ascii="Arial" w:cs="Arial" w:eastAsia="Arial" w:hAnsi="Arial"/>
                <w:sz w:val="22"/>
                <w:szCs w:val="22"/>
                <w:color w:val="auto"/>
              </w:rPr>
              <w:t>96</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5.04 Payment of Obligations</w:t>
            </w:r>
          </w:p>
        </w:tc>
        <w:tc>
          <w:tcPr>
            <w:tcW w:w="2220" w:type="dxa"/>
            <w:vAlign w:val="bottom"/>
          </w:tcPr>
          <w:p>
            <w:pPr>
              <w:ind w:left="1880"/>
              <w:spacing w:after="0"/>
              <w:rPr>
                <w:sz w:val="20"/>
                <w:szCs w:val="20"/>
                <w:color w:val="auto"/>
              </w:rPr>
            </w:pPr>
            <w:r>
              <w:rPr>
                <w:rFonts w:ascii="Arial" w:cs="Arial" w:eastAsia="Arial" w:hAnsi="Arial"/>
                <w:sz w:val="22"/>
                <w:szCs w:val="22"/>
                <w:color w:val="auto"/>
              </w:rPr>
              <w:t>96</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5.05 Maintenance of Properties; Insurance</w:t>
            </w:r>
          </w:p>
        </w:tc>
        <w:tc>
          <w:tcPr>
            <w:tcW w:w="2220" w:type="dxa"/>
            <w:vAlign w:val="bottom"/>
          </w:tcPr>
          <w:p>
            <w:pPr>
              <w:ind w:left="1880"/>
              <w:spacing w:after="0"/>
              <w:rPr>
                <w:sz w:val="20"/>
                <w:szCs w:val="20"/>
                <w:color w:val="auto"/>
              </w:rPr>
            </w:pPr>
            <w:r>
              <w:rPr>
                <w:rFonts w:ascii="Arial" w:cs="Arial" w:eastAsia="Arial" w:hAnsi="Arial"/>
                <w:sz w:val="22"/>
                <w:szCs w:val="22"/>
                <w:color w:val="auto"/>
              </w:rPr>
              <w:t>96</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5.06 Books and Records; Inspection Rights</w:t>
            </w:r>
          </w:p>
        </w:tc>
        <w:tc>
          <w:tcPr>
            <w:tcW w:w="2220" w:type="dxa"/>
            <w:vAlign w:val="bottom"/>
          </w:tcPr>
          <w:p>
            <w:pPr>
              <w:ind w:left="1880"/>
              <w:spacing w:after="0"/>
              <w:rPr>
                <w:sz w:val="20"/>
                <w:szCs w:val="20"/>
                <w:color w:val="auto"/>
              </w:rPr>
            </w:pPr>
            <w:r>
              <w:rPr>
                <w:rFonts w:ascii="Arial" w:cs="Arial" w:eastAsia="Arial" w:hAnsi="Arial"/>
                <w:sz w:val="22"/>
                <w:szCs w:val="22"/>
                <w:color w:val="auto"/>
              </w:rPr>
              <w:t>96</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5.07 Compliance with Laws</w:t>
            </w:r>
          </w:p>
        </w:tc>
        <w:tc>
          <w:tcPr>
            <w:tcW w:w="2220" w:type="dxa"/>
            <w:vAlign w:val="bottom"/>
          </w:tcPr>
          <w:p>
            <w:pPr>
              <w:ind w:left="1880"/>
              <w:spacing w:after="0"/>
              <w:rPr>
                <w:sz w:val="20"/>
                <w:szCs w:val="20"/>
                <w:color w:val="auto"/>
              </w:rPr>
            </w:pPr>
            <w:r>
              <w:rPr>
                <w:rFonts w:ascii="Arial" w:cs="Arial" w:eastAsia="Arial" w:hAnsi="Arial"/>
                <w:sz w:val="22"/>
                <w:szCs w:val="22"/>
                <w:color w:val="auto"/>
              </w:rPr>
              <w:t>97</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5.08 Use of Proceeds and Letters of Credit</w:t>
            </w:r>
          </w:p>
        </w:tc>
        <w:tc>
          <w:tcPr>
            <w:tcW w:w="2220" w:type="dxa"/>
            <w:vAlign w:val="bottom"/>
          </w:tcPr>
          <w:p>
            <w:pPr>
              <w:ind w:left="1880"/>
              <w:spacing w:after="0"/>
              <w:rPr>
                <w:sz w:val="20"/>
                <w:szCs w:val="20"/>
                <w:color w:val="auto"/>
              </w:rPr>
            </w:pPr>
            <w:r>
              <w:rPr>
                <w:rFonts w:ascii="Arial" w:cs="Arial" w:eastAsia="Arial" w:hAnsi="Arial"/>
                <w:sz w:val="22"/>
                <w:szCs w:val="22"/>
                <w:color w:val="auto"/>
              </w:rPr>
              <w:t>97</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5.09 Additional Subsidiaries; Subsidiary Guarantors</w:t>
            </w:r>
          </w:p>
        </w:tc>
        <w:tc>
          <w:tcPr>
            <w:tcW w:w="2220" w:type="dxa"/>
            <w:vAlign w:val="bottom"/>
          </w:tcPr>
          <w:p>
            <w:pPr>
              <w:ind w:left="1880"/>
              <w:spacing w:after="0"/>
              <w:rPr>
                <w:sz w:val="20"/>
                <w:szCs w:val="20"/>
                <w:color w:val="auto"/>
              </w:rPr>
            </w:pPr>
            <w:r>
              <w:rPr>
                <w:rFonts w:ascii="Arial" w:cs="Arial" w:eastAsia="Arial" w:hAnsi="Arial"/>
                <w:sz w:val="22"/>
                <w:szCs w:val="22"/>
                <w:color w:val="auto"/>
              </w:rPr>
              <w:t>97</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5.10 Collateral Records</w:t>
            </w:r>
          </w:p>
        </w:tc>
        <w:tc>
          <w:tcPr>
            <w:tcW w:w="2220" w:type="dxa"/>
            <w:vAlign w:val="bottom"/>
          </w:tcPr>
          <w:p>
            <w:pPr>
              <w:ind w:left="1880"/>
              <w:spacing w:after="0"/>
              <w:rPr>
                <w:sz w:val="20"/>
                <w:szCs w:val="20"/>
                <w:color w:val="auto"/>
              </w:rPr>
            </w:pPr>
            <w:r>
              <w:rPr>
                <w:rFonts w:ascii="Arial" w:cs="Arial" w:eastAsia="Arial" w:hAnsi="Arial"/>
                <w:sz w:val="22"/>
                <w:szCs w:val="22"/>
                <w:color w:val="auto"/>
              </w:rPr>
              <w:t>98</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5.11 Security Interests</w:t>
            </w:r>
          </w:p>
        </w:tc>
        <w:tc>
          <w:tcPr>
            <w:tcW w:w="2220" w:type="dxa"/>
            <w:vAlign w:val="bottom"/>
          </w:tcPr>
          <w:p>
            <w:pPr>
              <w:ind w:left="1880"/>
              <w:spacing w:after="0"/>
              <w:rPr>
                <w:sz w:val="20"/>
                <w:szCs w:val="20"/>
                <w:color w:val="auto"/>
              </w:rPr>
            </w:pPr>
            <w:r>
              <w:rPr>
                <w:rFonts w:ascii="Arial" w:cs="Arial" w:eastAsia="Arial" w:hAnsi="Arial"/>
                <w:sz w:val="22"/>
                <w:szCs w:val="22"/>
                <w:color w:val="auto"/>
              </w:rPr>
              <w:t>98</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5.12 Canadian Benefit Plans</w:t>
            </w:r>
          </w:p>
        </w:tc>
        <w:tc>
          <w:tcPr>
            <w:tcW w:w="2220" w:type="dxa"/>
            <w:vAlign w:val="bottom"/>
          </w:tcPr>
          <w:p>
            <w:pPr>
              <w:ind w:left="1880"/>
              <w:spacing w:after="0"/>
              <w:rPr>
                <w:sz w:val="20"/>
                <w:szCs w:val="20"/>
                <w:color w:val="auto"/>
              </w:rPr>
            </w:pPr>
            <w:r>
              <w:rPr>
                <w:rFonts w:ascii="Arial" w:cs="Arial" w:eastAsia="Arial" w:hAnsi="Arial"/>
                <w:sz w:val="22"/>
                <w:szCs w:val="22"/>
                <w:color w:val="auto"/>
              </w:rPr>
              <w:t>99</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5.13 Post-Closing Obligations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100</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5.14 Appraisals of Mortgaged Property</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100</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ARTICLE VI Negative Covenants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100</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6.01 Indebtedness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100</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6.02 Liens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102</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6.03 Fundamental Changes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103</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6.04 Investments, Loans, Advances, Guarantees and Acquisitions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104</w:t>
            </w:r>
          </w:p>
        </w:tc>
      </w:tr>
      <w:tr>
        <w:trPr>
          <w:trHeight w:val="310"/>
        </w:trPr>
        <w:tc>
          <w:tcPr>
            <w:tcW w:w="8540" w:type="dxa"/>
            <w:vAlign w:val="bottom"/>
          </w:tcPr>
          <w:p>
            <w:pPr>
              <w:spacing w:after="0"/>
              <w:rPr>
                <w:sz w:val="20"/>
                <w:szCs w:val="20"/>
                <w:color w:val="auto"/>
              </w:rPr>
            </w:pPr>
            <w:r>
              <w:rPr>
                <w:rFonts w:ascii="Arial" w:cs="Arial" w:eastAsia="Arial" w:hAnsi="Arial"/>
                <w:sz w:val="22"/>
                <w:szCs w:val="22"/>
                <w:color w:val="auto"/>
              </w:rPr>
              <w:t>SECTION 6.05 Swap Agreements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106</w:t>
            </w:r>
          </w:p>
        </w:tc>
      </w:tr>
      <w:tr>
        <w:trPr>
          <w:trHeight w:val="311"/>
        </w:trPr>
        <w:tc>
          <w:tcPr>
            <w:tcW w:w="8540" w:type="dxa"/>
            <w:vAlign w:val="bottom"/>
          </w:tcPr>
          <w:p>
            <w:pPr>
              <w:spacing w:after="0"/>
              <w:rPr>
                <w:sz w:val="20"/>
                <w:szCs w:val="20"/>
                <w:color w:val="auto"/>
              </w:rPr>
            </w:pPr>
            <w:r>
              <w:rPr>
                <w:rFonts w:ascii="Arial" w:cs="Arial" w:eastAsia="Arial" w:hAnsi="Arial"/>
                <w:sz w:val="22"/>
                <w:szCs w:val="22"/>
                <w:color w:val="auto"/>
              </w:rPr>
              <w:t>SECTION 6.06 Restricted Payments</w:t>
            </w:r>
          </w:p>
        </w:tc>
        <w:tc>
          <w:tcPr>
            <w:tcW w:w="2220" w:type="dxa"/>
            <w:vAlign w:val="bottom"/>
          </w:tcPr>
          <w:p>
            <w:pPr>
              <w:ind w:left="1880"/>
              <w:spacing w:after="0"/>
              <w:rPr>
                <w:sz w:val="20"/>
                <w:szCs w:val="20"/>
                <w:color w:val="auto"/>
              </w:rPr>
            </w:pPr>
            <w:r>
              <w:rPr>
                <w:rFonts w:ascii="Arial" w:cs="Arial" w:eastAsia="Arial" w:hAnsi="Arial"/>
                <w:sz w:val="22"/>
                <w:szCs w:val="22"/>
                <w:color w:val="auto"/>
                <w:w w:val="87"/>
              </w:rPr>
              <w:t>106</w:t>
            </w:r>
          </w:p>
        </w:tc>
      </w:tr>
    </w:tbl>
    <w:p>
      <w:pPr>
        <w:spacing w:after="0" w:line="200" w:lineRule="exact"/>
        <w:rPr>
          <w:sz w:val="20"/>
          <w:szCs w:val="20"/>
          <w:color w:val="auto"/>
        </w:rPr>
      </w:pPr>
    </w:p>
    <w:p>
      <w:pPr>
        <w:sectPr>
          <w:pgSz w:w="11900" w:h="16838" w:orient="portrait"/>
          <w:cols w:equalWidth="0" w:num="1">
            <w:col w:w="10760"/>
          </w:cols>
          <w:pgMar w:left="340" w:top="1440" w:right="799"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760"/>
          </w:cols>
          <w:pgMar w:left="340" w:top="1440" w:right="799" w:bottom="764" w:gutter="0" w:footer="0" w:header="0"/>
          <w:type w:val="continuous"/>
        </w:sectPr>
      </w:pPr>
    </w:p>
    <w:bookmarkStart w:id="65" w:name="page66"/>
    <w:bookmarkEnd w:id="6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00" w:type="dxa"/>
            <w:vAlign w:val="bottom"/>
          </w:tcPr>
          <w:p>
            <w:pPr>
              <w:spacing w:after="0"/>
              <w:rPr>
                <w:sz w:val="20"/>
                <w:szCs w:val="20"/>
                <w:color w:val="auto"/>
              </w:rPr>
            </w:pPr>
            <w:r>
              <w:rPr>
                <w:rFonts w:ascii="Arial" w:cs="Arial" w:eastAsia="Arial" w:hAnsi="Arial"/>
                <w:sz w:val="22"/>
                <w:szCs w:val="22"/>
                <w:color w:val="auto"/>
              </w:rPr>
              <w:t>SECTION 6.07 Transactions with Affiliates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107</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6.08 Restrictive Agreements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107</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6.09 Amendments to Agreements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108</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6.10 Sale of Accounts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6.11 Sale and Leaseback Transactions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108</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6.12 Leverage Ratio</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6.13 Fixed Charge Coverage Ratio</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108</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6.14 Minimum Consolidated EBITDA</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6.15 Minimum Unencumbered Cash</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6.16 Capital Expenditures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6.17 Employee Pension Benefit Plan; Canadian Pension Plans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ARTICLE VII Events of Default</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7.01 Events of Default</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109</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7.02 Cash Collateral</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112</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ARTICLE VIII The Administrative Agent</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113</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8.01 Authorization and Action</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113</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8.02 Administrative Agent’s Reliance, Limitation of Liability, Etc</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8.03 Posting of Communications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117</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8.04 The Administrative Agent Individually</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8.05 Successor Administrative Agent</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119</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8.06 Acknowledgements of Lenders and Issuing Banks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120</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8.07 Collateral Matters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122</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8.08 Credit Bidding</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123</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8.09 Certain ERISA Matters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124</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ARTICLE IX Miscellaneous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9.01 Notices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9.02 Waivers; Amendments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127</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9.03 Expenses; Limitation of Liability; Indemnity; Etc</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128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9.04 Successors and Assigns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130</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9.05 Disclosure</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9.06 Survival</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9.07 Counterparts; Integration; Effectiveness; Electronic Execution</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135</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9.08 Severability</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137</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9.09 Right of Set-off</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137</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9.10 Governing Law; Jurisdiction; Consent to Service of Process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137</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9.11 WAIVER OF JURY TRIAL</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138</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9.12 Headings</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9.13 Confidentiality</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138</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9.14 Interest Rate Limitation</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139</w:t>
            </w:r>
          </w:p>
        </w:tc>
      </w:tr>
      <w:tr>
        <w:trPr>
          <w:trHeight w:val="311"/>
        </w:trPr>
        <w:tc>
          <w:tcPr>
            <w:tcW w:w="8600" w:type="dxa"/>
            <w:vAlign w:val="bottom"/>
          </w:tcPr>
          <w:p>
            <w:pPr>
              <w:spacing w:after="0"/>
              <w:rPr>
                <w:sz w:val="20"/>
                <w:szCs w:val="20"/>
                <w:color w:val="auto"/>
              </w:rPr>
            </w:pPr>
            <w:r>
              <w:rPr>
                <w:rFonts w:ascii="Arial" w:cs="Arial" w:eastAsia="Arial" w:hAnsi="Arial"/>
                <w:sz w:val="22"/>
                <w:szCs w:val="22"/>
                <w:color w:val="auto"/>
              </w:rPr>
              <w:t>SECTION 9.15 No Fiduciary Duty</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140</w:t>
            </w:r>
          </w:p>
        </w:tc>
      </w:tr>
      <w:tr>
        <w:trPr>
          <w:trHeight w:val="310"/>
        </w:trPr>
        <w:tc>
          <w:tcPr>
            <w:tcW w:w="8600" w:type="dxa"/>
            <w:vAlign w:val="bottom"/>
          </w:tcPr>
          <w:p>
            <w:pPr>
              <w:spacing w:after="0"/>
              <w:rPr>
                <w:sz w:val="20"/>
                <w:szCs w:val="20"/>
                <w:color w:val="auto"/>
              </w:rPr>
            </w:pPr>
            <w:r>
              <w:rPr>
                <w:rFonts w:ascii="Arial" w:cs="Arial" w:eastAsia="Arial" w:hAnsi="Arial"/>
                <w:sz w:val="22"/>
                <w:szCs w:val="22"/>
                <w:color w:val="auto"/>
              </w:rPr>
              <w:t>SECTION 9.16 USA PATRIOT Act</w:t>
            </w:r>
          </w:p>
        </w:tc>
        <w:tc>
          <w:tcPr>
            <w:tcW w:w="2160" w:type="dxa"/>
            <w:vAlign w:val="bottom"/>
          </w:tcPr>
          <w:p>
            <w:pPr>
              <w:ind w:left="1820"/>
              <w:spacing w:after="0"/>
              <w:rPr>
                <w:sz w:val="20"/>
                <w:szCs w:val="20"/>
                <w:color w:val="auto"/>
              </w:rPr>
            </w:pPr>
            <w:r>
              <w:rPr>
                <w:rFonts w:ascii="Arial" w:cs="Arial" w:eastAsia="Arial" w:hAnsi="Arial"/>
                <w:sz w:val="22"/>
                <w:szCs w:val="22"/>
                <w:color w:val="auto"/>
                <w:w w:val="87"/>
              </w:rPr>
              <w:t>140</w:t>
            </w:r>
          </w:p>
        </w:tc>
      </w:tr>
    </w:tbl>
    <w:p>
      <w:pPr>
        <w:spacing w:after="0" w:line="200" w:lineRule="exact"/>
        <w:rPr>
          <w:sz w:val="20"/>
          <w:szCs w:val="20"/>
          <w:color w:val="auto"/>
        </w:rPr>
      </w:pPr>
    </w:p>
    <w:p>
      <w:pPr>
        <w:sectPr>
          <w:pgSz w:w="11900" w:h="16838" w:orient="portrait"/>
          <w:cols w:equalWidth="0" w:num="1">
            <w:col w:w="10760"/>
          </w:cols>
          <w:pgMar w:left="340" w:top="1440" w:right="799" w:bottom="7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0760"/>
          </w:cols>
          <w:pgMar w:left="340" w:top="1440" w:right="799" w:bottom="764" w:gutter="0" w:footer="0" w:header="0"/>
          <w:type w:val="continuous"/>
        </w:sectPr>
      </w:pPr>
    </w:p>
    <w:bookmarkStart w:id="66" w:name="page67"/>
    <w:bookmarkEnd w:id="6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380" w:type="dxa"/>
            <w:vAlign w:val="bottom"/>
          </w:tcPr>
          <w:p>
            <w:pPr>
              <w:spacing w:after="0"/>
              <w:rPr>
                <w:sz w:val="20"/>
                <w:szCs w:val="20"/>
                <w:color w:val="auto"/>
              </w:rPr>
            </w:pPr>
            <w:r>
              <w:rPr>
                <w:rFonts w:ascii="Arial" w:cs="Arial" w:eastAsia="Arial" w:hAnsi="Arial"/>
                <w:sz w:val="22"/>
                <w:szCs w:val="22"/>
                <w:color w:val="auto"/>
                <w:w w:val="92"/>
              </w:rPr>
              <w:t>SECTION 9.17</w:t>
            </w:r>
          </w:p>
        </w:tc>
        <w:tc>
          <w:tcPr>
            <w:tcW w:w="7820" w:type="dxa"/>
            <w:vAlign w:val="bottom"/>
          </w:tcPr>
          <w:p>
            <w:pPr>
              <w:ind w:left="20"/>
              <w:spacing w:after="0"/>
              <w:rPr>
                <w:sz w:val="20"/>
                <w:szCs w:val="20"/>
                <w:color w:val="auto"/>
              </w:rPr>
            </w:pPr>
            <w:r>
              <w:rPr>
                <w:rFonts w:ascii="Arial" w:cs="Arial" w:eastAsia="Arial" w:hAnsi="Arial"/>
                <w:sz w:val="22"/>
                <w:szCs w:val="22"/>
                <w:color w:val="auto"/>
              </w:rPr>
              <w:t>Judgment Currency Conversion</w:t>
            </w:r>
          </w:p>
        </w:tc>
        <w:tc>
          <w:tcPr>
            <w:tcW w:w="156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10"/>
        </w:trPr>
        <w:tc>
          <w:tcPr>
            <w:tcW w:w="9200" w:type="dxa"/>
            <w:vAlign w:val="bottom"/>
            <w:gridSpan w:val="2"/>
          </w:tcPr>
          <w:p>
            <w:pPr>
              <w:spacing w:after="0"/>
              <w:rPr>
                <w:sz w:val="20"/>
                <w:szCs w:val="20"/>
                <w:color w:val="auto"/>
              </w:rPr>
            </w:pPr>
            <w:r>
              <w:rPr>
                <w:rFonts w:ascii="Arial" w:cs="Arial" w:eastAsia="Arial" w:hAnsi="Arial"/>
                <w:sz w:val="22"/>
                <w:szCs w:val="22"/>
                <w:color w:val="auto"/>
              </w:rPr>
              <w:t>SECTION 9.18 MIRE Events</w:t>
            </w:r>
          </w:p>
        </w:tc>
        <w:tc>
          <w:tcPr>
            <w:tcW w:w="156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11"/>
        </w:trPr>
        <w:tc>
          <w:tcPr>
            <w:tcW w:w="1380" w:type="dxa"/>
            <w:vAlign w:val="bottom"/>
          </w:tcPr>
          <w:p>
            <w:pPr>
              <w:spacing w:after="0"/>
              <w:rPr>
                <w:sz w:val="20"/>
                <w:szCs w:val="20"/>
                <w:color w:val="auto"/>
              </w:rPr>
            </w:pPr>
            <w:r>
              <w:rPr>
                <w:rFonts w:ascii="Arial" w:cs="Arial" w:eastAsia="Arial" w:hAnsi="Arial"/>
                <w:sz w:val="22"/>
                <w:szCs w:val="22"/>
                <w:color w:val="auto"/>
                <w:w w:val="92"/>
              </w:rPr>
              <w:t>SECTION 9.19</w:t>
            </w:r>
          </w:p>
        </w:tc>
        <w:tc>
          <w:tcPr>
            <w:tcW w:w="7820" w:type="dxa"/>
            <w:vAlign w:val="bottom"/>
          </w:tcPr>
          <w:p>
            <w:pPr>
              <w:ind w:left="20"/>
              <w:spacing w:after="0"/>
              <w:rPr>
                <w:sz w:val="20"/>
                <w:szCs w:val="20"/>
                <w:color w:val="auto"/>
              </w:rPr>
            </w:pPr>
            <w:r>
              <w:rPr>
                <w:rFonts w:ascii="Arial" w:cs="Arial" w:eastAsia="Arial" w:hAnsi="Arial"/>
                <w:sz w:val="22"/>
                <w:szCs w:val="22"/>
                <w:color w:val="auto"/>
              </w:rPr>
              <w:t>Acknowledgement and Consent to Bail-In of Affected Financial Institutions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11"/>
        </w:trPr>
        <w:tc>
          <w:tcPr>
            <w:tcW w:w="1380" w:type="dxa"/>
            <w:vAlign w:val="bottom"/>
          </w:tcPr>
          <w:p>
            <w:pPr>
              <w:spacing w:after="0"/>
              <w:rPr>
                <w:sz w:val="20"/>
                <w:szCs w:val="20"/>
                <w:color w:val="auto"/>
              </w:rPr>
            </w:pPr>
            <w:r>
              <w:rPr>
                <w:rFonts w:ascii="Arial" w:cs="Arial" w:eastAsia="Arial" w:hAnsi="Arial"/>
                <w:sz w:val="22"/>
                <w:szCs w:val="22"/>
                <w:color w:val="auto"/>
                <w:w w:val="92"/>
              </w:rPr>
              <w:t>SECTION 9.20</w:t>
            </w:r>
          </w:p>
        </w:tc>
        <w:tc>
          <w:tcPr>
            <w:tcW w:w="7820" w:type="dxa"/>
            <w:vAlign w:val="bottom"/>
          </w:tcPr>
          <w:p>
            <w:pPr>
              <w:ind w:left="20"/>
              <w:spacing w:after="0"/>
              <w:rPr>
                <w:sz w:val="20"/>
                <w:szCs w:val="20"/>
                <w:color w:val="auto"/>
              </w:rPr>
            </w:pPr>
            <w:r>
              <w:rPr>
                <w:rFonts w:ascii="Arial" w:cs="Arial" w:eastAsia="Arial" w:hAnsi="Arial"/>
                <w:sz w:val="22"/>
                <w:szCs w:val="22"/>
                <w:color w:val="auto"/>
              </w:rPr>
              <w:t>Limitation of Liability of Foreign Borrowers</w:t>
            </w:r>
          </w:p>
        </w:tc>
        <w:tc>
          <w:tcPr>
            <w:tcW w:w="156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10"/>
        </w:trPr>
        <w:tc>
          <w:tcPr>
            <w:tcW w:w="9200" w:type="dxa"/>
            <w:vAlign w:val="bottom"/>
            <w:gridSpan w:val="2"/>
          </w:tcPr>
          <w:p>
            <w:pPr>
              <w:spacing w:after="0"/>
              <w:rPr>
                <w:sz w:val="20"/>
                <w:szCs w:val="20"/>
                <w:color w:val="auto"/>
              </w:rPr>
            </w:pPr>
            <w:r>
              <w:rPr>
                <w:rFonts w:ascii="Arial" w:cs="Arial" w:eastAsia="Arial" w:hAnsi="Arial"/>
                <w:sz w:val="22"/>
                <w:szCs w:val="22"/>
                <w:color w:val="auto"/>
              </w:rPr>
              <w:t>SECTION 9.21 Amendment and Restatement</w:t>
            </w:r>
          </w:p>
        </w:tc>
        <w:tc>
          <w:tcPr>
            <w:tcW w:w="156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11"/>
        </w:trPr>
        <w:tc>
          <w:tcPr>
            <w:tcW w:w="9200" w:type="dxa"/>
            <w:vAlign w:val="bottom"/>
            <w:gridSpan w:val="2"/>
          </w:tcPr>
          <w:p>
            <w:pPr>
              <w:spacing w:after="0"/>
              <w:rPr>
                <w:sz w:val="20"/>
                <w:szCs w:val="20"/>
                <w:color w:val="auto"/>
              </w:rPr>
            </w:pPr>
            <w:r>
              <w:rPr>
                <w:rFonts w:ascii="Arial" w:cs="Arial" w:eastAsia="Arial" w:hAnsi="Arial"/>
                <w:sz w:val="22"/>
                <w:szCs w:val="22"/>
                <w:color w:val="auto"/>
              </w:rPr>
              <w:t>SECTION 9.22 Keepwell</w:t>
            </w:r>
          </w:p>
        </w:tc>
        <w:tc>
          <w:tcPr>
            <w:tcW w:w="156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10"/>
        </w:trPr>
        <w:tc>
          <w:tcPr>
            <w:tcW w:w="9200" w:type="dxa"/>
            <w:vAlign w:val="bottom"/>
            <w:gridSpan w:val="2"/>
          </w:tcPr>
          <w:p>
            <w:pPr>
              <w:spacing w:after="0"/>
              <w:rPr>
                <w:sz w:val="20"/>
                <w:szCs w:val="20"/>
                <w:color w:val="auto"/>
              </w:rPr>
            </w:pPr>
            <w:r>
              <w:rPr>
                <w:rFonts w:ascii="Arial" w:cs="Arial" w:eastAsia="Arial" w:hAnsi="Arial"/>
                <w:sz w:val="22"/>
                <w:szCs w:val="22"/>
                <w:color w:val="auto"/>
              </w:rPr>
              <w:t>SECTION 9.23 Acknowledgement Regarding Any Supported QFCs</w:t>
            </w:r>
          </w:p>
        </w:tc>
        <w:tc>
          <w:tcPr>
            <w:tcW w:w="15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11"/>
        </w:trPr>
        <w:tc>
          <w:tcPr>
            <w:tcW w:w="9200" w:type="dxa"/>
            <w:vAlign w:val="bottom"/>
            <w:gridSpan w:val="2"/>
          </w:tcPr>
          <w:p>
            <w:pPr>
              <w:spacing w:after="0"/>
              <w:rPr>
                <w:sz w:val="20"/>
                <w:szCs w:val="20"/>
                <w:color w:val="auto"/>
              </w:rPr>
            </w:pPr>
            <w:r>
              <w:rPr>
                <w:rFonts w:ascii="Arial" w:cs="Arial" w:eastAsia="Arial" w:hAnsi="Arial"/>
                <w:sz w:val="22"/>
                <w:szCs w:val="22"/>
                <w:color w:val="auto"/>
              </w:rPr>
              <w:t>ARTICLE X BORROWER GUARANTEES</w:t>
            </w:r>
          </w:p>
        </w:tc>
        <w:tc>
          <w:tcPr>
            <w:tcW w:w="15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10"/>
        </w:trPr>
        <w:tc>
          <w:tcPr>
            <w:tcW w:w="9200" w:type="dxa"/>
            <w:vAlign w:val="bottom"/>
            <w:gridSpan w:val="2"/>
          </w:tcPr>
          <w:p>
            <w:pPr>
              <w:spacing w:after="0"/>
              <w:rPr>
                <w:sz w:val="20"/>
                <w:szCs w:val="20"/>
                <w:color w:val="auto"/>
              </w:rPr>
            </w:pPr>
            <w:r>
              <w:rPr>
                <w:rFonts w:ascii="Arial" w:cs="Arial" w:eastAsia="Arial" w:hAnsi="Arial"/>
                <w:sz w:val="22"/>
                <w:szCs w:val="22"/>
                <w:color w:val="auto"/>
              </w:rPr>
              <w:t>SECTION 10.01 Guarantee of the Company</w:t>
            </w:r>
          </w:p>
        </w:tc>
        <w:tc>
          <w:tcPr>
            <w:tcW w:w="156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11"/>
        </w:trPr>
        <w:tc>
          <w:tcPr>
            <w:tcW w:w="9200" w:type="dxa"/>
            <w:vAlign w:val="bottom"/>
            <w:gridSpan w:val="2"/>
          </w:tcPr>
          <w:p>
            <w:pPr>
              <w:spacing w:after="0"/>
              <w:rPr>
                <w:sz w:val="20"/>
                <w:szCs w:val="20"/>
                <w:color w:val="auto"/>
              </w:rPr>
            </w:pPr>
            <w:r>
              <w:rPr>
                <w:rFonts w:ascii="Arial" w:cs="Arial" w:eastAsia="Arial" w:hAnsi="Arial"/>
                <w:sz w:val="22"/>
                <w:szCs w:val="22"/>
                <w:color w:val="auto"/>
              </w:rPr>
              <w:t>SECTION 10.02 Guarantee of the Foreign Borrowers</w:t>
            </w:r>
          </w:p>
        </w:tc>
        <w:tc>
          <w:tcPr>
            <w:tcW w:w="156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311"/>
        </w:trPr>
        <w:tc>
          <w:tcPr>
            <w:tcW w:w="9200" w:type="dxa"/>
            <w:vAlign w:val="bottom"/>
            <w:gridSpan w:val="2"/>
          </w:tcPr>
          <w:p>
            <w:pPr>
              <w:spacing w:after="0"/>
              <w:rPr>
                <w:sz w:val="20"/>
                <w:szCs w:val="20"/>
                <w:color w:val="auto"/>
              </w:rPr>
            </w:pPr>
            <w:r>
              <w:rPr>
                <w:rFonts w:ascii="Arial" w:cs="Arial" w:eastAsia="Arial" w:hAnsi="Arial"/>
                <w:sz w:val="22"/>
                <w:szCs w:val="22"/>
                <w:color w:val="auto"/>
              </w:rPr>
              <w:t>SECTION 10.03 Limitation on Foreign Guarantees</w:t>
            </w:r>
          </w:p>
        </w:tc>
        <w:tc>
          <w:tcPr>
            <w:tcW w:w="1560" w:type="dxa"/>
            <w:vAlign w:val="bottom"/>
          </w:tcPr>
          <w:p>
            <w:pPr>
              <w:jc w:val="right"/>
              <w:spacing w:after="0"/>
              <w:rPr>
                <w:sz w:val="20"/>
                <w:szCs w:val="20"/>
                <w:color w:val="auto"/>
              </w:rPr>
            </w:pPr>
            <w:r>
              <w:rPr>
                <w:rFonts w:ascii="Arial" w:cs="Arial" w:eastAsia="Arial" w:hAnsi="Arial"/>
                <w:sz w:val="22"/>
                <w:szCs w:val="22"/>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760"/>
          </w:cols>
          <w:pgMar w:left="340" w:top="1440" w:right="7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3"/>
        </w:trPr>
        <w:tc>
          <w:tcPr>
            <w:tcW w:w="2200" w:type="dxa"/>
            <w:vAlign w:val="bottom"/>
            <w:gridSpan w:val="3"/>
          </w:tcPr>
          <w:p>
            <w:pPr>
              <w:spacing w:after="0"/>
              <w:rPr>
                <w:sz w:val="20"/>
                <w:szCs w:val="20"/>
                <w:color w:val="auto"/>
              </w:rPr>
            </w:pPr>
            <w:r>
              <w:rPr>
                <w:rFonts w:ascii="Arial" w:cs="Arial" w:eastAsia="Arial" w:hAnsi="Arial"/>
                <w:sz w:val="22"/>
                <w:szCs w:val="22"/>
                <w:color w:val="auto"/>
              </w:rPr>
              <w:t>SCHEDULES:</w:t>
            </w:r>
          </w:p>
        </w:tc>
        <w:tc>
          <w:tcPr>
            <w:tcW w:w="4760" w:type="dxa"/>
            <w:vAlign w:val="bottom"/>
          </w:tcPr>
          <w:p>
            <w:pPr>
              <w:spacing w:after="0"/>
              <w:rPr>
                <w:sz w:val="21"/>
                <w:szCs w:val="2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854"/>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2.01(a)</w:t>
            </w:r>
          </w:p>
        </w:tc>
        <w:tc>
          <w:tcPr>
            <w:tcW w:w="4760" w:type="dxa"/>
            <w:vAlign w:val="bottom"/>
          </w:tcPr>
          <w:p>
            <w:pPr>
              <w:ind w:left="1300"/>
              <w:spacing w:after="0"/>
              <w:rPr>
                <w:sz w:val="20"/>
                <w:szCs w:val="20"/>
                <w:color w:val="auto"/>
              </w:rPr>
            </w:pPr>
            <w:r>
              <w:rPr>
                <w:rFonts w:ascii="Arial" w:cs="Arial" w:eastAsia="Arial" w:hAnsi="Arial"/>
                <w:sz w:val="22"/>
                <w:szCs w:val="22"/>
                <w:color w:val="auto"/>
                <w:w w:val="93"/>
              </w:rPr>
              <w:t>Lenders and Revolving Commitments</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2.01(b)</w:t>
            </w:r>
          </w:p>
        </w:tc>
        <w:tc>
          <w:tcPr>
            <w:tcW w:w="4760" w:type="dxa"/>
            <w:vAlign w:val="bottom"/>
          </w:tcPr>
          <w:p>
            <w:pPr>
              <w:ind w:left="1300"/>
              <w:spacing w:after="0"/>
              <w:rPr>
                <w:sz w:val="20"/>
                <w:szCs w:val="20"/>
                <w:color w:val="auto"/>
              </w:rPr>
            </w:pPr>
            <w:r>
              <w:rPr>
                <w:rFonts w:ascii="Arial" w:cs="Arial" w:eastAsia="Arial" w:hAnsi="Arial"/>
                <w:sz w:val="22"/>
                <w:szCs w:val="22"/>
                <w:color w:val="auto"/>
              </w:rPr>
              <w:t>Letter of Credit Commitments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3.13</w:t>
            </w:r>
          </w:p>
        </w:tc>
        <w:tc>
          <w:tcPr>
            <w:tcW w:w="4760" w:type="dxa"/>
            <w:vAlign w:val="bottom"/>
          </w:tcPr>
          <w:p>
            <w:pPr>
              <w:ind w:left="1300"/>
              <w:spacing w:after="0"/>
              <w:rPr>
                <w:sz w:val="20"/>
                <w:szCs w:val="20"/>
                <w:color w:val="auto"/>
              </w:rPr>
            </w:pPr>
            <w:r>
              <w:rPr>
                <w:rFonts w:ascii="Arial" w:cs="Arial" w:eastAsia="Arial" w:hAnsi="Arial"/>
                <w:sz w:val="22"/>
                <w:szCs w:val="22"/>
                <w:color w:val="auto"/>
              </w:rPr>
              <w:t>Subsidiaries</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3.17</w:t>
            </w:r>
          </w:p>
        </w:tc>
        <w:tc>
          <w:tcPr>
            <w:tcW w:w="4760" w:type="dxa"/>
            <w:vAlign w:val="bottom"/>
          </w:tcPr>
          <w:p>
            <w:pPr>
              <w:ind w:left="1300"/>
              <w:spacing w:after="0"/>
              <w:rPr>
                <w:sz w:val="20"/>
                <w:szCs w:val="20"/>
                <w:color w:val="auto"/>
              </w:rPr>
            </w:pPr>
            <w:r>
              <w:rPr>
                <w:rFonts w:ascii="Arial" w:cs="Arial" w:eastAsia="Arial" w:hAnsi="Arial"/>
                <w:sz w:val="22"/>
                <w:szCs w:val="22"/>
                <w:color w:val="auto"/>
              </w:rPr>
              <w:t>Payment and Performance Bonds</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5.13</w:t>
            </w:r>
          </w:p>
        </w:tc>
        <w:tc>
          <w:tcPr>
            <w:tcW w:w="4760" w:type="dxa"/>
            <w:vAlign w:val="bottom"/>
          </w:tcPr>
          <w:p>
            <w:pPr>
              <w:ind w:left="1300"/>
              <w:spacing w:after="0"/>
              <w:rPr>
                <w:sz w:val="20"/>
                <w:szCs w:val="20"/>
                <w:color w:val="auto"/>
              </w:rPr>
            </w:pPr>
            <w:r>
              <w:rPr>
                <w:rFonts w:ascii="Arial" w:cs="Arial" w:eastAsia="Arial" w:hAnsi="Arial"/>
                <w:sz w:val="22"/>
                <w:szCs w:val="22"/>
                <w:color w:val="auto"/>
              </w:rPr>
              <w:t>Post-Closing Obligations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6.01</w:t>
            </w:r>
          </w:p>
        </w:tc>
        <w:tc>
          <w:tcPr>
            <w:tcW w:w="4760" w:type="dxa"/>
            <w:vAlign w:val="bottom"/>
          </w:tcPr>
          <w:p>
            <w:pPr>
              <w:ind w:left="1300"/>
              <w:spacing w:after="0"/>
              <w:rPr>
                <w:sz w:val="20"/>
                <w:szCs w:val="20"/>
                <w:color w:val="auto"/>
              </w:rPr>
            </w:pPr>
            <w:r>
              <w:rPr>
                <w:rFonts w:ascii="Arial" w:cs="Arial" w:eastAsia="Arial" w:hAnsi="Arial"/>
                <w:sz w:val="22"/>
                <w:szCs w:val="22"/>
                <w:color w:val="auto"/>
              </w:rPr>
              <w:t>Existing Indebtedness</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6.02</w:t>
            </w:r>
          </w:p>
        </w:tc>
        <w:tc>
          <w:tcPr>
            <w:tcW w:w="4760" w:type="dxa"/>
            <w:vAlign w:val="bottom"/>
          </w:tcPr>
          <w:p>
            <w:pPr>
              <w:ind w:left="1300"/>
              <w:spacing w:after="0"/>
              <w:rPr>
                <w:sz w:val="20"/>
                <w:szCs w:val="20"/>
                <w:color w:val="auto"/>
              </w:rPr>
            </w:pPr>
            <w:r>
              <w:rPr>
                <w:rFonts w:ascii="Arial" w:cs="Arial" w:eastAsia="Arial" w:hAnsi="Arial"/>
                <w:sz w:val="22"/>
                <w:szCs w:val="22"/>
                <w:color w:val="auto"/>
              </w:rPr>
              <w:t>Existing Liens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Schedule 6.08</w:t>
            </w:r>
          </w:p>
        </w:tc>
        <w:tc>
          <w:tcPr>
            <w:tcW w:w="4760" w:type="dxa"/>
            <w:vAlign w:val="bottom"/>
          </w:tcPr>
          <w:p>
            <w:pPr>
              <w:ind w:left="1300"/>
              <w:spacing w:after="0"/>
              <w:rPr>
                <w:sz w:val="20"/>
                <w:szCs w:val="20"/>
                <w:color w:val="auto"/>
              </w:rPr>
            </w:pPr>
            <w:r>
              <w:rPr>
                <w:rFonts w:ascii="Arial" w:cs="Arial" w:eastAsia="Arial" w:hAnsi="Arial"/>
                <w:sz w:val="22"/>
                <w:szCs w:val="22"/>
                <w:color w:val="auto"/>
              </w:rPr>
              <w:t>Existing Restrictions</w:t>
            </w:r>
          </w:p>
        </w:tc>
      </w:tr>
      <w:tr>
        <w:trPr>
          <w:trHeight w:val="571"/>
        </w:trPr>
        <w:tc>
          <w:tcPr>
            <w:tcW w:w="220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4760" w:type="dxa"/>
            <w:vAlign w:val="bottom"/>
          </w:tcPr>
          <w:p>
            <w:pPr>
              <w:spacing w:after="0"/>
              <w:rPr>
                <w:sz w:val="24"/>
                <w:szCs w:val="24"/>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6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A</w:t>
            </w:r>
          </w:p>
        </w:tc>
        <w:tc>
          <w:tcPr>
            <w:tcW w:w="4760" w:type="dxa"/>
            <w:vAlign w:val="bottom"/>
          </w:tcPr>
          <w:p>
            <w:pPr>
              <w:ind w:left="480"/>
              <w:spacing w:after="0"/>
              <w:rPr>
                <w:sz w:val="20"/>
                <w:szCs w:val="20"/>
                <w:color w:val="auto"/>
              </w:rPr>
            </w:pPr>
            <w:r>
              <w:rPr>
                <w:rFonts w:ascii="Arial" w:cs="Arial" w:eastAsia="Arial" w:hAnsi="Arial"/>
                <w:sz w:val="22"/>
                <w:szCs w:val="22"/>
                <w:color w:val="auto"/>
                <w:w w:val="89"/>
              </w:rPr>
              <w:t>Form of Assignment and Assumption Agreement</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B</w:t>
            </w:r>
          </w:p>
        </w:tc>
        <w:tc>
          <w:tcPr>
            <w:tcW w:w="4760" w:type="dxa"/>
            <w:vAlign w:val="bottom"/>
          </w:tcPr>
          <w:p>
            <w:pPr>
              <w:ind w:left="480"/>
              <w:spacing w:after="0"/>
              <w:rPr>
                <w:sz w:val="20"/>
                <w:szCs w:val="20"/>
                <w:color w:val="auto"/>
              </w:rPr>
            </w:pPr>
            <w:r>
              <w:rPr>
                <w:rFonts w:ascii="Arial" w:cs="Arial" w:eastAsia="Arial" w:hAnsi="Arial"/>
                <w:sz w:val="22"/>
                <w:szCs w:val="22"/>
                <w:color w:val="auto"/>
              </w:rPr>
              <w:t>Existing Letters of Credit</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C</w:t>
            </w:r>
          </w:p>
        </w:tc>
        <w:tc>
          <w:tcPr>
            <w:tcW w:w="4760" w:type="dxa"/>
            <w:vAlign w:val="bottom"/>
          </w:tcPr>
          <w:p>
            <w:pPr>
              <w:ind w:left="480"/>
              <w:spacing w:after="0"/>
              <w:rPr>
                <w:sz w:val="20"/>
                <w:szCs w:val="20"/>
                <w:color w:val="auto"/>
              </w:rPr>
            </w:pPr>
            <w:r>
              <w:rPr>
                <w:rFonts w:ascii="Arial" w:cs="Arial" w:eastAsia="Arial" w:hAnsi="Arial"/>
                <w:sz w:val="22"/>
                <w:szCs w:val="22"/>
                <w:color w:val="auto"/>
              </w:rPr>
              <w:t>Existing Security Agreements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D</w:t>
            </w:r>
          </w:p>
        </w:tc>
        <w:tc>
          <w:tcPr>
            <w:tcW w:w="4760" w:type="dxa"/>
            <w:vAlign w:val="bottom"/>
          </w:tcPr>
          <w:p>
            <w:pPr>
              <w:ind w:left="480"/>
              <w:spacing w:after="0"/>
              <w:rPr>
                <w:sz w:val="20"/>
                <w:szCs w:val="20"/>
                <w:color w:val="auto"/>
              </w:rPr>
            </w:pPr>
            <w:r>
              <w:rPr>
                <w:rFonts w:ascii="Arial" w:cs="Arial" w:eastAsia="Arial" w:hAnsi="Arial"/>
                <w:sz w:val="22"/>
                <w:szCs w:val="22"/>
                <w:color w:val="auto"/>
              </w:rPr>
              <w:t>Existing Mortgages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E</w:t>
            </w:r>
          </w:p>
        </w:tc>
        <w:tc>
          <w:tcPr>
            <w:tcW w:w="4760" w:type="dxa"/>
            <w:vAlign w:val="bottom"/>
          </w:tcPr>
          <w:p>
            <w:pPr>
              <w:ind w:left="480"/>
              <w:spacing w:after="0"/>
              <w:rPr>
                <w:sz w:val="20"/>
                <w:szCs w:val="20"/>
                <w:color w:val="auto"/>
              </w:rPr>
            </w:pPr>
            <w:r>
              <w:rPr>
                <w:rFonts w:ascii="Arial" w:cs="Arial" w:eastAsia="Arial" w:hAnsi="Arial"/>
                <w:sz w:val="22"/>
                <w:szCs w:val="22"/>
                <w:color w:val="auto"/>
              </w:rPr>
              <w:t>Matrix Service Company Investment Policy</w:t>
            </w:r>
          </w:p>
        </w:tc>
      </w:tr>
      <w:tr>
        <w:trPr>
          <w:trHeight w:val="311"/>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F</w:t>
            </w:r>
          </w:p>
        </w:tc>
        <w:tc>
          <w:tcPr>
            <w:tcW w:w="4760" w:type="dxa"/>
            <w:vAlign w:val="bottom"/>
          </w:tcPr>
          <w:p>
            <w:pPr>
              <w:ind w:left="480"/>
              <w:spacing w:after="0"/>
              <w:rPr>
                <w:sz w:val="20"/>
                <w:szCs w:val="20"/>
                <w:color w:val="auto"/>
              </w:rPr>
            </w:pPr>
            <w:r>
              <w:rPr>
                <w:rFonts w:ascii="Arial" w:cs="Arial" w:eastAsia="Arial" w:hAnsi="Arial"/>
                <w:sz w:val="22"/>
                <w:szCs w:val="22"/>
                <w:color w:val="auto"/>
              </w:rPr>
              <w:t>Forms of Subsidiary Guaranties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G</w:t>
            </w:r>
          </w:p>
        </w:tc>
        <w:tc>
          <w:tcPr>
            <w:tcW w:w="4760" w:type="dxa"/>
            <w:vAlign w:val="bottom"/>
          </w:tcPr>
          <w:p>
            <w:pPr>
              <w:ind w:left="480"/>
              <w:spacing w:after="0"/>
              <w:rPr>
                <w:sz w:val="20"/>
                <w:szCs w:val="20"/>
                <w:color w:val="auto"/>
              </w:rPr>
            </w:pPr>
            <w:r>
              <w:rPr>
                <w:rFonts w:ascii="Arial" w:cs="Arial" w:eastAsia="Arial" w:hAnsi="Arial"/>
                <w:sz w:val="22"/>
                <w:szCs w:val="22"/>
                <w:color w:val="auto"/>
              </w:rPr>
              <w:t>Forms of U.S. Tax Compliance Certificates</w:t>
            </w:r>
          </w:p>
        </w:tc>
      </w:tr>
      <w:tr>
        <w:trPr>
          <w:trHeight w:val="310"/>
        </w:trPr>
        <w:tc>
          <w:tcPr>
            <w:tcW w:w="2200" w:type="dxa"/>
            <w:vAlign w:val="bottom"/>
            <w:gridSpan w:val="3"/>
          </w:tcPr>
          <w:p>
            <w:pPr>
              <w:ind w:left="240"/>
              <w:spacing w:after="0"/>
              <w:rPr>
                <w:sz w:val="20"/>
                <w:szCs w:val="20"/>
                <w:color w:val="auto"/>
              </w:rPr>
            </w:pPr>
            <w:r>
              <w:rPr>
                <w:rFonts w:ascii="Arial" w:cs="Arial" w:eastAsia="Arial" w:hAnsi="Arial"/>
                <w:sz w:val="22"/>
                <w:szCs w:val="22"/>
                <w:color w:val="auto"/>
              </w:rPr>
              <w:t>Exhibit H</w:t>
            </w:r>
          </w:p>
        </w:tc>
        <w:tc>
          <w:tcPr>
            <w:tcW w:w="4760" w:type="dxa"/>
            <w:vAlign w:val="bottom"/>
          </w:tcPr>
          <w:p>
            <w:pPr>
              <w:ind w:left="480"/>
              <w:spacing w:after="0"/>
              <w:rPr>
                <w:sz w:val="20"/>
                <w:szCs w:val="20"/>
                <w:color w:val="auto"/>
              </w:rPr>
            </w:pPr>
            <w:r>
              <w:rPr>
                <w:rFonts w:ascii="Arial" w:cs="Arial" w:eastAsia="Arial" w:hAnsi="Arial"/>
                <w:sz w:val="22"/>
                <w:szCs w:val="22"/>
                <w:color w:val="auto"/>
              </w:rPr>
              <w:t>Form of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0139"/>
          </w:cols>
          <w:pgMar w:left="320" w:top="1399" w:right="1440" w:bottom="1440" w:gutter="0" w:footer="0" w:header="0"/>
        </w:sectPr>
      </w:pPr>
    </w:p>
    <w:bookmarkStart w:id="68" w:name="page69"/>
    <w:bookmarkEnd w:id="68"/>
    <w:p>
      <w:pPr>
        <w:jc w:val="both"/>
        <w:ind w:firstLine="648"/>
        <w:spacing w:after="0" w:line="271" w:lineRule="auto"/>
        <w:rPr>
          <w:sz w:val="20"/>
          <w:szCs w:val="20"/>
          <w:color w:val="auto"/>
        </w:rPr>
      </w:pPr>
      <w:r>
        <w:rPr>
          <w:rFonts w:ascii="Arial" w:cs="Arial" w:eastAsia="Arial" w:hAnsi="Arial"/>
          <w:sz w:val="21"/>
          <w:szCs w:val="21"/>
          <w:color w:val="auto"/>
        </w:rPr>
        <w:t>This FIFTH AMENDED AND RESTATED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2,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among MATRIX SERVICE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other Borrowers party hereto, the Lenders party hereto, and JPMORGAN CHASE BANK, N.A., as Administrative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Company, the Canadian Borrowers, the Euro/Sterling Borrower, the Australian Borrower, the lenders party thereto and JPMorgan Chase Bank, N.A., as administrative agent, are parties to that certain Fourth Amended and Restated Credit Agreement dated as of February 8, 2017 (as amended prior to the Effective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agreements, provisions and covenants contained herein, the parties hereto agree that the Existing Credit Agreement is amended and restated in its entirety as follows:</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 the purchase or other acquisition by the Company or a Subsidiary of the Equity Interests in any other Person pursuant to which such Person shall become a Subsidiary or shall be merged into, amalgamated with or consolidated with the Company or any Subsidiary or (b) the purchase or other acquisition (in one transaction or a series of transactions) of all or substantially all of the assets of any other Person (other than a Subsidiary) or division thereof constituting a business unit or ongoing business.</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EURIBOR Rate</w:t>
      </w:r>
      <w:r>
        <w:rPr>
          <w:rFonts w:ascii="Arial" w:cs="Arial" w:eastAsia="Arial" w:hAnsi="Arial"/>
          <w:sz w:val="22"/>
          <w:szCs w:val="22"/>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LIBO Rate</w:t>
      </w:r>
      <w:r>
        <w:rPr>
          <w:rFonts w:ascii="Arial" w:cs="Arial" w:eastAsia="Arial" w:hAnsi="Arial"/>
          <w:sz w:val="21"/>
          <w:szCs w:val="21"/>
          <w:color w:val="auto"/>
        </w:rPr>
        <w:t>” means, with respect to any Eurocurrency Borrowing denominated in any Agreed Currency (other than Euros) for any Interest Period, an interest rate per annum (rounded upwards, if necessary, to the next 1/16 of 1%) equal to (a) the LIBO Rate for such Interest Period multiplied by (b) the Statutory Reserve Rate.</w:t>
      </w:r>
    </w:p>
    <w:p>
      <w:pPr>
        <w:sectPr>
          <w:pgSz w:w="11900" w:h="16838" w:orient="portrait"/>
          <w:cols w:equalWidth="0" w:num="1">
            <w:col w:w="11240"/>
          </w:cols>
          <w:pgMar w:left="320" w:top="1428"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JPMorgan Chase, in its capacity as administrative agent for the Lenders hereunder.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Agent-Related Person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Currencies</w:t>
      </w:r>
      <w:r>
        <w:rPr>
          <w:rFonts w:ascii="Arial" w:cs="Arial" w:eastAsia="Arial" w:hAnsi="Arial"/>
          <w:sz w:val="22"/>
          <w:szCs w:val="22"/>
          <w:color w:val="auto"/>
        </w:rPr>
        <w:t>” means dollars and each Alternative Currency.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 hereto.</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Accounting Principles</w:t>
      </w:r>
      <w:r>
        <w:rPr>
          <w:rFonts w:ascii="Arial" w:cs="Arial" w:eastAsia="Arial" w:hAnsi="Arial"/>
          <w:sz w:val="19"/>
          <w:szCs w:val="19"/>
          <w:color w:val="auto"/>
        </w:rPr>
        <w:t xml:space="preserve">” means generally accepted accounting principles as in effect from time to time, applied in a manner consistent with those used in preparing the financial statements referred to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of this Agreement.</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LIBO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the avoidance of doubt, only until the Benchmark Replacement has been determined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then the Alternate Base Rate shall be the greater of clauses (a) and (b) above and shall be determined without reference to clause (c) above. For the avoidance of doubt, if the Alternate Base Rate as determined pursuant to the foregoing would be less than 1%, such rate shall be deemed to be 1% for the purposes of this Agreement.</w:t>
      </w:r>
    </w:p>
    <w:p>
      <w:pPr>
        <w:spacing w:after="0" w:line="15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xml:space="preserve">” means Sterling, Euros, Canadian Dollars, Australian Dollars and any additional currencies determined after the Effective Date by mutual Agreement of the Borrowers, the Lenders, Issuing Banks and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currency is a lawful currency that is readily available, freely transferrable and not restricted, able to be converted into dollars and available in the London interbank deposit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0" w:name="page71"/>
    <w:bookmarkEnd w:id="70"/>
    <w:p>
      <w:pPr>
        <w:ind w:right="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Company or its Subsidiaries from time to time concerning or relating to bribery or corruption.</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means, with respect to any Loan, or with respect to the Unused Fees, the applicable per annum rate in the table set forth below based upon the Leverage Ratio for the most recently ended trailing four-quarter period with respect to which the Company is required to have delivered the financial statements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(as such Leverage Ratio is reflected in the Compliance Certificate delivered under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by the Company in connection with the financial statements for such fiscal quarter):</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4"/>
              </w:rPr>
              <w:t>Applicable Margin for</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3"/>
              </w:rPr>
              <w:t>Applicable Margin for</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gridSpan w:val="4"/>
          </w:tcPr>
          <w:p>
            <w:pPr>
              <w:jc w:val="center"/>
              <w:ind w:right="200"/>
              <w:spacing w:after="0"/>
              <w:rPr>
                <w:sz w:val="20"/>
                <w:szCs w:val="20"/>
                <w:color w:val="auto"/>
              </w:rPr>
            </w:pPr>
            <w:r>
              <w:rPr>
                <w:rFonts w:ascii="Arial" w:cs="Arial" w:eastAsia="Arial" w:hAnsi="Arial"/>
                <w:sz w:val="18"/>
                <w:szCs w:val="18"/>
                <w:color w:val="auto"/>
                <w:w w:val="96"/>
              </w:rPr>
              <w:t>Applicable</w:t>
            </w: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240" w:type="dxa"/>
            <w:vAlign w:val="bottom"/>
            <w:tcBorders>
              <w:lef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gridSpan w:val="7"/>
          </w:tcPr>
          <w:p>
            <w:pPr>
              <w:jc w:val="center"/>
              <w:ind w:right="40"/>
              <w:spacing w:after="0" w:line="196" w:lineRule="exact"/>
              <w:rPr>
                <w:sz w:val="20"/>
                <w:szCs w:val="20"/>
                <w:color w:val="auto"/>
              </w:rPr>
            </w:pPr>
            <w:r>
              <w:rPr>
                <w:rFonts w:ascii="Arial" w:cs="Arial" w:eastAsia="Arial" w:hAnsi="Arial"/>
                <w:sz w:val="18"/>
                <w:szCs w:val="18"/>
                <w:color w:val="auto"/>
                <w:w w:val="92"/>
              </w:rPr>
              <w:t>Eurocurrency, EURIBOR</w:t>
            </w:r>
          </w:p>
        </w:tc>
        <w:tc>
          <w:tcPr>
            <w:tcW w:w="100" w:type="dxa"/>
            <w:vAlign w:val="bottom"/>
          </w:tcPr>
          <w:p>
            <w:pPr>
              <w:spacing w:after="0"/>
              <w:rPr>
                <w:sz w:val="17"/>
                <w:szCs w:val="17"/>
                <w:color w:val="auto"/>
              </w:rPr>
            </w:pPr>
          </w:p>
        </w:tc>
        <w:tc>
          <w:tcPr>
            <w:tcW w:w="1760" w:type="dxa"/>
            <w:vAlign w:val="bottom"/>
            <w:tcBorders>
              <w:right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color w:val="auto"/>
                <w:w w:val="95"/>
              </w:rPr>
              <w:t>Applicable Margin for</w:t>
            </w:r>
          </w:p>
        </w:tc>
        <w:tc>
          <w:tcPr>
            <w:tcW w:w="140" w:type="dxa"/>
            <w:vAlign w:val="bottom"/>
          </w:tcPr>
          <w:p>
            <w:pPr>
              <w:spacing w:after="0"/>
              <w:rPr>
                <w:sz w:val="17"/>
                <w:szCs w:val="17"/>
                <w:color w:val="auto"/>
              </w:rPr>
            </w:pPr>
          </w:p>
        </w:tc>
        <w:tc>
          <w:tcPr>
            <w:tcW w:w="1720" w:type="dxa"/>
            <w:vAlign w:val="bottom"/>
            <w:tcBorders>
              <w:right w:val="single" w:sz="8" w:color="auto"/>
            </w:tcBorders>
            <w:gridSpan w:val="4"/>
          </w:tcPr>
          <w:p>
            <w:pPr>
              <w:jc w:val="center"/>
              <w:ind w:right="180"/>
              <w:spacing w:after="0" w:line="196" w:lineRule="exact"/>
              <w:rPr>
                <w:sz w:val="20"/>
                <w:szCs w:val="20"/>
                <w:color w:val="auto"/>
              </w:rPr>
            </w:pPr>
            <w:r>
              <w:rPr>
                <w:rFonts w:ascii="Arial" w:cs="Arial" w:eastAsia="Arial" w:hAnsi="Arial"/>
                <w:sz w:val="18"/>
                <w:szCs w:val="18"/>
                <w:color w:val="auto"/>
                <w:w w:val="89"/>
              </w:rPr>
              <w:t>Canadian Prime Rate</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right w:val="single" w:sz="8" w:color="auto"/>
            </w:tcBorders>
            <w:gridSpan w:val="3"/>
          </w:tcPr>
          <w:p>
            <w:pPr>
              <w:jc w:val="center"/>
              <w:ind w:right="260"/>
              <w:spacing w:after="0" w:line="196" w:lineRule="exact"/>
              <w:rPr>
                <w:sz w:val="20"/>
                <w:szCs w:val="20"/>
                <w:color w:val="auto"/>
              </w:rPr>
            </w:pPr>
            <w:r>
              <w:rPr>
                <w:rFonts w:ascii="Arial" w:cs="Arial" w:eastAsia="Arial" w:hAnsi="Arial"/>
                <w:sz w:val="18"/>
                <w:szCs w:val="18"/>
                <w:color w:val="auto"/>
                <w:w w:val="98"/>
              </w:rPr>
              <w:t>Margin for</w:t>
            </w: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1340" w:type="dxa"/>
            <w:vAlign w:val="bottom"/>
            <w:tcBorders>
              <w:righ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6"/>
        </w:trPr>
        <w:tc>
          <w:tcPr>
            <w:tcW w:w="24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gridSpan w:val="2"/>
          </w:tcPr>
          <w:p>
            <w:pPr>
              <w:jc w:val="center"/>
              <w:ind w:right="240"/>
              <w:spacing w:after="0" w:line="196" w:lineRule="exact"/>
              <w:rPr>
                <w:sz w:val="20"/>
                <w:szCs w:val="20"/>
                <w:color w:val="auto"/>
              </w:rPr>
            </w:pPr>
            <w:r>
              <w:rPr>
                <w:rFonts w:ascii="Arial" w:cs="Arial" w:eastAsia="Arial" w:hAnsi="Arial"/>
                <w:sz w:val="18"/>
                <w:szCs w:val="18"/>
                <w:color w:val="auto"/>
                <w:w w:val="92"/>
              </w:rPr>
              <w:t>Level</w:t>
            </w:r>
          </w:p>
        </w:tc>
        <w:tc>
          <w:tcPr>
            <w:tcW w:w="1340" w:type="dxa"/>
            <w:vAlign w:val="bottom"/>
            <w:tcBorders>
              <w:right w:val="single" w:sz="8" w:color="auto"/>
            </w:tcBorders>
            <w:gridSpan w:val="3"/>
          </w:tcPr>
          <w:p>
            <w:pPr>
              <w:jc w:val="center"/>
              <w:ind w:right="40"/>
              <w:spacing w:after="0" w:line="196" w:lineRule="exact"/>
              <w:rPr>
                <w:sz w:val="20"/>
                <w:szCs w:val="20"/>
                <w:color w:val="auto"/>
              </w:rPr>
            </w:pPr>
            <w:r>
              <w:rPr>
                <w:rFonts w:ascii="Arial" w:cs="Arial" w:eastAsia="Arial" w:hAnsi="Arial"/>
                <w:sz w:val="18"/>
                <w:szCs w:val="18"/>
                <w:color w:val="auto"/>
                <w:w w:val="90"/>
              </w:rPr>
              <w:t>Leverage Ratio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0"/>
              </w:rPr>
              <w:t>and CDOR Loans</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4"/>
              </w:rPr>
              <w:t>ABR Loans</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Loans</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color w:val="auto"/>
                <w:w w:val="85"/>
              </w:rPr>
              <w:t>Unused Fees</w:t>
            </w: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0"/>
              </w:rPr>
              <w:t>&lt; 1.00x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20"/>
                <w:szCs w:val="20"/>
                <w:color w:val="auto"/>
                <w:w w:val="91"/>
              </w:rPr>
              <w:t>1.000%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41"/>
              <w:spacing w:after="0"/>
              <w:rPr>
                <w:sz w:val="20"/>
                <w:szCs w:val="20"/>
                <w:color w:val="auto"/>
              </w:rPr>
            </w:pPr>
            <w:r>
              <w:rPr>
                <w:rFonts w:ascii="Arial" w:cs="Arial" w:eastAsia="Arial" w:hAnsi="Arial"/>
                <w:sz w:val="20"/>
                <w:szCs w:val="20"/>
                <w:color w:val="auto"/>
                <w:w w:val="91"/>
              </w:rPr>
              <w:t>2.500%</w:t>
            </w:r>
          </w:p>
        </w:tc>
        <w:tc>
          <w:tcPr>
            <w:tcW w:w="180" w:type="dxa"/>
            <w:vAlign w:val="bottom"/>
            <w:tcBorders>
              <w:right w:val="single" w:sz="8" w:color="auto"/>
            </w:tcBorders>
          </w:tcPr>
          <w:p>
            <w:pPr>
              <w:spacing w:after="0"/>
              <w:rPr>
                <w:sz w:val="22"/>
                <w:szCs w:val="22"/>
                <w:color w:val="auto"/>
              </w:rPr>
            </w:pPr>
          </w:p>
        </w:tc>
        <w:tc>
          <w:tcPr>
            <w:tcW w:w="1040" w:type="dxa"/>
            <w:vAlign w:val="bottom"/>
            <w:gridSpan w:val="3"/>
          </w:tcPr>
          <w:p>
            <w:pPr>
              <w:jc w:val="center"/>
              <w:ind w:left="141"/>
              <w:spacing w:after="0"/>
              <w:rPr>
                <w:sz w:val="20"/>
                <w:szCs w:val="20"/>
                <w:color w:val="auto"/>
              </w:rPr>
            </w:pPr>
            <w:r>
              <w:rPr>
                <w:rFonts w:ascii="Arial" w:cs="Arial" w:eastAsia="Arial" w:hAnsi="Arial"/>
                <w:sz w:val="20"/>
                <w:szCs w:val="20"/>
                <w:color w:val="auto"/>
                <w:w w:val="88"/>
              </w:rPr>
              <w:t>0.350%</w:t>
            </w:r>
          </w:p>
        </w:tc>
        <w:tc>
          <w:tcPr>
            <w:tcW w:w="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0"/>
              </w:rPr>
              <w:t>&lt; 1.50x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2.250%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20"/>
                <w:szCs w:val="20"/>
                <w:color w:val="auto"/>
                <w:w w:val="91"/>
              </w:rPr>
              <w:t>1.250%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41"/>
              <w:spacing w:after="0"/>
              <w:rPr>
                <w:sz w:val="20"/>
                <w:szCs w:val="20"/>
                <w:color w:val="auto"/>
              </w:rPr>
            </w:pPr>
            <w:r>
              <w:rPr>
                <w:rFonts w:ascii="Arial" w:cs="Arial" w:eastAsia="Arial" w:hAnsi="Arial"/>
                <w:sz w:val="20"/>
                <w:szCs w:val="20"/>
                <w:color w:val="auto"/>
                <w:w w:val="91"/>
              </w:rPr>
              <w:t>2.750%</w:t>
            </w:r>
          </w:p>
        </w:tc>
        <w:tc>
          <w:tcPr>
            <w:tcW w:w="180" w:type="dxa"/>
            <w:vAlign w:val="bottom"/>
            <w:tcBorders>
              <w:right w:val="single" w:sz="8" w:color="auto"/>
            </w:tcBorders>
          </w:tcPr>
          <w:p>
            <w:pPr>
              <w:spacing w:after="0"/>
              <w:rPr>
                <w:sz w:val="22"/>
                <w:szCs w:val="22"/>
                <w:color w:val="auto"/>
              </w:rPr>
            </w:pPr>
          </w:p>
        </w:tc>
        <w:tc>
          <w:tcPr>
            <w:tcW w:w="1040" w:type="dxa"/>
            <w:vAlign w:val="bottom"/>
            <w:gridSpan w:val="3"/>
          </w:tcPr>
          <w:p>
            <w:pPr>
              <w:jc w:val="center"/>
              <w:ind w:left="141"/>
              <w:spacing w:after="0"/>
              <w:rPr>
                <w:sz w:val="20"/>
                <w:szCs w:val="20"/>
                <w:color w:val="auto"/>
              </w:rPr>
            </w:pPr>
            <w:r>
              <w:rPr>
                <w:rFonts w:ascii="Arial" w:cs="Arial" w:eastAsia="Arial" w:hAnsi="Arial"/>
                <w:sz w:val="20"/>
                <w:szCs w:val="20"/>
                <w:color w:val="auto"/>
                <w:w w:val="88"/>
              </w:rPr>
              <w:t>0.400%</w:t>
            </w:r>
          </w:p>
        </w:tc>
        <w:tc>
          <w:tcPr>
            <w:tcW w:w="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rPr>
              <w:t>III</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0"/>
              </w:rPr>
              <w:t>&lt; 2.00x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2.500%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20"/>
                <w:szCs w:val="20"/>
                <w:color w:val="auto"/>
                <w:w w:val="91"/>
              </w:rPr>
              <w:t>1.500%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41"/>
              <w:spacing w:after="0"/>
              <w:rPr>
                <w:sz w:val="20"/>
                <w:szCs w:val="20"/>
                <w:color w:val="auto"/>
              </w:rPr>
            </w:pPr>
            <w:r>
              <w:rPr>
                <w:rFonts w:ascii="Arial" w:cs="Arial" w:eastAsia="Arial" w:hAnsi="Arial"/>
                <w:sz w:val="20"/>
                <w:szCs w:val="20"/>
                <w:color w:val="auto"/>
                <w:w w:val="91"/>
              </w:rPr>
              <w:t>3.000%</w:t>
            </w:r>
          </w:p>
        </w:tc>
        <w:tc>
          <w:tcPr>
            <w:tcW w:w="180" w:type="dxa"/>
            <w:vAlign w:val="bottom"/>
            <w:tcBorders>
              <w:right w:val="single" w:sz="8" w:color="auto"/>
            </w:tcBorders>
          </w:tcPr>
          <w:p>
            <w:pPr>
              <w:spacing w:after="0"/>
              <w:rPr>
                <w:sz w:val="22"/>
                <w:szCs w:val="22"/>
                <w:color w:val="auto"/>
              </w:rPr>
            </w:pPr>
          </w:p>
        </w:tc>
        <w:tc>
          <w:tcPr>
            <w:tcW w:w="1040" w:type="dxa"/>
            <w:vAlign w:val="bottom"/>
            <w:gridSpan w:val="3"/>
          </w:tcPr>
          <w:p>
            <w:pPr>
              <w:jc w:val="center"/>
              <w:ind w:left="141"/>
              <w:spacing w:after="0"/>
              <w:rPr>
                <w:sz w:val="20"/>
                <w:szCs w:val="20"/>
                <w:color w:val="auto"/>
              </w:rPr>
            </w:pPr>
            <w:r>
              <w:rPr>
                <w:rFonts w:ascii="Arial" w:cs="Arial" w:eastAsia="Arial" w:hAnsi="Arial"/>
                <w:sz w:val="20"/>
                <w:szCs w:val="20"/>
                <w:color w:val="auto"/>
                <w:w w:val="88"/>
              </w:rPr>
              <w:t>0.450%</w:t>
            </w:r>
          </w:p>
        </w:tc>
        <w:tc>
          <w:tcPr>
            <w:tcW w:w="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0"/>
              </w:rPr>
              <w:t>&lt; 2.50x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2.750%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20"/>
                <w:szCs w:val="20"/>
                <w:color w:val="auto"/>
                <w:w w:val="91"/>
              </w:rPr>
              <w:t>1.750%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41"/>
              <w:spacing w:after="0"/>
              <w:rPr>
                <w:sz w:val="20"/>
                <w:szCs w:val="20"/>
                <w:color w:val="auto"/>
              </w:rPr>
            </w:pPr>
            <w:r>
              <w:rPr>
                <w:rFonts w:ascii="Arial" w:cs="Arial" w:eastAsia="Arial" w:hAnsi="Arial"/>
                <w:sz w:val="20"/>
                <w:szCs w:val="20"/>
                <w:color w:val="auto"/>
                <w:w w:val="91"/>
              </w:rPr>
              <w:t>3.250%</w:t>
            </w:r>
          </w:p>
        </w:tc>
        <w:tc>
          <w:tcPr>
            <w:tcW w:w="180" w:type="dxa"/>
            <w:vAlign w:val="bottom"/>
            <w:tcBorders>
              <w:right w:val="single" w:sz="8" w:color="auto"/>
            </w:tcBorders>
          </w:tcPr>
          <w:p>
            <w:pPr>
              <w:spacing w:after="0"/>
              <w:rPr>
                <w:sz w:val="22"/>
                <w:szCs w:val="22"/>
                <w:color w:val="auto"/>
              </w:rPr>
            </w:pPr>
          </w:p>
        </w:tc>
        <w:tc>
          <w:tcPr>
            <w:tcW w:w="1040" w:type="dxa"/>
            <w:vAlign w:val="bottom"/>
            <w:gridSpan w:val="3"/>
          </w:tcPr>
          <w:p>
            <w:pPr>
              <w:jc w:val="center"/>
              <w:ind w:left="141"/>
              <w:spacing w:after="0"/>
              <w:rPr>
                <w:sz w:val="20"/>
                <w:szCs w:val="20"/>
                <w:color w:val="auto"/>
              </w:rPr>
            </w:pPr>
            <w:r>
              <w:rPr>
                <w:rFonts w:ascii="Arial" w:cs="Arial" w:eastAsia="Arial" w:hAnsi="Arial"/>
                <w:sz w:val="20"/>
                <w:szCs w:val="20"/>
                <w:color w:val="auto"/>
                <w:w w:val="88"/>
              </w:rPr>
              <w:t>0.500%</w:t>
            </w:r>
          </w:p>
        </w:tc>
        <w:tc>
          <w:tcPr>
            <w:tcW w:w="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240" w:type="dxa"/>
            <w:vAlign w:val="bottom"/>
            <w:tcBorders>
              <w:left w:val="single" w:sz="8" w:color="auto"/>
            </w:tcBorders>
          </w:tcPr>
          <w:p>
            <w:pPr>
              <w:spacing w:after="0"/>
              <w:rPr>
                <w:sz w:val="22"/>
                <w:szCs w:val="22"/>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V</w:t>
            </w:r>
          </w:p>
        </w:tc>
        <w:tc>
          <w:tcPr>
            <w:tcW w:w="100" w:type="dxa"/>
            <w:vAlign w:val="bottom"/>
          </w:tcPr>
          <w:p>
            <w:pPr>
              <w:spacing w:after="0"/>
              <w:rPr>
                <w:sz w:val="22"/>
                <w:szCs w:val="22"/>
                <w:color w:val="auto"/>
              </w:rPr>
            </w:pPr>
          </w:p>
        </w:tc>
        <w:tc>
          <w:tcPr>
            <w:tcW w:w="12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1"/>
              </w:rPr>
              <w:t>≥ 2.50x</w:t>
            </w:r>
          </w:p>
        </w:tc>
        <w:tc>
          <w:tcPr>
            <w:tcW w:w="1620" w:type="dxa"/>
            <w:vAlign w:val="bottom"/>
            <w:gridSpan w:val="4"/>
          </w:tcPr>
          <w:p>
            <w:pPr>
              <w:jc w:val="center"/>
              <w:ind w:left="243"/>
              <w:spacing w:after="0"/>
              <w:rPr>
                <w:sz w:val="20"/>
                <w:szCs w:val="20"/>
                <w:color w:val="auto"/>
              </w:rPr>
            </w:pPr>
            <w:r>
              <w:rPr>
                <w:rFonts w:ascii="Arial" w:cs="Arial" w:eastAsia="Arial" w:hAnsi="Arial"/>
                <w:sz w:val="20"/>
                <w:szCs w:val="20"/>
                <w:color w:val="auto"/>
                <w:w w:val="88"/>
              </w:rPr>
              <w:t>3.000%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40" w:type="dxa"/>
            <w:vAlign w:val="bottom"/>
            <w:gridSpan w:val="3"/>
          </w:tcPr>
          <w:p>
            <w:pPr>
              <w:jc w:val="center"/>
              <w:ind w:left="381"/>
              <w:spacing w:after="0"/>
              <w:rPr>
                <w:sz w:val="20"/>
                <w:szCs w:val="20"/>
                <w:color w:val="auto"/>
              </w:rPr>
            </w:pPr>
            <w:r>
              <w:rPr>
                <w:rFonts w:ascii="Arial" w:cs="Arial" w:eastAsia="Arial" w:hAnsi="Arial"/>
                <w:sz w:val="20"/>
                <w:szCs w:val="20"/>
                <w:color w:val="auto"/>
                <w:w w:val="91"/>
              </w:rPr>
              <w:t>2.000%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680" w:type="dxa"/>
            <w:vAlign w:val="bottom"/>
            <w:gridSpan w:val="4"/>
          </w:tcPr>
          <w:p>
            <w:pPr>
              <w:jc w:val="center"/>
              <w:ind w:left="41"/>
              <w:spacing w:after="0"/>
              <w:rPr>
                <w:sz w:val="20"/>
                <w:szCs w:val="20"/>
                <w:color w:val="auto"/>
              </w:rPr>
            </w:pPr>
            <w:r>
              <w:rPr>
                <w:rFonts w:ascii="Arial" w:cs="Arial" w:eastAsia="Arial" w:hAnsi="Arial"/>
                <w:sz w:val="20"/>
                <w:szCs w:val="20"/>
                <w:color w:val="auto"/>
                <w:w w:val="91"/>
              </w:rPr>
              <w:t>3.500%</w:t>
            </w:r>
          </w:p>
        </w:tc>
        <w:tc>
          <w:tcPr>
            <w:tcW w:w="180" w:type="dxa"/>
            <w:vAlign w:val="bottom"/>
            <w:tcBorders>
              <w:right w:val="single" w:sz="8" w:color="auto"/>
            </w:tcBorders>
          </w:tcPr>
          <w:p>
            <w:pPr>
              <w:spacing w:after="0"/>
              <w:rPr>
                <w:sz w:val="22"/>
                <w:szCs w:val="22"/>
                <w:color w:val="auto"/>
              </w:rPr>
            </w:pPr>
          </w:p>
        </w:tc>
        <w:tc>
          <w:tcPr>
            <w:tcW w:w="1040" w:type="dxa"/>
            <w:vAlign w:val="bottom"/>
            <w:gridSpan w:val="3"/>
          </w:tcPr>
          <w:p>
            <w:pPr>
              <w:jc w:val="center"/>
              <w:ind w:left="141"/>
              <w:spacing w:after="0"/>
              <w:rPr>
                <w:sz w:val="20"/>
                <w:szCs w:val="20"/>
                <w:color w:val="auto"/>
              </w:rPr>
            </w:pPr>
            <w:r>
              <w:rPr>
                <w:rFonts w:ascii="Arial" w:cs="Arial" w:eastAsia="Arial" w:hAnsi="Arial"/>
                <w:sz w:val="20"/>
                <w:szCs w:val="20"/>
                <w:color w:val="auto"/>
                <w:w w:val="88"/>
              </w:rPr>
              <w:t>0.500%</w:t>
            </w:r>
          </w:p>
        </w:tc>
        <w:tc>
          <w:tcPr>
            <w:tcW w:w="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2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Each change in the Applicable Margin shall take effect on each date on which such financial statements and Compliance Certificate are delivered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commencing with the date on which such financial statements and Compliance Certificate are delivered for the four-quarter period ended September 30, 2020. Notwithstanding the foregoing, for the period from the Effective Date through the date on which the financial statements and Compliance Certificate are delivered for the fiscal quarter ended September 30, 2020, the Applicable Margin shall be determined at Level I. In the event that any financial statement delivered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is shown to be inaccurate when delivered (regardless of whether this Agreement or the Revolving Commitments are in effect when such inaccuracy is discovered), and such inaccuracy, if corrected, would have led to the application of a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71" w:name="page72"/>
    <w:bookmarkEnd w:id="71"/>
    <w:p>
      <w:pPr>
        <w:jc w:val="both"/>
        <w:spacing w:after="0" w:line="287" w:lineRule="auto"/>
        <w:rPr>
          <w:sz w:val="20"/>
          <w:szCs w:val="20"/>
          <w:color w:val="auto"/>
        </w:rPr>
      </w:pPr>
      <w:r>
        <w:rPr>
          <w:rFonts w:ascii="Arial" w:cs="Arial" w:eastAsia="Arial" w:hAnsi="Arial"/>
          <w:sz w:val="19"/>
          <w:szCs w:val="19"/>
          <w:color w:val="auto"/>
        </w:rPr>
        <w:t>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xml:space="preserve">”) than the Applicable Margin applied for such Applicable Period, then the Company shall (a) deliver to the Administrative Agent corrected financial statements for such Applicable Period promptly after completion, (b) determine the Applicable Margin for such Applicable Period based upon such corrected financial statements and (c) promptly pay to the Administrative Agent the accrued additional interest and Unused Fees owing as a result of such increased Applicable Margin for such Applicable Period, which payment shall be promptly applied by the Administrative Agent in accordance with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provision in the previous sentence is in addition to the rights of the Administrative Agent and the Lenders with respect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their other respective rights under this Agreement. If the Company fails to deliver the financial statements and corresponding Compliance Certificate to the Administrative Agent at the time required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then effective as of the date such financial statements and corresponding Compliance Certificate were required to be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the Applicable Margin shall be determined at Level V and shall remain at such level until the date such financial statements and corresponding Compliance Certificate are so delivered by the Company.</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contained herein or in any other Loan Document, at all times during the Covenant Relief Period, “Applicable Margin” shall mean, for any day, with respect to any Loan, or with respect to the Unused Fees, the applicable per annum rate in the table set forth below:</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 w:type="dxa"/>
            <w:vAlign w:val="bottom"/>
            <w:tcBorders>
              <w:top w:val="single" w:sz="8" w:color="auto"/>
              <w:left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Applicable Margin for Eurocurrency,</w:t>
            </w:r>
          </w:p>
        </w:tc>
        <w:tc>
          <w:tcPr>
            <w:tcW w:w="1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Applicable Margin for</w:t>
            </w:r>
          </w:p>
        </w:tc>
        <w:tc>
          <w:tcPr>
            <w:tcW w:w="14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5"/>
              </w:rPr>
              <w:t>Applicable Margin for</w:t>
            </w: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95"/>
              </w:rPr>
              <w:t>Applicable Margin for</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268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2"/>
              </w:rPr>
              <w:t>EURIBOR and CDOR Loans</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4"/>
              </w:rPr>
              <w:t>ABR Loans</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Borders>
              <w:right w:val="single" w:sz="8" w:color="auto"/>
            </w:tcBorders>
            <w:gridSpan w:val="4"/>
          </w:tcPr>
          <w:p>
            <w:pPr>
              <w:jc w:val="center"/>
              <w:ind w:right="100"/>
              <w:spacing w:after="0" w:line="196" w:lineRule="exact"/>
              <w:rPr>
                <w:sz w:val="20"/>
                <w:szCs w:val="20"/>
                <w:color w:val="auto"/>
              </w:rPr>
            </w:pPr>
            <w:r>
              <w:rPr>
                <w:rFonts w:ascii="Arial" w:cs="Arial" w:eastAsia="Arial" w:hAnsi="Arial"/>
                <w:sz w:val="18"/>
                <w:szCs w:val="18"/>
                <w:color w:val="auto"/>
                <w:w w:val="89"/>
              </w:rPr>
              <w:t>Canadian Prime Rate Loans</w:t>
            </w:r>
          </w:p>
        </w:tc>
        <w:tc>
          <w:tcPr>
            <w:tcW w:w="100" w:type="dxa"/>
            <w:vAlign w:val="bottom"/>
          </w:tcPr>
          <w:p>
            <w:pPr>
              <w:spacing w:after="0"/>
              <w:rPr>
                <w:sz w:val="17"/>
                <w:szCs w:val="17"/>
                <w:color w:val="auto"/>
              </w:rPr>
            </w:pPr>
          </w:p>
        </w:tc>
        <w:tc>
          <w:tcPr>
            <w:tcW w:w="1740" w:type="dxa"/>
            <w:vAlign w:val="bottom"/>
            <w:tcBorders>
              <w:right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color w:val="auto"/>
                <w:w w:val="85"/>
              </w:rPr>
              <w:t>Unused Fees</w:t>
            </w: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12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254"/>
        </w:trPr>
        <w:tc>
          <w:tcPr>
            <w:tcW w:w="2560" w:type="dxa"/>
            <w:vAlign w:val="bottom"/>
            <w:tcBorders>
              <w:left w:val="single" w:sz="8" w:color="auto"/>
            </w:tcBorders>
            <w:gridSpan w:val="3"/>
          </w:tcPr>
          <w:p>
            <w:pPr>
              <w:jc w:val="center"/>
              <w:ind w:left="341"/>
              <w:spacing w:after="0"/>
              <w:rPr>
                <w:sz w:val="20"/>
                <w:szCs w:val="20"/>
                <w:color w:val="auto"/>
              </w:rPr>
            </w:pPr>
            <w:r>
              <w:rPr>
                <w:rFonts w:ascii="Arial" w:cs="Arial" w:eastAsia="Arial" w:hAnsi="Arial"/>
                <w:sz w:val="20"/>
                <w:szCs w:val="20"/>
                <w:color w:val="auto"/>
                <w:w w:val="88"/>
              </w:rPr>
              <w:t>4.000%</w:t>
            </w:r>
          </w:p>
        </w:tc>
        <w:tc>
          <w:tcPr>
            <w:tcW w:w="28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360" w:type="dxa"/>
            <w:vAlign w:val="bottom"/>
            <w:gridSpan w:val="3"/>
          </w:tcPr>
          <w:p>
            <w:pPr>
              <w:jc w:val="center"/>
              <w:ind w:left="381"/>
              <w:spacing w:after="0"/>
              <w:rPr>
                <w:sz w:val="20"/>
                <w:szCs w:val="20"/>
                <w:color w:val="auto"/>
              </w:rPr>
            </w:pPr>
            <w:r>
              <w:rPr>
                <w:rFonts w:ascii="Arial" w:cs="Arial" w:eastAsia="Arial" w:hAnsi="Arial"/>
                <w:sz w:val="20"/>
                <w:szCs w:val="20"/>
                <w:color w:val="auto"/>
                <w:w w:val="88"/>
              </w:rPr>
              <w:t>3.000%</w:t>
            </w:r>
          </w:p>
        </w:tc>
        <w:tc>
          <w:tcPr>
            <w:tcW w:w="3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880" w:type="dxa"/>
            <w:vAlign w:val="bottom"/>
            <w:gridSpan w:val="3"/>
          </w:tcPr>
          <w:p>
            <w:pPr>
              <w:jc w:val="center"/>
              <w:ind w:left="161"/>
              <w:spacing w:after="0"/>
              <w:rPr>
                <w:sz w:val="20"/>
                <w:szCs w:val="20"/>
                <w:color w:val="auto"/>
              </w:rPr>
            </w:pPr>
            <w:r>
              <w:rPr>
                <w:rFonts w:ascii="Arial" w:cs="Arial" w:eastAsia="Arial" w:hAnsi="Arial"/>
                <w:sz w:val="20"/>
                <w:szCs w:val="20"/>
                <w:color w:val="auto"/>
                <w:w w:val="91"/>
              </w:rPr>
              <w:t>4.500%</w:t>
            </w:r>
          </w:p>
        </w:tc>
        <w:tc>
          <w:tcPr>
            <w:tcW w:w="2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360" w:type="dxa"/>
            <w:vAlign w:val="bottom"/>
            <w:gridSpan w:val="3"/>
          </w:tcPr>
          <w:p>
            <w:pPr>
              <w:jc w:val="center"/>
              <w:ind w:left="361"/>
              <w:spacing w:after="0"/>
              <w:rPr>
                <w:sz w:val="20"/>
                <w:szCs w:val="20"/>
                <w:color w:val="auto"/>
              </w:rPr>
            </w:pPr>
            <w:r>
              <w:rPr>
                <w:rFonts w:ascii="Arial" w:cs="Arial" w:eastAsia="Arial" w:hAnsi="Arial"/>
                <w:sz w:val="20"/>
                <w:szCs w:val="20"/>
                <w:color w:val="auto"/>
                <w:w w:val="91"/>
              </w:rPr>
              <w:t>0.500%</w:t>
            </w:r>
          </w:p>
        </w:tc>
        <w:tc>
          <w:tcPr>
            <w:tcW w:w="3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r>
      <w:tr>
        <w:trPr>
          <w:trHeight w:val="23"/>
        </w:trPr>
        <w:tc>
          <w:tcPr>
            <w:tcW w:w="16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with respect to any Lender, the percentage of the aggregate Revolving Commitments represented by such Lender’s Revolving Commitment. If the Revolving Commitments have terminated or expired, the Applicable Percentages shall be determined based upon the Revolving Commitments most recently in effect, giving effect to any assignments.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8.03(a)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(including electronic records generated by the use of an electronic platform) approved by the Administrative Agent.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Australian Borrower</w:t>
      </w:r>
      <w:r>
        <w:rPr>
          <w:rFonts w:ascii="Arial" w:cs="Arial" w:eastAsia="Arial" w:hAnsi="Arial"/>
          <w:sz w:val="21"/>
          <w:szCs w:val="21"/>
          <w:color w:val="auto"/>
        </w:rPr>
        <w:t>” means Matrix Applied Technologies Pty Ltd (ACN 089 397 982), an Australian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Dollars</w:t>
      </w:r>
      <w:r>
        <w:rPr>
          <w:rFonts w:ascii="Arial" w:cs="Arial" w:eastAsia="Arial" w:hAnsi="Arial"/>
          <w:sz w:val="22"/>
          <w:szCs w:val="22"/>
          <w:color w:val="auto"/>
        </w:rPr>
        <w:t>” or “</w:t>
      </w:r>
      <w:r>
        <w:rPr>
          <w:rFonts w:ascii="Arial" w:cs="Arial" w:eastAsia="Arial" w:hAnsi="Arial"/>
          <w:sz w:val="22"/>
          <w:szCs w:val="22"/>
          <w:u w:val="single" w:color="auto"/>
          <w:color w:val="auto"/>
        </w:rPr>
        <w:t>A$</w:t>
      </w:r>
      <w:r>
        <w:rPr>
          <w:rFonts w:ascii="Arial" w:cs="Arial" w:eastAsia="Arial" w:hAnsi="Arial"/>
          <w:sz w:val="22"/>
          <w:szCs w:val="22"/>
          <w:color w:val="auto"/>
        </w:rPr>
        <w:t>” means the lawful currency of Australia.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Foreign Bank</w:t>
      </w:r>
      <w:r>
        <w:rPr>
          <w:rFonts w:ascii="Arial" w:cs="Arial" w:eastAsia="Arial" w:hAnsi="Arial"/>
          <w:sz w:val="22"/>
          <w:szCs w:val="22"/>
          <w:color w:val="auto"/>
        </w:rPr>
        <w:t>” means an “authorized foreign bank” as defined for the purposes of the ITA.</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Officer</w:t>
      </w:r>
      <w:r>
        <w:rPr>
          <w:rFonts w:ascii="Arial" w:cs="Arial" w:eastAsia="Arial" w:hAnsi="Arial"/>
          <w:sz w:val="21"/>
          <w:szCs w:val="21"/>
          <w:color w:val="auto"/>
        </w:rPr>
        <w:t xml:space="preserve">” means (a) as to the Company, the President or any Vice President or any other officer of the Company who is designated as an authorized officer in the certificate delivered pursuant to </w:t>
      </w:r>
      <w:r>
        <w:rPr>
          <w:rFonts w:ascii="Arial" w:cs="Arial" w:eastAsia="Arial" w:hAnsi="Arial"/>
          <w:sz w:val="21"/>
          <w:szCs w:val="21"/>
          <w:u w:val="single" w:color="auto"/>
          <w:color w:val="auto"/>
        </w:rPr>
        <w:t>Section 4.01(b)(ii)</w:t>
      </w:r>
      <w:r>
        <w:rPr>
          <w:rFonts w:ascii="Arial" w:cs="Arial" w:eastAsia="Arial" w:hAnsi="Arial"/>
          <w:sz w:val="21"/>
          <w:szCs w:val="21"/>
          <w:color w:val="auto"/>
        </w:rPr>
        <w:t xml:space="preserve"> or who is otherwise designated as such in a written certificate delivered by the Company to the Administrative Agent, and (b) as to any other Credit Party, the President or any Vice President of such Credit Party or any other officer of such Credit Party who is designated as an authorized officer in the certificate delivered pursuant to </w:t>
      </w:r>
      <w:r>
        <w:rPr>
          <w:rFonts w:ascii="Arial" w:cs="Arial" w:eastAsia="Arial" w:hAnsi="Arial"/>
          <w:sz w:val="21"/>
          <w:szCs w:val="21"/>
          <w:u w:val="single" w:color="auto"/>
          <w:color w:val="auto"/>
        </w:rPr>
        <w:t>Section 4.01(b)(ii)</w:t>
      </w:r>
      <w:r>
        <w:rPr>
          <w:rFonts w:ascii="Arial" w:cs="Arial" w:eastAsia="Arial" w:hAnsi="Arial"/>
          <w:sz w:val="21"/>
          <w:szCs w:val="21"/>
          <w:color w:val="auto"/>
        </w:rPr>
        <w:t xml:space="preserve"> or who is otherwise designated as such in a written certificate delivered by such Credit Party to the Administrative Agent.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Termination Date and the date of termination of the Revolving Commitments.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xml:space="preserve">” means, with respect to any Person, such Person becomes the subject of a voluntary or involuntary </w:t>
      </w:r>
      <w:r>
        <w:rPr>
          <w:rFonts w:ascii="Arial" w:cs="Arial" w:eastAsia="Arial" w:hAnsi="Arial"/>
          <w:sz w:val="21"/>
          <w:szCs w:val="21"/>
          <w:u w:val="single" w:color="auto"/>
          <w:color w:val="auto"/>
        </w:rPr>
        <w:t>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w:t>
      </w:r>
      <w:r>
        <w:rPr>
          <w:rFonts w:ascii="Arial" w:cs="Arial" w:eastAsia="Arial" w:hAnsi="Arial"/>
          <w:sz w:val="21"/>
          <w:szCs w:val="21"/>
          <w:color w:val="auto"/>
        </w:rPr>
        <w:t xml:space="preserve"> in furtherance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94" w:lineRule="auto"/>
        <w:rPr>
          <w:sz w:val="20"/>
          <w:szCs w:val="20"/>
          <w:color w:val="auto"/>
        </w:rPr>
      </w:pPr>
      <w:r>
        <w:rPr>
          <w:rFonts w:ascii="Arial" w:cs="Arial" w:eastAsia="Arial" w:hAnsi="Arial"/>
          <w:sz w:val="19"/>
          <w:szCs w:val="19"/>
          <w:color w:val="auto"/>
        </w:rPr>
        <w:t xml:space="preserve">indicating its consent to, approval of, or acquiescence in, any such proceeding or appointment or has had any order for relief in </w:t>
      </w:r>
      <w:r>
        <w:rPr>
          <w:rFonts w:ascii="Arial" w:cs="Arial" w:eastAsia="Arial" w:hAnsi="Arial"/>
          <w:sz w:val="19"/>
          <w:szCs w:val="19"/>
          <w:u w:val="single" w:color="auto"/>
          <w:color w:val="auto"/>
        </w:rPr>
        <w:t>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-876935</wp:posOffset>
            </wp:positionV>
            <wp:extent cx="3705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05225" cy="8255"/>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Relevant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a Term SOFR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Loan denominated in an Alternative Currency, the “Benchmark Replacement” shall mean the alternative set forth in (3) below:</w:t>
      </w:r>
    </w:p>
    <w:p>
      <w:pPr>
        <w:spacing w:after="0" w:line="133" w:lineRule="exact"/>
        <w:rPr>
          <w:sz w:val="20"/>
          <w:szCs w:val="20"/>
          <w:color w:val="auto"/>
        </w:rPr>
      </w:pPr>
    </w:p>
    <w:p>
      <w:pPr>
        <w:ind w:left="1960" w:hanging="656"/>
        <w:spacing w:after="0"/>
        <w:tabs>
          <w:tab w:leader="none" w:pos="1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19" w:lineRule="exact"/>
        <w:rPr>
          <w:rFonts w:ascii="Arial" w:cs="Arial" w:eastAsia="Arial" w:hAnsi="Arial"/>
          <w:sz w:val="22"/>
          <w:szCs w:val="22"/>
          <w:color w:val="auto"/>
        </w:rPr>
      </w:pPr>
    </w:p>
    <w:p>
      <w:pPr>
        <w:jc w:val="both"/>
        <w:ind w:left="660" w:firstLine="644"/>
        <w:spacing w:after="0" w:line="294" w:lineRule="auto"/>
        <w:tabs>
          <w:tab w:leader="none" w:pos="195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solely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4" w:name="page75"/>
    <w:bookmarkEnd w:id="74"/>
    <w:p>
      <w:pPr>
        <w:jc w:val="both"/>
        <w:ind w:right="20"/>
        <w:spacing w:after="0" w:line="263" w:lineRule="auto"/>
        <w:rPr>
          <w:sz w:val="20"/>
          <w:szCs w:val="20"/>
          <w:color w:val="auto"/>
        </w:rPr>
      </w:pPr>
      <w:r>
        <w:rPr>
          <w:rFonts w:ascii="Arial" w:cs="Arial" w:eastAsia="Arial" w:hAnsi="Arial"/>
          <w:sz w:val="22"/>
          <w:szCs w:val="22"/>
          <w:color w:val="auto"/>
        </w:rPr>
        <w:t>and (b) the related Benchmark Replacement Adjustment, as set forth in clause (1) of this definition (subject to the first proviso above).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85" w:lineRule="exact"/>
        <w:rPr>
          <w:sz w:val="20"/>
          <w:szCs w:val="20"/>
          <w:color w:val="auto"/>
        </w:rPr>
      </w:pPr>
    </w:p>
    <w:p>
      <w:pPr>
        <w:ind w:left="660" w:firstLine="644"/>
        <w:spacing w:after="0" w:line="263" w:lineRule="auto"/>
        <w:tabs>
          <w:tab w:leader="none" w:pos="1956"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74" w:lineRule="exact"/>
        <w:rPr>
          <w:rFonts w:ascii="Arial" w:cs="Arial" w:eastAsia="Arial" w:hAnsi="Arial"/>
          <w:sz w:val="22"/>
          <w:szCs w:val="22"/>
          <w:color w:val="auto"/>
        </w:rPr>
      </w:pPr>
    </w:p>
    <w:p>
      <w:pPr>
        <w:jc w:val="both"/>
        <w:ind w:left="1300" w:firstLine="652"/>
        <w:spacing w:after="0" w:line="248" w:lineRule="auto"/>
        <w:tabs>
          <w:tab w:leader="none" w:pos="2584"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91" w:lineRule="exact"/>
        <w:rPr>
          <w:rFonts w:ascii="Arial" w:cs="Arial" w:eastAsia="Arial" w:hAnsi="Arial"/>
          <w:sz w:val="22"/>
          <w:szCs w:val="22"/>
          <w:color w:val="auto"/>
        </w:rPr>
      </w:pPr>
    </w:p>
    <w:p>
      <w:pPr>
        <w:jc w:val="both"/>
        <w:ind w:left="1300" w:firstLine="652"/>
        <w:spacing w:after="0" w:line="250" w:lineRule="auto"/>
        <w:tabs>
          <w:tab w:leader="none" w:pos="2596"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7" w:lineRule="exact"/>
        <w:rPr>
          <w:rFonts w:ascii="Arial" w:cs="Arial" w:eastAsia="Arial" w:hAnsi="Arial"/>
          <w:sz w:val="22"/>
          <w:szCs w:val="22"/>
          <w:color w:val="auto"/>
        </w:rPr>
      </w:pPr>
    </w:p>
    <w:p>
      <w:pPr>
        <w:jc w:val="both"/>
        <w:ind w:left="660" w:firstLine="644"/>
        <w:spacing w:after="0" w:line="289" w:lineRule="auto"/>
        <w:tabs>
          <w:tab w:leader="none" w:pos="1956" w:val="left"/>
        </w:tabs>
        <w:numPr>
          <w:ilvl w:val="0"/>
          <w:numId w:val="48"/>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5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5" w:name="page76"/>
    <w:bookmarkEnd w:id="75"/>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202" w:lineRule="exact"/>
        <w:rPr>
          <w:sz w:val="20"/>
          <w:szCs w:val="20"/>
          <w:color w:val="auto"/>
        </w:rPr>
      </w:pPr>
    </w:p>
    <w:p>
      <w:pPr>
        <w:jc w:val="both"/>
        <w:ind w:left="660" w:hanging="161"/>
        <w:spacing w:after="0" w:line="250" w:lineRule="auto"/>
        <w:rPr>
          <w:sz w:val="20"/>
          <w:szCs w:val="20"/>
          <w:color w:val="auto"/>
        </w:rPr>
      </w:pPr>
      <w:r>
        <w:rPr>
          <w:rFonts w:ascii="Arial" w:cs="Arial" w:eastAsia="Arial" w:hAnsi="Arial"/>
          <w:sz w:val="22"/>
          <w:szCs w:val="22"/>
          <w:color w:val="auto"/>
        </w:rPr>
        <w:t>1.in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8" w:lineRule="exact"/>
        <w:rPr>
          <w:sz w:val="20"/>
          <w:szCs w:val="20"/>
          <w:color w:val="auto"/>
        </w:rPr>
      </w:pPr>
    </w:p>
    <w:p>
      <w:pPr>
        <w:jc w:val="both"/>
        <w:ind w:left="660" w:right="20" w:hanging="161"/>
        <w:spacing w:after="0" w:line="263" w:lineRule="auto"/>
        <w:rPr>
          <w:sz w:val="20"/>
          <w:szCs w:val="20"/>
          <w:color w:val="auto"/>
        </w:rPr>
      </w:pPr>
      <w:r>
        <w:rPr>
          <w:rFonts w:ascii="Arial" w:cs="Arial" w:eastAsia="Arial" w:hAnsi="Arial"/>
          <w:sz w:val="22"/>
          <w:szCs w:val="22"/>
          <w:color w:val="auto"/>
        </w:rPr>
        <w:t>2.in the case of clause (3) of the definition of “Benchmark Transition Event,” the date of the public statement or publication of information referenced therein; or</w:t>
      </w:r>
    </w:p>
    <w:p>
      <w:pPr>
        <w:spacing w:after="0" w:line="202" w:lineRule="exact"/>
        <w:rPr>
          <w:sz w:val="20"/>
          <w:szCs w:val="20"/>
          <w:color w:val="auto"/>
        </w:rPr>
      </w:pPr>
    </w:p>
    <w:p>
      <w:pPr>
        <w:jc w:val="both"/>
        <w:ind w:left="660" w:right="20" w:hanging="161"/>
        <w:spacing w:after="0" w:line="251" w:lineRule="auto"/>
        <w:rPr>
          <w:sz w:val="20"/>
          <w:szCs w:val="20"/>
          <w:color w:val="auto"/>
        </w:rPr>
      </w:pPr>
      <w:r>
        <w:rPr>
          <w:rFonts w:ascii="Arial" w:cs="Arial" w:eastAsia="Arial" w:hAnsi="Arial"/>
          <w:sz w:val="22"/>
          <w:szCs w:val="22"/>
          <w:color w:val="auto"/>
        </w:rPr>
        <w:t xml:space="preserve">3.in the case of a Term SOFR Transition Event, the date that is thirty (30) days after the date a Term SOFR Notice is provided to the Lenders and the Borrower pursuant to </w:t>
      </w:r>
      <w:r>
        <w:rPr>
          <w:rFonts w:ascii="Arial" w:cs="Arial" w:eastAsia="Arial" w:hAnsi="Arial"/>
          <w:sz w:val="22"/>
          <w:szCs w:val="22"/>
          <w:u w:val="single" w:color="auto"/>
          <w:color w:val="auto"/>
        </w:rPr>
        <w:t>Section 2.14(c)</w:t>
      </w:r>
      <w:r>
        <w:rPr>
          <w:rFonts w:ascii="Arial" w:cs="Arial" w:eastAsia="Arial" w:hAnsi="Arial"/>
          <w:sz w:val="22"/>
          <w:szCs w:val="22"/>
          <w:color w:val="auto"/>
        </w:rPr>
        <w:t>; or</w:t>
      </w:r>
    </w:p>
    <w:p>
      <w:pPr>
        <w:spacing w:after="0" w:line="2" w:lineRule="exact"/>
        <w:rPr>
          <w:sz w:val="20"/>
          <w:szCs w:val="20"/>
          <w:color w:val="auto"/>
        </w:rPr>
      </w:pPr>
    </w:p>
    <w:p>
      <w:pPr>
        <w:jc w:val="both"/>
        <w:ind w:left="660" w:hanging="161"/>
        <w:spacing w:after="0" w:line="259" w:lineRule="auto"/>
        <w:rPr>
          <w:sz w:val="20"/>
          <w:szCs w:val="20"/>
          <w:color w:val="auto"/>
        </w:rPr>
      </w:pPr>
      <w:r>
        <w:rPr>
          <w:rFonts w:ascii="Arial" w:cs="Arial" w:eastAsia="Arial" w:hAnsi="Arial"/>
          <w:sz w:val="21"/>
          <w:szCs w:val="21"/>
          <w:color w:val="auto"/>
        </w:rPr>
        <w:t>4.in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6" w:name="page77"/>
    <w:bookmarkEnd w:id="76"/>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the then-current Benchmark:</w:t>
      </w:r>
    </w:p>
    <w:p>
      <w:pPr>
        <w:spacing w:after="0" w:line="175" w:lineRule="exact"/>
        <w:rPr>
          <w:sz w:val="20"/>
          <w:szCs w:val="20"/>
          <w:color w:val="auto"/>
        </w:rPr>
      </w:pPr>
    </w:p>
    <w:p>
      <w:pPr>
        <w:jc w:val="both"/>
        <w:ind w:left="660" w:firstLine="644"/>
        <w:spacing w:after="0" w:line="263" w:lineRule="auto"/>
        <w:tabs>
          <w:tab w:leader="none" w:pos="1956" w:val="left"/>
        </w:tabs>
        <w:numPr>
          <w:ilvl w:val="0"/>
          <w:numId w:val="49"/>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5" w:lineRule="exact"/>
        <w:rPr>
          <w:rFonts w:ascii="Arial" w:cs="Arial" w:eastAsia="Arial" w:hAnsi="Arial"/>
          <w:sz w:val="21"/>
          <w:szCs w:val="21"/>
          <w:color w:val="auto"/>
        </w:rPr>
      </w:pPr>
    </w:p>
    <w:p>
      <w:pPr>
        <w:jc w:val="both"/>
        <w:ind w:left="660" w:firstLine="644"/>
        <w:spacing w:after="0" w:line="259" w:lineRule="auto"/>
        <w:tabs>
          <w:tab w:leader="none" w:pos="1956" w:val="left"/>
        </w:tabs>
        <w:numPr>
          <w:ilvl w:val="0"/>
          <w:numId w:val="49"/>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9" w:lineRule="exact"/>
        <w:rPr>
          <w:rFonts w:ascii="Arial" w:cs="Arial" w:eastAsia="Arial" w:hAnsi="Arial"/>
          <w:sz w:val="21"/>
          <w:szCs w:val="21"/>
          <w:color w:val="auto"/>
        </w:rPr>
      </w:pPr>
    </w:p>
    <w:p>
      <w:pPr>
        <w:jc w:val="both"/>
        <w:ind w:left="660" w:firstLine="644"/>
        <w:spacing w:after="0" w:line="253" w:lineRule="auto"/>
        <w:tabs>
          <w:tab w:leader="none" w:pos="195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1"/>
          <w:szCs w:val="21"/>
          <w:u w:val="single" w:color="auto"/>
          <w:color w:val="auto"/>
        </w:rPr>
        <w:t>Bonding Obligations</w:t>
      </w:r>
      <w:r>
        <w:rPr>
          <w:rFonts w:ascii="Arial" w:cs="Arial" w:eastAsia="Arial" w:hAnsi="Arial"/>
          <w:sz w:val="20"/>
          <w:szCs w:val="20"/>
          <w:color w:val="auto"/>
        </w:rPr>
        <w:t xml:space="preserve">” </w:t>
      </w:r>
      <w:r>
        <w:rPr>
          <w:rFonts w:ascii="Arial" w:cs="Arial" w:eastAsia="Arial" w:hAnsi="Arial"/>
          <w:sz w:val="21"/>
          <w:szCs w:val="21"/>
          <w:color w:val="auto"/>
        </w:rPr>
        <w:t>means any and all obligations of the Company or any of its Subsidiaries to any Person to secure or</w:t>
      </w:r>
      <w:r>
        <w:rPr>
          <w:rFonts w:ascii="Arial" w:cs="Arial" w:eastAsia="Arial" w:hAnsi="Arial"/>
          <w:sz w:val="20"/>
          <w:szCs w:val="20"/>
          <w:color w:val="auto"/>
        </w:rPr>
        <w:t xml:space="preserve"> </w:t>
      </w:r>
      <w:r>
        <w:rPr>
          <w:rFonts w:ascii="Arial" w:cs="Arial" w:eastAsia="Arial" w:hAnsi="Arial"/>
          <w:sz w:val="21"/>
          <w:szCs w:val="21"/>
          <w:color w:val="auto"/>
        </w:rPr>
        <w:t>assure the performance of any bid, contract, lease or statutory obligation, or otherwise constituting a bid, performance, return-of-money, surety, appeal or payment bond, contract or like undertaking, in each case, entered into by the Company or such Subsidiary in the ordinary course of business.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individually or collectively, the Company, the Canadian Borrowers, the Euro/Sterling Borrower and the Australian Borrower.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Revolving Loans of the same Type, made, converted or continued on the same date and, in the case of CDOR Loans, Eurocurrency Loans or EURIBOR Loans, as to which a single Interest Period is in effect, or (b) a Swingline Loan.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(a) in the case of a Borrowing denominated in U.S. Dollars, $500,000, (b) in the case of a Borrowing denominated in Canadian Dollars, Cdn$500,000, (c) in the case of a Borrowing denominated in Euros, €500,000, (d) in the case of a Borrowing denominated in Sterling, £500,000 and (e) in the case of a Borrowing denominated in Australian Dollars, A$500,000.</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Multiple</w:t>
      </w:r>
      <w:r>
        <w:rPr>
          <w:rFonts w:ascii="Arial" w:cs="Arial" w:eastAsia="Arial" w:hAnsi="Arial"/>
          <w:sz w:val="21"/>
          <w:szCs w:val="21"/>
          <w:color w:val="auto"/>
        </w:rPr>
        <w:t>” means (a) in the case of a Borrowing denominated in U.S. Dollars, $100,000, (b) in the case of a Borrowing denominated in Canadian Dollars, Cdn$100,000 and (c) in the case of a Borrowing denominated in any other Foreign Currency, the smallest amount of such Foreign Currency that is an integral multiple of 100,000 units of such currency and that has an Equivalent Amount in U.S. Dollars in excess of $100,000.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Company for a Revolving Borrowing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when used in connection with a Eurocurrency Loan, the term “</w:t>
      </w:r>
      <w:r>
        <w:rPr>
          <w:rFonts w:ascii="Arial" w:cs="Arial" w:eastAsia="Arial" w:hAnsi="Arial"/>
          <w:sz w:val="19"/>
          <w:szCs w:val="19"/>
          <w:u w:val="single" w:color="auto"/>
          <w:color w:val="auto"/>
        </w:rPr>
        <w:t>Business Day</w:t>
      </w:r>
      <w:r>
        <w:rPr>
          <w:rFonts w:ascii="Arial" w:cs="Arial" w:eastAsia="Arial" w:hAnsi="Arial"/>
          <w:sz w:val="19"/>
          <w:szCs w:val="19"/>
          <w:color w:val="auto"/>
        </w:rPr>
        <w:t>” shall also exclude any day on which banks are not open for dealings in deposits in the applicable currency in the London interbank market or the principal financial center of the country in which payment or purchase of such currency can be made, (b) when used in connection with a CDOR or Canadian Prime Rate Loan, the term “Business Day” shall also exclude any day on which commercial banks in Toronto are authorized or required by law to remain closed and (c)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used in connection with a EURIBOR Loan, the term “Business Day” shall also exclude any day that is not a TARGET Day.</w:t>
      </w:r>
    </w:p>
    <w:p>
      <w:pPr>
        <w:spacing w:after="0" w:line="2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Benefit Plans</w:t>
      </w:r>
      <w:r>
        <w:rPr>
          <w:rFonts w:ascii="Arial" w:cs="Arial" w:eastAsia="Arial" w:hAnsi="Arial"/>
          <w:sz w:val="21"/>
          <w:szCs w:val="21"/>
          <w:color w:val="auto"/>
        </w:rPr>
        <w:t>” means all material employee benefit plans or arrangements subject to the application of any Canadian benefit plan statutes or regulations that are maintained or contributed to by the Company or any of its Subsidiaries that are not Canadian Pension Plans, including all profit sharing, savings, supplemental retirement, retiring allowance, severance, pension, deferred compensation, welfare, bonus, incentive compensation, phantom stock, legal services, supplementary unemployment benefit plans or arrangements and all life, health, dental and disability plans and arrangements in which the employees or former employees of the Company or any of its Subsidiaries participate or are eligible to participate but excluding all stock option or stock purchase plans.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Borrowers</w:t>
      </w:r>
      <w:r>
        <w:rPr>
          <w:rFonts w:ascii="Arial" w:cs="Arial" w:eastAsia="Arial" w:hAnsi="Arial"/>
          <w:sz w:val="22"/>
          <w:szCs w:val="22"/>
          <w:color w:val="auto"/>
        </w:rPr>
        <w:t>” means, individually or collectively, Matrix Service Canada ULC, an Alberta unlimited liability corporation, Matrix SME Canada ULC, a Nova Scotia unlimited liability company, and Matrix North American Construction Ltd., an Ontario corporation.</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Dealer Offered Rate</w:t>
      </w:r>
      <w:r>
        <w:rPr>
          <w:rFonts w:ascii="Arial" w:cs="Arial" w:eastAsia="Arial" w:hAnsi="Arial"/>
          <w:sz w:val="22"/>
          <w:szCs w:val="22"/>
          <w:color w:val="auto"/>
        </w:rPr>
        <w:t xml:space="preserve">” means, with respect to any Borrowing denominated in Canadian Dollars for any Interest Period, (a) the applicable Screen Rate at or about 10:00 a.m. Toronto time on the Quotation Day or (b) if no Screen Rate is available for such Interest Period, the applicable Interpolated Rate as of such time on the Quotation Day, or if applicable pursuant to </w:t>
      </w:r>
      <w:r>
        <w:rPr>
          <w:rFonts w:ascii="Arial" w:cs="Arial" w:eastAsia="Arial" w:hAnsi="Arial"/>
          <w:sz w:val="22"/>
          <w:szCs w:val="22"/>
          <w:u w:val="single" w:color="auto"/>
          <w:color w:val="auto"/>
        </w:rPr>
        <w:t>Section 2.14(a)</w:t>
      </w:r>
      <w:r>
        <w:rPr>
          <w:rFonts w:ascii="Arial" w:cs="Arial" w:eastAsia="Arial" w:hAnsi="Arial"/>
          <w:sz w:val="22"/>
          <w:szCs w:val="22"/>
          <w:color w:val="auto"/>
        </w:rPr>
        <w:t>, the applicable Reference Bank Rate as of such time on the Quotation Day, plus, in each case, 0.10% per annum.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or “</w:t>
      </w:r>
      <w:r>
        <w:rPr>
          <w:rFonts w:ascii="Arial" w:cs="Arial" w:eastAsia="Arial" w:hAnsi="Arial"/>
          <w:sz w:val="22"/>
          <w:szCs w:val="22"/>
          <w:u w:val="single" w:color="auto"/>
          <w:color w:val="auto"/>
        </w:rPr>
        <w:t>Cdn$</w:t>
      </w:r>
      <w:r>
        <w:rPr>
          <w:rFonts w:ascii="Arial" w:cs="Arial" w:eastAsia="Arial" w:hAnsi="Arial"/>
          <w:sz w:val="22"/>
          <w:szCs w:val="22"/>
          <w:color w:val="auto"/>
        </w:rPr>
        <w:t>” means the lawful currency of Canada.</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Pension Plan</w:t>
      </w:r>
      <w:r>
        <w:rPr>
          <w:rFonts w:ascii="Arial" w:cs="Arial" w:eastAsia="Arial" w:hAnsi="Arial"/>
          <w:sz w:val="21"/>
          <w:szCs w:val="21"/>
          <w:color w:val="auto"/>
        </w:rPr>
        <w:t>” means all plans or arrangements which are considered to be pension plans under, and are subject to the application of, any applicable pension benefits standards statute or regulation in Canada established, maintained or contributed to by the Company or any of its Subsidiaries for its employees or former employees.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Prime Rate</w:t>
      </w:r>
      <w:r>
        <w:rPr>
          <w:rFonts w:ascii="Arial" w:cs="Arial" w:eastAsia="Arial" w:hAnsi="Arial"/>
          <w:sz w:val="19"/>
          <w:szCs w:val="19"/>
          <w:color w:val="auto"/>
        </w:rPr>
        <w:t xml:space="preserve">” means, on any day, the rate determined by the Administrative Agent to be the higher of (a)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(b) the average rate for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of the above rates shall be less than zero, such rate shall be deemed to be zero for purposes of this Agreement. Any change in the Canadian Prime Rate due to a change in the PRIMCAN Index or the CDOR Rate shall be effective from and including the effective date of such change in the PRIMCAN Index or CDOR Rate,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9" w:name="page80"/>
    <w:bookmarkEnd w:id="79"/>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without duplication, any expenditures for any purchase or other acquisition of any asset which would be classified as a fixed or capital asset on a consolidated balance sheet of the Company and its Subsidiaries prepared in accordance with Agreement Accounting Principles excluding (a) the cost of assets acquired with Capital Lease Obligations, (b) expenditures of insurance proceeds to rebuild or replace any asset after a casualty loss and (c) leasehold improvement expenditures for which the Company or a Subsidiary is reimbursed promptly by the lessor.</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 Account</w:t>
      </w:r>
      <w:r>
        <w:rPr>
          <w:rFonts w:ascii="Arial" w:cs="Arial" w:eastAsia="Arial" w:hAnsi="Arial"/>
          <w:sz w:val="22"/>
          <w:szCs w:val="22"/>
          <w:color w:val="auto"/>
        </w:rPr>
        <w:t>” means a blocked account at a commercial bank specified by the Administrative Agent in the name of the Administrative Agent and under the sole dominion and control of the Administrative Agent, and otherwise established in a manner reasonably satisfactory to the Administrative Agent.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xml:space="preserve">” means any agreement to provide cash management services, including treasury, depository, overdraft, credit or debit card, electronic funds transfer, automated clearinghouse and other cash management arrangements made or entered into at any time, or in effect at any time, whether directly or indirectly, and whether as a result of assignment or transfer or otherwise, between the Company or any Subsidiary and any Lender or Affiliate of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Person ceases to be a Lender or an Affiliate of a Lender, such agreement shall no longer be a “Cash Management Agreement”.</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CDOR</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Canadian Dealer Offered Rate.</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by any Person or group (within the meaning of Rule 13d-5 of the SEC under the Securities Exchange Act of 1934) of beneficial ownership (within the meaning of Rule 13d-3 of the SEC under the Securities Exchange Act of 1934) of more than 35% of the outstanding shares of voting stock of the Company or (b) occupation of a majority of the seats (excluding vacant seats) on the board of directors of the Company by Persons who were neither (i) nominated or approved by the board of directors of the Company nor (ii) appointed by directors so nominated or approved.</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of any request, rule, guideline or directive (whether or not having the force of law) of any Governmental Authority;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herein to the contrary, (x) the Dodd-Frank Wall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9"/>
          <w:szCs w:val="19"/>
          <w:color w:val="auto"/>
        </w:rPr>
        <w:t>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Revolving Loans or Swingline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shall mean any and all assets and rights and interests in or to property of the Company and each of the other Credit Parties in which a Lien is granted or purported to be granted pursuant to the Collateral Documents.</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means, collectively, the Security Agreements, Mortgages and the Subsidiary Guaranties and each other agreement or writing pursuant to which any Credit Party pledges or grants a security interest in any property or assets securing the Obligations, or guarantees the payment and/or performance of the Obligations, in each case, as ratified, amended, restated, supplemented or otherwise modified from time to time.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introductory paragraph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Computation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1.05(b)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of branch profits Taxes.</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with reference to any period, Consolidated Net Income for such period (a) plus, to the extent deducted in calculating Consolidated Net Income for such period, (i) Consolidated Interest Expense, (ii) expense for income taxes paid or accrued, (iii) depreciation, amortization and other non-cash charges (including but not limited to non-cash compensation expense recorded in accordance with ASC 718), (iv) losses on sales of fixed assets, (v) losses arising from the early extinguishment of Indebtedness, and (vi) extraordinary losses incurred other than in the ordinary course of business,</w:t>
      </w:r>
    </w:p>
    <w:p>
      <w:pPr>
        <w:spacing w:after="0" w:line="3" w:lineRule="exact"/>
        <w:rPr>
          <w:sz w:val="20"/>
          <w:szCs w:val="20"/>
          <w:color w:val="auto"/>
        </w:rPr>
      </w:pPr>
    </w:p>
    <w:p>
      <w:pPr>
        <w:jc w:val="both"/>
        <w:ind w:firstLine="8"/>
        <w:spacing w:after="0" w:line="244" w:lineRule="auto"/>
        <w:tabs>
          <w:tab w:leader="none" w:pos="319" w:val="left"/>
        </w:tabs>
        <w:numPr>
          <w:ilvl w:val="0"/>
          <w:numId w:val="50"/>
        </w:numPr>
        <w:rPr>
          <w:rFonts w:ascii="Arial" w:cs="Arial" w:eastAsia="Arial" w:hAnsi="Arial"/>
          <w:sz w:val="22"/>
          <w:szCs w:val="22"/>
          <w:color w:val="auto"/>
        </w:rPr>
      </w:pPr>
      <w:r>
        <w:rPr>
          <w:rFonts w:ascii="Arial" w:cs="Arial" w:eastAsia="Arial" w:hAnsi="Arial"/>
          <w:sz w:val="22"/>
          <w:szCs w:val="22"/>
          <w:color w:val="auto"/>
        </w:rPr>
        <w:t>minus, to the extent included in Consolidated Net Income, (i) gains on sales of fixed assets, (ii) gains arising from the early extinguishment of Indebtedness, and (iii) extraordinary gains realized other than in the ordinary course of business, all calculated for the Company and its Subsidiaries on a consolidated basis without duplication and (c) minus, to the extent included in calculating Consolidated Net Income for such period, the non-cash portion (as to the Company or the applicable Subsidiary)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81" w:name="page82"/>
    <w:bookmarkEnd w:id="81"/>
    <w:p>
      <w:pPr>
        <w:jc w:val="both"/>
        <w:spacing w:after="0" w:line="289" w:lineRule="auto"/>
        <w:rPr>
          <w:sz w:val="20"/>
          <w:szCs w:val="20"/>
          <w:color w:val="auto"/>
        </w:rPr>
      </w:pPr>
      <w:r>
        <w:rPr>
          <w:rFonts w:ascii="Arial" w:cs="Arial" w:eastAsia="Arial" w:hAnsi="Arial"/>
          <w:sz w:val="19"/>
          <w:szCs w:val="19"/>
          <w:color w:val="auto"/>
        </w:rPr>
        <w:t>income that is generated by a Joint Venture for such period. Notwithstanding the foregoing, with respect to any rolling four quarter period during which a Permitted Acquisition has occurred, for purposes of determining compliance with the Leverage Ratio or Fixed Charge Coverage Ratio, Consolidated EBITDA shall be calculated pro forma (without duplication) as if the acquired Person or business had been owned during the entire four quarter period, on the basis of (x) the historical financial statements of any Person or business so acquired, and (y) the assumption that the consolidated financial statements of the Company and its Subsidiaries have been reformulated as if such Permitted Acquisition, and any Indebtedness incurred or repaid in connection therewith, had been consummated or incurred or repaid at the beginning of the relevant four quarter period (and assuming that such Indebtedness bears interest during any portion of the applicable measurement period prior to the relevant Acquisition at the weighted average of the interest rates applicable to such Indebtedness) outstanding during such period.</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for the Company and its Subsidiaries on a consolidated basis, the sum of the following (without duplication): (a) all Indebtedness for borrowed money, (b) all Indebtedness for the deferred purchase price of property or services, (c) all Indebtedness evidenced by a note, acceptance or other like instrument, (d) all Capital Lease Obligations, and (e) the aggregate undrawn and available amount of all outstanding letters of credit except those issued to insurance providers based on expected losses on worker’s compensation obligations. For the avoidance of doubt, Indebtedness in respect of Bonding Obligations shall not be considered Consolidated Funded Indebtedness for purposes of this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reference to any applicable fiscal quarter or fiscal year period, the interest expense of the Company and its Subsidiaries calculated on a consolidated basis for such applicable period.</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with reference to any period, the net income (or loss) of the Company and its Subsidiaries calculated on a consolidated basis for such period.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Group</w:t>
      </w:r>
      <w:r>
        <w:rPr>
          <w:rFonts w:ascii="Arial" w:cs="Arial" w:eastAsia="Arial" w:hAnsi="Arial"/>
          <w:sz w:val="22"/>
          <w:szCs w:val="22"/>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Relief Period</w:t>
      </w:r>
      <w:r>
        <w:rPr>
          <w:rFonts w:ascii="Arial" w:cs="Arial" w:eastAsia="Arial" w:hAnsi="Arial"/>
          <w:sz w:val="22"/>
          <w:szCs w:val="22"/>
          <w:color w:val="auto"/>
        </w:rPr>
        <w:t>” means the period commencing on the First Amendment Effective Date through (but not including) the date on which the Company delivers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82" w:name="page83"/>
    <w:bookmarkEnd w:id="82"/>
    <w:p>
      <w:pPr>
        <w:spacing w:after="0" w:line="263" w:lineRule="auto"/>
        <w:rPr>
          <w:sz w:val="20"/>
          <w:szCs w:val="20"/>
          <w:color w:val="auto"/>
        </w:rPr>
      </w:pPr>
      <w:r>
        <w:rPr>
          <w:rFonts w:ascii="Arial" w:cs="Arial" w:eastAsia="Arial" w:hAnsi="Arial"/>
          <w:sz w:val="22"/>
          <w:szCs w:val="22"/>
          <w:color w:val="auto"/>
        </w:rPr>
        <w:t xml:space="preserve">statements and a Compliance Certificate in accordance with clauses (b) and (c) of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reflecting compliance with the financial covenants set forth in </w:t>
      </w:r>
      <w:r>
        <w:rPr>
          <w:rFonts w:ascii="Arial" w:cs="Arial" w:eastAsia="Arial" w:hAnsi="Arial"/>
          <w:sz w:val="22"/>
          <w:szCs w:val="22"/>
          <w:u w:val="single" w:color="auto"/>
          <w:color w:val="auto"/>
        </w:rPr>
        <w:t>Sections 6.12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6.13</w:t>
      </w:r>
      <w:r>
        <w:rPr>
          <w:rFonts w:ascii="Arial" w:cs="Arial" w:eastAsia="Arial" w:hAnsi="Arial"/>
          <w:sz w:val="22"/>
          <w:szCs w:val="22"/>
          <w:color w:val="auto"/>
        </w:rPr>
        <w:t xml:space="preserve"> for the period ending March 31, 2022.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20"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the Borrowers and the Subsidiary Guarantors.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any Lender that (a) has failed, within two Business Days of the date required to be funded or paid, to (i) fund any portion of its Loans, (ii) fund any portion of its participations in Letters of Credit or Swingline Loans or (iii) pay over to Administrative Agent, the Issuing Banks, the Swingline Lender or any other Lender, any other amount required to be paid by it hereunder, unless, in the case of clause (i) above, such Lender notifies the Administrative Agent and the Company in writing that such failure is the result of such Lender’s determination that a condition precedent to funding (specifically identified and including the particular default, if any) has not been satisfied, (b) has notified the Company, the Administrative Agent, the Issuing Banks, the Swingline Lender or any Lender in writing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83" w:name="page84"/>
    <w:bookmarkEnd w:id="83"/>
    <w:p>
      <w:pPr>
        <w:jc w:val="both"/>
        <w:spacing w:after="0" w:line="285" w:lineRule="auto"/>
        <w:rPr>
          <w:sz w:val="20"/>
          <w:szCs w:val="20"/>
          <w:color w:val="auto"/>
        </w:rPr>
      </w:pPr>
      <w:r>
        <w:rPr>
          <w:rFonts w:ascii="Arial" w:cs="Arial" w:eastAsia="Arial" w:hAnsi="Arial"/>
          <w:sz w:val="19"/>
          <w:szCs w:val="19"/>
          <w:color w:val="auto"/>
        </w:rPr>
        <w:t>does not intend to comply with any of its funding obligations under this Agreement or has made a public statement to the effect that it does not intend to comply with its funding obligations under this Agreement (unless such writing or public statement relates to such Lender’s obligation to fund a Loan hereunder and indicates that such position is based on such Lender’s determination that a condition precedent (specifically identified and including the particular default, if any) to funding a loan under this Agreement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Company),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upon delivery of written notice of such determination to the Company, the Issuing Bank, the Swingline Lender and each Lender.</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w:t>
      </w:r>
      <w:r>
        <w:rPr>
          <w:rFonts w:ascii="Arial" w:cs="Arial" w:eastAsia="Arial" w:hAnsi="Arial"/>
          <w:sz w:val="19"/>
          <w:szCs w:val="19"/>
          <w:color w:val="auto"/>
        </w:rPr>
        <w:t>” means and includes, in respect of any corporation, partnership, limited liability company, association or other business entity: (a) dividends or other distributions or payments on capital stock or other Equity Interests in such corporation, partnership, limited liability company, association or other business entity (except distributions in such stock or other Equity Interest); and (b) the redemption, repurchase, retirement or acquisition of such stock or other Equity Interests or of warrants, rights or other options to purchase such stock or other Equity Interests (except when solely in exchange for such stock or other Equity Interests), unless made contemporaneously from the net proceeds of a sale of such stock or other Equity Interests.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incorporated or organized under the laws of the United States or its territories or possessions, excluding (a) any such Subsidiary all or substantially all of the assets of which are Equity Interests (or Equity Interests and debt interests) in a Foreign Subsidiary (or Foreign Subsidiaries) and (b) any such Subsidiary that is owned by a Foreign Subsidiary.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DTTP Filing</w:t>
      </w:r>
      <w:r>
        <w:rPr>
          <w:rFonts w:ascii="Arial" w:cs="Arial" w:eastAsia="Arial" w:hAnsi="Arial"/>
          <w:sz w:val="22"/>
          <w:szCs w:val="22"/>
          <w:color w:val="auto"/>
        </w:rPr>
        <w:t>” means an HM Revenue &amp; Customs’ Form DTTP2, duly completed and filed by each U.K. Borrower within the applicable time limit, which contains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reference number and jurisdiction of tax residence provided by the Lender in writing to the Company and the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w:t>
      </w:r>
    </w:p>
    <w:p>
      <w:pPr>
        <w:spacing w:after="0" w:line="22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case of Loans denominated in dollars, the occurrence of:</w:t>
      </w:r>
    </w:p>
    <w:p>
      <w:pPr>
        <w:spacing w:after="0" w:line="246" w:lineRule="exact"/>
        <w:rPr>
          <w:rFonts w:ascii="Arial" w:cs="Arial" w:eastAsia="Arial" w:hAnsi="Arial"/>
          <w:sz w:val="22"/>
          <w:szCs w:val="22"/>
          <w:color w:val="auto"/>
        </w:rPr>
      </w:pPr>
    </w:p>
    <w:p>
      <w:pPr>
        <w:jc w:val="both"/>
        <w:ind w:left="660" w:firstLine="644"/>
        <w:spacing w:after="0" w:line="263" w:lineRule="auto"/>
        <w:tabs>
          <w:tab w:leader="none" w:pos="1956" w:val="left"/>
        </w:tabs>
        <w:numPr>
          <w:ilvl w:val="1"/>
          <w:numId w:val="52"/>
        </w:numPr>
        <w:rPr>
          <w:rFonts w:ascii="Arial" w:cs="Arial" w:eastAsia="Arial" w:hAnsi="Arial"/>
          <w:sz w:val="21"/>
          <w:szCs w:val="21"/>
          <w:color w:val="auto"/>
        </w:rPr>
      </w:pPr>
      <w:r>
        <w:rPr>
          <w:rFonts w:ascii="Arial" w:cs="Arial" w:eastAsia="Arial" w:hAnsi="Arial"/>
          <w:sz w:val="21"/>
          <w:szCs w:val="21"/>
          <w:color w:val="auto"/>
        </w:rPr>
        <w:t>a notification by the Administrative Agent to (or the request by the Company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5" w:lineRule="exact"/>
        <w:rPr>
          <w:rFonts w:ascii="Arial" w:cs="Arial" w:eastAsia="Arial" w:hAnsi="Arial"/>
          <w:sz w:val="21"/>
          <w:szCs w:val="21"/>
          <w:color w:val="auto"/>
        </w:rPr>
      </w:pPr>
    </w:p>
    <w:p>
      <w:pPr>
        <w:ind w:left="660" w:firstLine="644"/>
        <w:spacing w:after="0" w:line="263" w:lineRule="auto"/>
        <w:tabs>
          <w:tab w:leader="none" w:pos="1956"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Company to trigger a fallback from LIBO Rate and the provision by the Administrative Agent of written notice of such election to the Lenders; and</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case of Loans denominated in an Alternative Currency, the occurrence of:</w:t>
      </w:r>
    </w:p>
    <w:p>
      <w:pPr>
        <w:spacing w:after="0" w:line="219" w:lineRule="exact"/>
        <w:rPr>
          <w:rFonts w:ascii="Arial" w:cs="Arial" w:eastAsia="Arial" w:hAnsi="Arial"/>
          <w:sz w:val="22"/>
          <w:szCs w:val="22"/>
          <w:color w:val="auto"/>
        </w:rPr>
      </w:pPr>
    </w:p>
    <w:p>
      <w:pPr>
        <w:jc w:val="both"/>
        <w:ind w:left="660" w:firstLine="644"/>
        <w:spacing w:after="0" w:line="248" w:lineRule="auto"/>
        <w:tabs>
          <w:tab w:leader="none" w:pos="1939"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 determination by the Administrative Agent or (ii) a notification by the Required Lenders to the Administrative Agent (with a copy to the Company) that the Required Lenders have determined that syndicated credit facilities denominated in the applicable Alternative Currency being executed at such time, or that include language similar to that contained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are being executed or amended, as applicable, to incorporate or adopt a new benchmark interest rate to replace the Relevant Rate, and</w:t>
      </w:r>
    </w:p>
    <w:p>
      <w:pPr>
        <w:spacing w:after="0" w:line="191" w:lineRule="exact"/>
        <w:rPr>
          <w:rFonts w:ascii="Arial" w:cs="Arial" w:eastAsia="Arial" w:hAnsi="Arial"/>
          <w:sz w:val="22"/>
          <w:szCs w:val="22"/>
          <w:color w:val="auto"/>
        </w:rPr>
      </w:pPr>
    </w:p>
    <w:p>
      <w:pPr>
        <w:jc w:val="both"/>
        <w:ind w:left="660" w:firstLine="644"/>
        <w:spacing w:after="0" w:line="250" w:lineRule="auto"/>
        <w:tabs>
          <w:tab w:leader="none" w:pos="1769"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85" w:name="page86"/>
    <w:bookmarkEnd w:id="85"/>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administration of any EEA Financial Institution.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 hereto.</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in council, orders, decrees, judgments, injunctions, notices or binding agreements issued, promulgated or entered into by any Governmental Authority, relating in any way to the environment, preservation or reclamation of natural resources, or the management, presence, release or threatened release of any Hazardous Material.</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Liability</w:t>
      </w:r>
      <w:r>
        <w:rPr>
          <w:rFonts w:ascii="Arial" w:cs="Arial" w:eastAsia="Arial" w:hAnsi="Arial"/>
          <w:sz w:val="21"/>
          <w:szCs w:val="21"/>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Equivalent Amount</w:t>
      </w:r>
      <w:r>
        <w:rPr>
          <w:rFonts w:ascii="Arial" w:cs="Arial" w:eastAsia="Arial" w:hAnsi="Arial"/>
          <w:sz w:val="22"/>
          <w:szCs w:val="22"/>
          <w:color w:val="auto"/>
        </w:rPr>
        <w:t>” means, on any date of determination, with respect to obligations or valuations denominated in one currency (the “first currency”), the amount of another currency (the “second currency”) which would result from the conversion of the relevant amount of the first currency into the second currency at the 12:00 noon rate quoted by Bloomberg on www.bloomberg.com/markets/currencies/fxc.html (Page BOFC or such other Page as may replace such Page for the purpose of displaying such exchange rates) on such date or, if such date is not a Business Day, on the Business Day immediately preceding such date of determination, or at such other rate as may have been agreed in writing between the Company and Administrative Agent.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Company, is treated as a single employer under Section 414(b) or (c)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22"/>
          <w:szCs w:val="22"/>
          <w:color w:val="auto"/>
        </w:rPr>
        <w:t>Code or Section 4001(14) of ERISA or, solely for purposes of Section 302 of ERISA and Section 412 of the Code, is treated as a single employer under Section 414 of the Code.</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the existence with respect to any Plan of an “accumulated funding deficiency” (as defined in Section 412 of the Code or Section 302 of ERISA), whether or not waived, failure by the Company or an ERISA Affiliate to make its “minimum required contributions” (within the meaning of Section 303 of ERISA) to a Plan, or the existence of a “funding shortfall” (within the meaning of Section 303 of ERISA) with respect to a Plan; (c) the filing pursuant to Section 412(d) of the Code or Section 303(d) of ERISA of an application for a waiver of the minimum funding standard with respect to any Plan; (d) the incurrence by the Company or any ERISA Affiliate of any liability under Title IV of ERISA with respect to the termination of any Plan; (e) the receipt by the Company or an ERISA Affiliate from the PBGC or a plan administrator of any notice relating to an intention to terminate any Plan or Plans or to appoint a trustee to administer any Plan; (f) the incurrence by the Company or an ERISA Affiliates of any liability with respect to the withdrawal or partial withdrawal of the Borrowers or any ERISA Affiliate from any Plan or Multiemployer Plan; (g) the receipt by the Company or an ERISA Affiliate of any notice, or the receipt by any Multiemployer Plan from the Company or an ERISA Affiliate of any notice, concerning the imposition of Withdrawal Liability or a determination that a Multiemployer Plan is, or is expected to be, “at-risk” (within the meaning of Section 303 of ERISA), in “endangered” or “critical” status (within the meaning of Section 305 of ERISA), or “insolvent” or in “reorganization” within the meaning of Title IV of ERISA; or (h) any other event, condition, course of action or inaction, or circumstance with respect to any employee benefit plan as defined in Section 3(3) or ERISA of which the Company or an ERISA Affiliate is an “employer” which has established or maintained such plan, or is otherwise the employer in relation to it as described and defined in Section 3(5) of ERISA, which materially reduces, limits, prevents or ceases compliance of such employee benefit plan with ERISA, the Code or other applicable laws and regulations.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Interpolated Rate</w:t>
      </w:r>
      <w:r>
        <w:rPr>
          <w:rFonts w:ascii="Arial" w:cs="Arial" w:eastAsia="Arial" w:hAnsi="Arial"/>
          <w:sz w:val="19"/>
          <w:szCs w:val="19"/>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w:t>
      </w:r>
    </w:p>
    <w:p>
      <w:pPr>
        <w:spacing w:after="0" w:line="3" w:lineRule="exact"/>
        <w:rPr>
          <w:sz w:val="20"/>
          <w:szCs w:val="20"/>
          <w:color w:val="auto"/>
        </w:rPr>
      </w:pPr>
    </w:p>
    <w:p>
      <w:pPr>
        <w:jc w:val="both"/>
        <w:ind w:right="20" w:firstLine="8"/>
        <w:spacing w:after="0" w:line="262" w:lineRule="auto"/>
        <w:tabs>
          <w:tab w:leader="none" w:pos="313"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EURIBOR Screen Rate for the shortest period (for which the EURIBOR Screen Rate is available for Euros) that exceeds the Impacted EURIBOR Rate Interest Period, in each case,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EURIBOR Interpolated Rate shall be less than zero, such rate shall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87" w:name="page88"/>
    <w:bookmarkEnd w:id="87"/>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Rate</w:t>
      </w:r>
      <w:r>
        <w:rPr>
          <w:rFonts w:ascii="Arial" w:cs="Arial" w:eastAsia="Arial" w:hAnsi="Arial"/>
          <w:sz w:val="22"/>
          <w:szCs w:val="22"/>
          <w:color w:val="auto"/>
        </w:rPr>
        <w:t>” means, with respect to any Eurocurrency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22"/>
          <w:szCs w:val="22"/>
          <w:u w:val="single" w:color="auto"/>
          <w:color w:val="auto"/>
        </w:rPr>
        <w:t>Impacted EURIBOR Rate Interest Period</w:t>
      </w:r>
      <w:r>
        <w:rPr>
          <w:rFonts w:ascii="Arial" w:cs="Arial" w:eastAsia="Arial" w:hAnsi="Arial"/>
          <w:sz w:val="22"/>
          <w:szCs w:val="22"/>
          <w:color w:val="auto"/>
        </w:rPr>
        <w:t xml:space="preserve">”) with respect to Euros then the EURIBOR Rate shall be the EURIBOR Interpolated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EURIBOR Rate shall be less than zero, such rate shall be deemed to be zero for the purposes of this Agreement.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EURIBOR Rate.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Euro/Sterling Borrower</w:t>
      </w:r>
      <w:r>
        <w:rPr>
          <w:rFonts w:ascii="Arial" w:cs="Arial" w:eastAsia="Arial" w:hAnsi="Arial"/>
          <w:sz w:val="22"/>
          <w:szCs w:val="22"/>
          <w:color w:val="auto"/>
        </w:rPr>
        <w:t>” means Matrix International Holding Company Limited, a private company formed under the laws of England and Wales.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 or the Adjusted EURIBOR Rate.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single currency of the participating member states of the European Union.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Swap Obligation if, and to the extent that, all or a portion of such Credit Party’s Guarantee of, joint and several liability for, or grant of a Lien to secure, such Swap Obligation (or any Guarantee thereof or joint and several liability therefor)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Guarantee or joint and several liability of such Credit Party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Guarantee, joint and several liability or Lien is or becomes illegal.</w:t>
      </w:r>
    </w:p>
    <w:p>
      <w:pPr>
        <w:spacing w:after="0" w:line="15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and United Kingdom withholding Taxes (excluding (x) the portion of United Kingdom withholding taxes with respect to which the applicable Lender is entitled to claim a reduction under an income tax treaty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88" w:name="page89"/>
    <w:bookmarkEnd w:id="88"/>
    <w:p>
      <w:pPr>
        <w:jc w:val="both"/>
        <w:ind w:firstLine="8"/>
        <w:spacing w:after="0" w:line="286" w:lineRule="auto"/>
        <w:tabs>
          <w:tab w:leader="none" w:pos="349"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United Kingdom withholding Taxes on payments made by any </w:t>
      </w:r>
      <w:r>
        <w:rPr>
          <w:rFonts w:ascii="Arial" w:cs="Arial" w:eastAsia="Arial" w:hAnsi="Arial"/>
          <w:sz w:val="17"/>
          <w:szCs w:val="17"/>
          <w:color w:val="auto"/>
        </w:rPr>
        <w:t>Subsidiary</w:t>
      </w:r>
      <w:r>
        <w:rPr>
          <w:rFonts w:ascii="Arial" w:cs="Arial" w:eastAsia="Arial" w:hAnsi="Arial"/>
          <w:sz w:val="19"/>
          <w:szCs w:val="19"/>
          <w:color w:val="auto"/>
        </w:rPr>
        <w:t xml:space="preserve"> Guarantor under any Guarantee)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Borrowers under </w:t>
      </w:r>
      <w:r>
        <w:rPr>
          <w:rFonts w:ascii="Arial" w:cs="Arial" w:eastAsia="Arial" w:hAnsi="Arial"/>
          <w:sz w:val="19"/>
          <w:szCs w:val="19"/>
          <w:u w:val="single" w:color="auto"/>
          <w:color w:val="auto"/>
        </w:rPr>
        <w:t>Section 2.19(b)</w:t>
      </w:r>
      <w:r>
        <w:rPr>
          <w:rFonts w:ascii="Arial" w:cs="Arial" w:eastAsia="Arial" w:hAnsi="Arial"/>
          <w:sz w:val="19"/>
          <w:szCs w:val="19"/>
          <w:color w:val="auto"/>
        </w:rPr>
        <w:t>) or</w:t>
      </w:r>
    </w:p>
    <w:p>
      <w:pPr>
        <w:spacing w:after="0" w:line="2" w:lineRule="exact"/>
        <w:rPr>
          <w:rFonts w:ascii="Arial" w:cs="Arial" w:eastAsia="Arial" w:hAnsi="Arial"/>
          <w:sz w:val="19"/>
          <w:szCs w:val="19"/>
          <w:color w:val="auto"/>
        </w:rPr>
      </w:pPr>
    </w:p>
    <w:p>
      <w:pPr>
        <w:jc w:val="both"/>
        <w:ind w:firstLine="8"/>
        <w:spacing w:after="0" w:line="259" w:lineRule="auto"/>
        <w:tabs>
          <w:tab w:leader="none" w:pos="326"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such Lender changes its lending office, except in each case to the extent that,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2.17(f)</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(g)</w:t>
      </w:r>
      <w:r>
        <w:rPr>
          <w:rFonts w:ascii="Arial" w:cs="Arial" w:eastAsia="Arial" w:hAnsi="Arial"/>
          <w:sz w:val="21"/>
          <w:szCs w:val="21"/>
          <w:color w:val="auto"/>
        </w:rPr>
        <w:t xml:space="preserve"> and (d) any U.S. Federal withholding Taxes imposed under FATCA.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set forth in the recitals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the letters of credit described on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Security Agreements</w:t>
      </w:r>
      <w:r>
        <w:rPr>
          <w:rFonts w:ascii="Arial" w:cs="Arial" w:eastAsia="Arial" w:hAnsi="Arial"/>
          <w:sz w:val="22"/>
          <w:szCs w:val="22"/>
          <w:color w:val="auto"/>
        </w:rPr>
        <w:t xml:space="preserve">” means those certain Pledge and Security Agreements or similar agreements described on </w:t>
      </w:r>
      <w:r>
        <w:rPr>
          <w:rFonts w:ascii="Arial" w:cs="Arial" w:eastAsia="Arial" w:hAnsi="Arial"/>
          <w:sz w:val="22"/>
          <w:szCs w:val="22"/>
          <w:u w:val="single" w:color="auto"/>
          <w:color w:val="auto"/>
        </w:rPr>
        <w:t>Exhibit C</w:t>
      </w:r>
      <w:r>
        <w:rPr>
          <w:rFonts w:ascii="Arial" w:cs="Arial" w:eastAsia="Arial" w:hAnsi="Arial"/>
          <w:sz w:val="22"/>
          <w:szCs w:val="22"/>
          <w:color w:val="auto"/>
        </w:rPr>
        <w:t>, as they may be ratified, amended or modified and in effect from time to time.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and any fiscal or regulatory legislation, rules or practices adopted pursuant to any intergovernmental agreement, treaty or convention among Governmental Authorities and implementing such Sections of the Code.</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be zero for purposes of this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Board</w:t>
      </w:r>
      <w:r>
        <w:rPr>
          <w:rFonts w:ascii="Arial" w:cs="Arial" w:eastAsia="Arial" w:hAnsi="Arial"/>
          <w:sz w:val="21"/>
          <w:szCs w:val="21"/>
          <w:color w:val="auto"/>
        </w:rPr>
        <w:t>” means the Board of Governors of the Federal Reserve System of the United States.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means May ___,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89" w:name="page90"/>
    <w:bookmarkEnd w:id="89"/>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means, as of the last day of any fiscal quarter, the ratio determined as follows (with all calculations to be made for the Company and its Subsidiaries in accordance with GAAP on a consolidated basis):</w:t>
      </w:r>
    </w:p>
    <w:p>
      <w:pPr>
        <w:spacing w:after="0" w:line="104"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i w:val="1"/>
          <w:iCs w:val="1"/>
          <w:color w:val="auto"/>
        </w:rPr>
        <w:t>Numerator</w:t>
      </w:r>
      <w:r>
        <w:rPr>
          <w:rFonts w:ascii="Arial" w:cs="Arial" w:eastAsia="Arial" w:hAnsi="Arial"/>
          <w:sz w:val="19"/>
          <w:szCs w:val="19"/>
          <w:color w:val="auto"/>
        </w:rPr>
        <w:t>: Consolidated EBITDA for the previous four fiscal quarters ending on such day less all Capital Expenditures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Distributions (not including (a) Distributions made pursuant to and in accordance with stock incentive plans, employee stock purchase plans or other benefit plans for management or employees of the Company and its Subsidiaries or (b) solely to the extent no Loans are outstanding as of the last day of the fiscal quarter for which the calculation is being determined, Distributions made for the purpose of repurchasing Equity Interests as permitted by </w:t>
      </w:r>
      <w:r>
        <w:rPr>
          <w:rFonts w:ascii="Arial" w:cs="Arial" w:eastAsia="Arial" w:hAnsi="Arial"/>
          <w:sz w:val="19"/>
          <w:szCs w:val="19"/>
          <w:u w:val="single" w:color="auto"/>
          <w:color w:val="auto"/>
        </w:rPr>
        <w:t>Section 6.06(e)</w:t>
      </w:r>
      <w:r>
        <w:rPr>
          <w:rFonts w:ascii="Arial" w:cs="Arial" w:eastAsia="Arial" w:hAnsi="Arial"/>
          <w:sz w:val="19"/>
          <w:szCs w:val="19"/>
          <w:color w:val="auto"/>
        </w:rPr>
        <w:t xml:space="preserve"> hereof (such Distributions, the “</w:t>
      </w:r>
      <w:r>
        <w:rPr>
          <w:rFonts w:ascii="Arial" w:cs="Arial" w:eastAsia="Arial" w:hAnsi="Arial"/>
          <w:sz w:val="19"/>
          <w:szCs w:val="19"/>
          <w:u w:val="single" w:color="auto"/>
          <w:color w:val="auto"/>
        </w:rPr>
        <w:t>Subject Distributions</w:t>
      </w:r>
      <w:r>
        <w:rPr>
          <w:rFonts w:ascii="Arial" w:cs="Arial" w:eastAsia="Arial" w:hAnsi="Arial"/>
          <w:sz w:val="19"/>
          <w:szCs w:val="19"/>
          <w:color w:val="auto"/>
        </w:rPr>
        <w:t xml:space="preserve">”)) by the Company during the same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each of the fiscal quarters ending September 30, 2020, December 31, 2020, March 31, 2021 and June 30, 2021, to the extent Loans are outstanding as of the last day of the fiscal quarter for which the calculation is being determined, the amount of Subject Distributions included in the numerator shall be equal to the amount of Subject Distributions made during the previous four quarter period in excess of $7,500,000;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for all fiscal quarters ending after June 30, 2021, to the extent Loans are outstanding as of the last day of the fiscal quarter for which the calculation is being determined, the actual amount of all Distributions made during the previous four quarter period shall be included in the numerator except to the extent specifically excluded pursuant to clause (a) above.</w:t>
      </w:r>
    </w:p>
    <w:p>
      <w:pPr>
        <w:spacing w:after="0" w:line="16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i w:val="1"/>
          <w:iCs w:val="1"/>
          <w:color w:val="auto"/>
        </w:rPr>
        <w:t>Denominator</w:t>
      </w:r>
      <w:r>
        <w:rPr>
          <w:rFonts w:ascii="Arial" w:cs="Arial" w:eastAsia="Arial" w:hAnsi="Arial"/>
          <w:sz w:val="19"/>
          <w:szCs w:val="19"/>
          <w:color w:val="auto"/>
        </w:rPr>
        <w:t>: (i) net cash taxes paid for the previous four fiscal quarters ending on such day, (ii) PLUS scheduled current</w:t>
      </w:r>
      <w:r>
        <w:rPr>
          <w:rFonts w:ascii="Arial" w:cs="Arial" w:eastAsia="Arial" w:hAnsi="Arial"/>
          <w:sz w:val="19"/>
          <w:szCs w:val="19"/>
          <w:i w:val="1"/>
          <w:iCs w:val="1"/>
          <w:color w:val="auto"/>
        </w:rPr>
        <w:t xml:space="preserve"> </w:t>
      </w:r>
      <w:r>
        <w:rPr>
          <w:rFonts w:ascii="Arial" w:cs="Arial" w:eastAsia="Arial" w:hAnsi="Arial"/>
          <w:sz w:val="19"/>
          <w:szCs w:val="19"/>
          <w:color w:val="auto"/>
        </w:rPr>
        <w:t>maturities of any Indebtedness for the next four fiscal quarters (excluding the maturity of the Revolving Loans on the Termination Date), (iii) PLUS Consolidated Interest Expense for the previous four fiscal quarters ending on such day (excluding amounts included in Consolidated Interest Expense for amortization of deferred financing fees).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Flood Insurance Laws</w:t>
      </w:r>
      <w:r>
        <w:rPr>
          <w:rFonts w:ascii="Arial" w:cs="Arial" w:eastAsia="Arial" w:hAnsi="Arial"/>
          <w:sz w:val="21"/>
          <w:szCs w:val="21"/>
          <w:color w:val="auto"/>
        </w:rPr>
        <w:t xml:space="preserve">”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w:t>
      </w:r>
      <w:r>
        <w:rPr>
          <w:rFonts w:ascii="Arial" w:cs="Arial" w:eastAsia="Arial" w:hAnsi="Arial"/>
          <w:sz w:val="18"/>
          <w:szCs w:val="18"/>
          <w:color w:val="auto"/>
        </w:rPr>
        <w:t>in effect or any successor statute thereto, and (e) the Biggert-Waters Flood</w:t>
      </w:r>
      <w:r>
        <w:rPr>
          <w:rFonts w:ascii="Arial" w:cs="Arial" w:eastAsia="Arial" w:hAnsi="Arial"/>
          <w:sz w:val="21"/>
          <w:szCs w:val="21"/>
          <w:color w:val="auto"/>
        </w:rPr>
        <w:t xml:space="preserve"> </w:t>
      </w:r>
      <w:r>
        <w:rPr>
          <w:rFonts w:ascii="Arial" w:cs="Arial" w:eastAsia="Arial" w:hAnsi="Arial"/>
          <w:sz w:val="18"/>
          <w:szCs w:val="18"/>
          <w:color w:val="auto"/>
        </w:rPr>
        <w:t>Insurance Reform Act of 2012 as now or hereafter in effect or any successor statute thereto.</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LIBO Rate or the EURIBOR Rate, as applicable.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w:t>
      </w:r>
      <w:r>
        <w:rPr>
          <w:rFonts w:ascii="Arial" w:cs="Arial" w:eastAsia="Arial" w:hAnsi="Arial"/>
          <w:sz w:val="22"/>
          <w:szCs w:val="22"/>
          <w:color w:val="auto"/>
        </w:rPr>
        <w:t>” means each Borrower other than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 Canadian Dollars, (b) Euros, (c) Sterling and (d) Australian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90" w:name="page91"/>
    <w:bookmarkEnd w:id="9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Exposure</w:t>
      </w:r>
      <w:r>
        <w:rPr>
          <w:rFonts w:ascii="Arial" w:cs="Arial" w:eastAsia="Arial" w:hAnsi="Arial"/>
          <w:sz w:val="22"/>
          <w:szCs w:val="22"/>
          <w:color w:val="auto"/>
        </w:rPr>
        <w:t>” means, at any time, the sum of the aggregate outstanding principal amount of Revolving Loans denominated in Foreign Currencies and the total LC Exposure of Letters of Credit denominated in Australian Dollars, Euros and Sterling, in each case, at such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Sublimit</w:t>
      </w:r>
      <w:r>
        <w:rPr>
          <w:rFonts w:ascii="Arial" w:cs="Arial" w:eastAsia="Arial" w:hAnsi="Arial"/>
          <w:sz w:val="22"/>
          <w:szCs w:val="22"/>
          <w:color w:val="auto"/>
        </w:rPr>
        <w:t>” means $75,000,000.</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with respect to any Borrower, any Lender that is organized under the laws of a jurisdiction other than that in which such Borrower is located. For purposes of this definition, (i) the United States of America, each State thereof and the District of Columbia shall be deemed to constitute a single jurisdiction, (ii) Canada, and each province or territory therein, shall be deemed to constitute a single jurisdiction, and (iii) a Lender that has designated a Canadian lending office in respect of Loans made to a Canadian Borrower, or that is an Authorized Foreign Bank, shall be deemed to be organized under the laws of the jurisdiction in which the Canadian Borrower is located.</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any Subsidiary (other than the Foreign Borrowers) that is not incorporated or organized under the laws of the United States or its territories or possessions, or a Subsidiary that is incorporated under the laws of the United States or its territories or possessions but is not a Domestic Subsidiary as defined in this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U.S. or any other nation or any political subdivision thereof, whether provincial, territorial,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1" w:lineRule="exact"/>
        <w:rPr>
          <w:sz w:val="20"/>
          <w:szCs w:val="20"/>
          <w:color w:val="auto"/>
        </w:rPr>
      </w:pPr>
    </w:p>
    <w:p>
      <w:pPr>
        <w:jc w:val="both"/>
        <w:ind w:firstLine="8"/>
        <w:spacing w:after="0" w:line="288" w:lineRule="auto"/>
        <w:tabs>
          <w:tab w:leader="none" w:pos="31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contaminants, wastes or other pollutants, including petroleum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22"/>
          <w:szCs w:val="22"/>
          <w:color w:val="auto"/>
        </w:rPr>
        <w:t>petroleum distillates, asbestos or asbestos containing materials, polychlorinated biphenyls, radon gas, infectious or medical wastes and all other substances or wastes of any nature regulated pursuant to any Environmental Law.</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HMRC DT Treaty Passport scheme</w:t>
      </w:r>
      <w:r>
        <w:rPr>
          <w:rFonts w:ascii="Arial" w:cs="Arial" w:eastAsia="Arial" w:hAnsi="Arial"/>
          <w:sz w:val="22"/>
          <w:szCs w:val="22"/>
          <w:color w:val="auto"/>
        </w:rPr>
        <w:t>” means the Board of H.M. Revenue and Customs Double Taxation Treaty Passport scheme.</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means any Subsidiary (other than a Borrower) (a) the total assets of which, determined as of the last day of any fiscal quarter, are less than or equal to 5% of the consolidated total assets of the Company and its Subsidiaries as at such date, and (b) for which the consolidated revenue attributable to such Subsidiary and its Subsidiaries for the three months ending on the last day of any fiscal quarter is less than or equal to 5% of the consolidated revenue of the Company and its Subsidiaries for the same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Lender</w:t>
      </w:r>
      <w:r>
        <w:rPr>
          <w:rFonts w:ascii="Arial" w:cs="Arial" w:eastAsia="Arial" w:hAnsi="Arial"/>
          <w:sz w:val="22"/>
          <w:szCs w:val="22"/>
          <w:color w:val="auto"/>
        </w:rPr>
        <w:t>” means Bank of America, N.A.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EURIBOR Rate Interest Period</w:t>
      </w:r>
      <w:r>
        <w:rPr>
          <w:rFonts w:ascii="Arial" w:cs="Arial" w:eastAsia="Arial" w:hAnsi="Arial"/>
          <w:sz w:val="19"/>
          <w:szCs w:val="19"/>
          <w:color w:val="auto"/>
        </w:rPr>
        <w:t>” has the meaning assigned to such term in the definition of “EURIBOR Rate.”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LIBO Rate Interest Period</w:t>
      </w:r>
      <w:r>
        <w:rPr>
          <w:rFonts w:ascii="Arial" w:cs="Arial" w:eastAsia="Arial" w:hAnsi="Arial"/>
          <w:sz w:val="21"/>
          <w:szCs w:val="21"/>
          <w:color w:val="auto"/>
        </w:rPr>
        <w:t>” has the meaning assigned to such term in the definition of “LIBO Rate.”</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means a Lender that agrees to increase its Revolving Commitment in accordance with the provisions of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or a new bank or financial institution that becomes party to this Agreement pursuant to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2.04</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(excluding current accounts payable incurred in the ordinary course of business),</w:t>
      </w:r>
    </w:p>
    <w:p>
      <w:pPr>
        <w:spacing w:after="0" w:line="1" w:lineRule="exact"/>
        <w:rPr>
          <w:sz w:val="20"/>
          <w:szCs w:val="20"/>
          <w:color w:val="auto"/>
        </w:rPr>
      </w:pPr>
    </w:p>
    <w:p>
      <w:pPr>
        <w:jc w:val="both"/>
        <w:ind w:firstLine="8"/>
        <w:spacing w:after="0" w:line="285" w:lineRule="auto"/>
        <w:tabs>
          <w:tab w:leader="none" w:pos="359"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(including, without limitation, all payment obligations under earn-out or similar agreements (but only once non-contingent and determinable)), except for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relationship with such entity, except to the extent the terms of such Indebtedness provide that such Person is not liable therefor.</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Company to convert or continue a Revolving Borrowing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Canadian Prime Rate Loan or any ABR Loan (in each case, other than a Swingline Loan), the last day of each March, June, September and December, (b) with respect to any CDOR Loan, Eurocurrency Loan or EURIBOR Loan, the last day of the Interest Period applicable to the Borrowing of which such Loan is a part and, in the case of a CDOR Borrowing, Eurocurrency Borrowing or EURIBOR Borrowing with an Interest Period of more than three months’ duration, each day prior to the last day of such Interest Period that occurs at intervals of three months’ duration after the first day of such Interest Period, and (c) with respect to any Swingline Loan, the last day of the month that such Loan is required to be repaid.</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any CDOR Borrowing, Eurocurrency Borrowing or EURIBOR Borrowing, the period commencing on the date of such Borrowing and ending on the numerically corresponding day in the calendar month that is one, three or, except with respect to any CDOR Borrowing, six months thereafter (in each case, subject to the availability for the Benchmark applicable to the relevant Loan), as the Company may elect; </w:t>
      </w:r>
      <w:r>
        <w:rPr>
          <w:rFonts w:ascii="Arial" w:cs="Arial" w:eastAsia="Arial" w:hAnsi="Arial"/>
          <w:sz w:val="21"/>
          <w:szCs w:val="21"/>
          <w:u w:val="single" w:color="auto"/>
          <w:color w:val="auto"/>
        </w:rPr>
        <w:t>provided</w:t>
      </w:r>
      <w:r>
        <w:rPr>
          <w:rFonts w:ascii="Arial" w:cs="Arial" w:eastAsia="Arial" w:hAnsi="Arial"/>
          <w:sz w:val="21"/>
          <w:szCs w:val="21"/>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Revolving Borrowing initially shall be the date on which such Borrowing is made and thereafter shall be the effective date of the most recent conversion or continuation of such Borrowing.</w:t>
      </w:r>
    </w:p>
    <w:p>
      <w:pPr>
        <w:spacing w:after="0" w:line="18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xml:space="preserve">” means, at any time, for any Interest Period, the rate per annum (rounded to the same number of decimal places as the applicable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relevant Interest Period; and (b) the applicable Screen Rate for the shortest period (for which the applicable Screen Rate is available for the applicable currency) that exceeds the relevant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 shall be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93" w:name="page94"/>
    <w:bookmarkEnd w:id="93"/>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(a) JPMorgan Chase, (b) Wells Fargo Bank, N.A. and (c) each other Lender approved by Administrative Agent and reasonably satisfactory to, or requested by, the Borrowers to the extent that such other Lender agrees to act as an issuer of Letters of Credit hereunder, in each case, in its capacity as the issuer of Letters of Credit hereunder, and its successors in such capacity as provided in </w:t>
      </w:r>
      <w:r>
        <w:rPr>
          <w:rFonts w:ascii="Arial" w:cs="Arial" w:eastAsia="Arial" w:hAnsi="Arial"/>
          <w:sz w:val="21"/>
          <w:szCs w:val="21"/>
          <w:u w:val="single" w:color="auto"/>
          <w:color w:val="auto"/>
        </w:rPr>
        <w:t>Section 2.06(i)</w:t>
      </w:r>
      <w:r>
        <w:rPr>
          <w:rFonts w:ascii="Arial" w:cs="Arial" w:eastAsia="Arial" w:hAnsi="Arial"/>
          <w:sz w:val="21"/>
          <w:szCs w:val="21"/>
          <w:color w:val="auto"/>
        </w:rPr>
        <w:t xml:space="preserve"> and JPMorgan Chase, in its capacity as the issuer of the Existing Letters of Credit. The Issuing Bank may, in its discretion, arrange for one or more Letters of Credit to be issued by Affiliates of the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Income Tax Act (Canada), as amended from time to time (or any successor statute).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means a Person (other than a Subsidiary, natural person or Governmental Authority) that is (a) formed to be or represents a joint venture between the Company or one of its Subsidiaries and other Person(s) (regardless of the type of entity used), and (b) formed for the purpose of bidding for, undertaking or handling specific projects or for the purpose of acquiring Equity Interests of any other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 Chase</w:t>
      </w:r>
      <w:r>
        <w:rPr>
          <w:rFonts w:ascii="Arial" w:cs="Arial" w:eastAsia="Arial" w:hAnsi="Arial"/>
          <w:sz w:val="22"/>
          <w:szCs w:val="22"/>
          <w:color w:val="auto"/>
        </w:rPr>
        <w:t>” means JPMorgan Chase Bank, N.A. (including its branches and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 Conversion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the Issuing Bank pursuant to a Letter of Credit.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94" w:lineRule="auto"/>
        <w:rPr>
          <w:sz w:val="20"/>
          <w:szCs w:val="20"/>
          <w:color w:val="auto"/>
        </w:rPr>
      </w:pPr>
      <w:r>
        <w:rPr>
          <w:rFonts w:ascii="Arial" w:cs="Arial" w:eastAsia="Arial" w:hAnsi="Arial"/>
          <w:sz w:val="19"/>
          <w:szCs w:val="19"/>
          <w:color w:val="auto"/>
        </w:rPr>
        <w:t>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applicable Borrowers and each Lender shall remain in full force and effect until the Issuing Bank and the Lenders shall have no further obligations to make any payments or disbursements under any circumstances with respect to any Letter of Credit.</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Swap Agreement</w:t>
      </w:r>
      <w:r>
        <w:rPr>
          <w:rFonts w:ascii="Arial" w:cs="Arial" w:eastAsia="Arial" w:hAnsi="Arial"/>
          <w:sz w:val="22"/>
          <w:szCs w:val="22"/>
          <w:color w:val="auto"/>
        </w:rPr>
        <w:t>” means any Swap Agreement between the Company or any Subsidiary and any Lender or any Affiliate of a Lender that is entered in to while such Person is a Lender or an Affiliate of a Lender even if such Person ceases to be a Lender or an Affiliate of a Lender after entering into such Swap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2.01(a)</w:t>
      </w:r>
      <w:r>
        <w:rPr>
          <w:rFonts w:ascii="Arial" w:cs="Arial" w:eastAsia="Arial" w:hAnsi="Arial"/>
          <w:sz w:val="21"/>
          <w:szCs w:val="21"/>
          <w:color w:val="auto"/>
        </w:rPr>
        <w:t xml:space="preserve"> as Lenders and any other Person that shall have become a party hereto as a Lender pursuant to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or pursuant to an Assignment and Assumption, other than any such Person that ceases to be a party hereto pursuant to an Assignment and Assumption or other documentation contemplated hereby. Unless the context otherwise requires, the term “Lenders” includes the Swingline Lender.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letter of credit issued pursuant to this Agreement and shall include each Existing Letter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Credit.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Commitment</w:t>
      </w:r>
      <w:r>
        <w:rPr>
          <w:rFonts w:ascii="Arial" w:cs="Arial" w:eastAsia="Arial" w:hAnsi="Arial"/>
          <w:sz w:val="22"/>
          <w:szCs w:val="22"/>
          <w:color w:val="auto"/>
        </w:rPr>
        <w:t xml:space="preserve">” means, with respect to each Issuing Bank, at any time, the commitment of such Issuing Bank to issue Letters of Credit hereunder at such time. The amount of each Issuing Bank’s Letter of Credit Commitment is set forth on </w:t>
      </w:r>
      <w:r>
        <w:rPr>
          <w:rFonts w:ascii="Arial" w:cs="Arial" w:eastAsia="Arial" w:hAnsi="Arial"/>
          <w:sz w:val="22"/>
          <w:szCs w:val="22"/>
          <w:u w:val="single" w:color="auto"/>
          <w:color w:val="auto"/>
        </w:rPr>
        <w:t>Schedule 2.01(b)</w:t>
      </w:r>
      <w:r>
        <w:rPr>
          <w:rFonts w:ascii="Arial" w:cs="Arial" w:eastAsia="Arial" w:hAnsi="Arial"/>
          <w:sz w:val="22"/>
          <w:szCs w:val="22"/>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$200,000,000.</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Ratio</w:t>
      </w:r>
      <w:r>
        <w:rPr>
          <w:rFonts w:ascii="Arial" w:cs="Arial" w:eastAsia="Arial" w:hAnsi="Arial"/>
          <w:sz w:val="19"/>
          <w:szCs w:val="19"/>
          <w:color w:val="auto"/>
        </w:rPr>
        <w:t>” means, as of the last day of any fiscal quarter, the ratio of: (a) Consolidated Funded Indebtedness as of such day to (b) Consolidated EBITDA for the four fiscal quarters ending as of the last day of such fiscal quarter.</w:t>
      </w:r>
    </w:p>
    <w:p>
      <w:pPr>
        <w:spacing w:after="0" w:line="10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Interpolated Rate</w:t>
      </w:r>
      <w:r>
        <w:rPr>
          <w:rFonts w:ascii="Arial" w:cs="Arial" w:eastAsia="Arial" w:hAnsi="Arial"/>
          <w:sz w:val="21"/>
          <w:szCs w:val="21"/>
          <w:color w:val="auto"/>
        </w:rPr>
        <w:t>” means, at any time, with respect to any Eurocurrency Borrowing denominated in any Agreed Currency (other than Euros)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22"/>
          <w:szCs w:val="22"/>
          <w:color w:val="auto"/>
        </w:rPr>
        <w:t>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provided that if any LIBO Interpolated Rate shall be less than zero, such rate shall be deemed to be zero for the purposes of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Rate</w:t>
      </w:r>
      <w:r>
        <w:rPr>
          <w:rFonts w:ascii="Arial" w:cs="Arial" w:eastAsia="Arial" w:hAnsi="Arial"/>
          <w:sz w:val="21"/>
          <w:szCs w:val="21"/>
          <w:color w:val="auto"/>
        </w:rPr>
        <w:t xml:space="preserve">” means, with respect to any Eurocurrency Borrowing denominated in any Agreed Currency (other than Euros) for any applicable currency and for any Interest Period, (a) the applicable Screen Rate as of (i) in the case of Australian Dollars, 10:30 a.m., Melbourne time, on the Quotation Day or (ii) in all other cases, approximately 11:00 a.m., London time, on the Quotation Day, or (b) if no Screen Rate is available for such currency or for such Interest Period, the applicable Interpolated Rate as of such time on the Quotation Day or, if applicable pursuant to the terms of </w:t>
      </w:r>
      <w:r>
        <w:rPr>
          <w:rFonts w:ascii="Arial" w:cs="Arial" w:eastAsia="Arial" w:hAnsi="Arial"/>
          <w:sz w:val="21"/>
          <w:szCs w:val="21"/>
          <w:u w:val="single" w:color="auto"/>
          <w:color w:val="auto"/>
        </w:rPr>
        <w:t>Section 2.14(a)</w:t>
      </w:r>
      <w:r>
        <w:rPr>
          <w:rFonts w:ascii="Arial" w:cs="Arial" w:eastAsia="Arial" w:hAnsi="Arial"/>
          <w:sz w:val="21"/>
          <w:szCs w:val="21"/>
          <w:color w:val="auto"/>
        </w:rPr>
        <w:t>, the applicable Reference Bank Rate as of such time on the Quotation Day.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Eurocurrency Borrowing denominated in any Agreed Currency (other than Euros) for any applicable currency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be less than zero, such rate shall be deemed to be zero for purposes of this Agreement.</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all Notes issued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all letter of credit applications, all Collateral Documents, and all other mortgages, security agreements and other collateral or security documents, guaranty agreements and instruments from time to time made, issued or executed by any Person in connection with this Agreement.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pursuant to or as described in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(a) with respect to a Loan or Borrowing denominated in U.S. Dollars, New York City time, (b) with respect to a Loan or Borrowing denominated in 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96" w:name="page97"/>
    <w:bookmarkEnd w:id="96"/>
    <w:p>
      <w:pPr>
        <w:spacing w:after="0"/>
        <w:rPr>
          <w:sz w:val="20"/>
          <w:szCs w:val="20"/>
          <w:color w:val="auto"/>
        </w:rPr>
      </w:pPr>
      <w:r>
        <w:rPr>
          <w:rFonts w:ascii="Arial" w:cs="Arial" w:eastAsia="Arial" w:hAnsi="Arial"/>
          <w:sz w:val="19"/>
          <w:szCs w:val="19"/>
          <w:color w:val="auto"/>
        </w:rPr>
        <w:t>Dollars, Toronto time and (c) with respect to a Loan or Borrowing denominated in any other Foreign Currency, London time.</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operations, or condition, financial or otherwise, of the Company and the Subsidiaries taken as a whole, (b) the ability of the Borrowers to perform any of their obligations under this Agreement or any of the other Loan Documents, or (c) the rights of or benefits available to the Lenders under this Agreement or any of the other Loan Documents.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Indebtedness (other than the Loans and Letters of Credit), and obligations in respect of one or more Swap Agreements, of any one or more of the Company and its Subsidiaries in an aggregate principal amount exceeding $10,000,000 (or the equivalent amount in any foreign currency).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means any Subsidiary that is not an Immaterial Subsidiary.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Properties</w:t>
      </w:r>
      <w:r>
        <w:rPr>
          <w:rFonts w:ascii="Arial" w:cs="Arial" w:eastAsia="Arial" w:hAnsi="Arial"/>
          <w:sz w:val="22"/>
          <w:szCs w:val="22"/>
          <w:color w:val="auto"/>
        </w:rPr>
        <w:t>” means (a) those tracts and parcels of real property and all improvements thereon and appurtenances thereto described in the Perfection Certificate owned in fee by the applicable Credit Party (as opposed to a leasehold interest) and (b) that tract or parcel of real property located at the Port of Catoosa in which one or more of the Credit Party(s) has a leasehold interest.</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xml:space="preserve">” means all fee or leasehold mortgages or deeds of trust, as applicable, necessary to create a first and prior lien in favor of the Administrative Agent with respect to the fee or leasehold interest of the Company or its applicable Subsidiary in the Mortgaged Properties, including but not limited to those unreleased mortgages and deeds of trust described on </w:t>
      </w:r>
      <w:r>
        <w:rPr>
          <w:rFonts w:ascii="Arial" w:cs="Arial" w:eastAsia="Arial" w:hAnsi="Arial"/>
          <w:sz w:val="19"/>
          <w:szCs w:val="19"/>
          <w:u w:val="single" w:color="auto"/>
          <w:color w:val="auto"/>
        </w:rPr>
        <w:t>Exhibit D</w:t>
      </w:r>
      <w:r>
        <w:rPr>
          <w:rFonts w:ascii="Arial" w:cs="Arial" w:eastAsia="Arial" w:hAnsi="Arial"/>
          <w:sz w:val="19"/>
          <w:szCs w:val="19"/>
          <w:color w:val="auto"/>
        </w:rPr>
        <w:t>, in each case, as ratified, amended, restated, supplemented or otherwise modified from time to time.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3(37) or 4001(a)(3) of ERISA.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means a promissory note delivered to a Lender as contemplated by </w:t>
      </w:r>
      <w:r>
        <w:rPr>
          <w:rFonts w:ascii="Arial" w:cs="Arial" w:eastAsia="Arial" w:hAnsi="Arial"/>
          <w:sz w:val="22"/>
          <w:szCs w:val="22"/>
          <w:u w:val="single" w:color="auto"/>
          <w:color w:val="auto"/>
        </w:rPr>
        <w:t>Section 2.10(e)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NYFRB’s Website</w:t>
      </w:r>
      <w:r>
        <w:rPr>
          <w:rFonts w:ascii="Arial" w:cs="Arial" w:eastAsia="Arial" w:hAnsi="Arial"/>
          <w:sz w:val="21"/>
          <w:szCs w:val="21"/>
          <w:color w:val="auto"/>
        </w:rPr>
        <w:t>” means the website of the NYFRB at http://www.newyorkfed.org, or any successor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97" w:name="page98"/>
    <w:bookmarkEnd w:id="97"/>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means, without duplication, any and all obligations, contingent or otherwise, now existing or hereafter arising, howsoever created, of the Company and the Subsidiaries to any of the Lenders, the Administrative Agent, the Issuing Bank or any of their respective Affiliates, or any indemnified party, arising under or in connection with (a) the Loan Documents, including without limitation unpaid principal of and accrued and unpaid interest (including post-petition interest) on the Loans and all reimbursement obligations in respect of LC Disbursements, (b) Lender Swap Agreements, (c) Cash Management Agreements and (d) all accrued and unpaid fees and all expenses, reimbursements, indemnities and other obligations of the Company and the Subsidiaries to the Lenders or to any Lender, the Administrative Agent, the Issuing Bank or any indemnified party under any of the foregoing.</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Document).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any present or future stamp, court, documentary, intangible, recording, filing or similar Taxes that arise from any payment made under, from the execution, delivery, performance, enforcement or registration of, from the registration, receipt or perfection of a security interest under, or otherwise with respect to, this Agreement or any Loan Document, except any such Taxes that are Other Connection Taxes imposed with respect to an assignment (other than an assignment under </w:t>
      </w:r>
      <w:r>
        <w:rPr>
          <w:rFonts w:ascii="Arial" w:cs="Arial" w:eastAsia="Arial" w:hAnsi="Arial"/>
          <w:sz w:val="22"/>
          <w:szCs w:val="22"/>
          <w:u w:val="single" w:color="auto"/>
          <w:color w:val="auto"/>
        </w:rPr>
        <w:t>Section 2.19(b)</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FRBNY as set forth on its public website from time to time, and published on the next succeeding Business Day by the FRBNY as an overnight bank funding rate (from and after such date as the FRBNY shall commence to publish such composite rate).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Foreign Currency Rate</w:t>
      </w:r>
      <w:r>
        <w:rPr>
          <w:rFonts w:ascii="Arial" w:cs="Arial" w:eastAsia="Arial" w:hAnsi="Arial"/>
          <w:sz w:val="22"/>
          <w:szCs w:val="22"/>
          <w:color w:val="auto"/>
        </w:rPr>
        <w:t>” means, for any amount payable in a Foreign Currency, the rate of interest per annum as determined by the Administrative Agent at which overnight or weekend deposits in the relevant currency (or if such amount due remains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98" w:name="page99"/>
    <w:bookmarkEnd w:id="98"/>
    <w:p>
      <w:pPr>
        <w:jc w:val="both"/>
        <w:spacing w:after="0" w:line="261" w:lineRule="auto"/>
        <w:rPr>
          <w:sz w:val="20"/>
          <w:szCs w:val="20"/>
          <w:color w:val="auto"/>
        </w:rPr>
      </w:pPr>
      <w:r>
        <w:rPr>
          <w:rFonts w:ascii="Arial" w:cs="Arial" w:eastAsia="Arial" w:hAnsi="Arial"/>
          <w:sz w:val="21"/>
          <w:szCs w:val="21"/>
          <w:color w:val="auto"/>
        </w:rPr>
        <w:t>for more than three (3) Business Days, then for such other period of time as the Administrative Agent may reasonably determine)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Loan or LC Disbursement, plus any taxes, levies, imposts, duties, deductions, charges or withholdings imposed upon, or charged to, the Administrative Agent by any relevant correspondent bank in respect of such amount in such relevant currency.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8.06(c)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8.06(c)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means a perfection certificate, in form and substance satisfactory to the Administrative Agent, executed by an Authorized Officer of the Company, certifying as to existence, description, location, and other matters regarding, the Collateral.</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means an Acquisition as to which all the requirements of </w:t>
      </w:r>
      <w:r>
        <w:rPr>
          <w:rFonts w:ascii="Arial" w:cs="Arial" w:eastAsia="Arial" w:hAnsi="Arial"/>
          <w:sz w:val="22"/>
          <w:szCs w:val="22"/>
          <w:u w:val="single" w:color="auto"/>
          <w:color w:val="auto"/>
        </w:rPr>
        <w:t>Section 6.04(i)</w:t>
      </w:r>
      <w:r>
        <w:rPr>
          <w:rFonts w:ascii="Arial" w:cs="Arial" w:eastAsia="Arial" w:hAnsi="Arial"/>
          <w:sz w:val="22"/>
          <w:szCs w:val="22"/>
          <w:color w:val="auto"/>
        </w:rPr>
        <w:t xml:space="preserve"> have either been met or waived in accordance with the provisions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20" w:lineRule="exact"/>
        <w:rPr>
          <w:sz w:val="20"/>
          <w:szCs w:val="20"/>
          <w:color w:val="auto"/>
        </w:rPr>
      </w:pPr>
    </w:p>
    <w:p>
      <w:pPr>
        <w:jc w:val="both"/>
        <w:ind w:firstLine="1304"/>
        <w:spacing w:after="0" w:line="250" w:lineRule="auto"/>
        <w:tabs>
          <w:tab w:leader="none" w:pos="1932" w:val="left"/>
        </w:tabs>
        <w:numPr>
          <w:ilvl w:val="0"/>
          <w:numId w:val="58"/>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or levies on its property if the same either (i) shall not at the time be delinquent, (ii) thereafter can be paid without penalty, or (iii) are being contested in good faith by appropriate proceedings with adequate reserves having been set aside on the books of the Company and its Subsidiaries in accordance with Agreement Accounting Principles;</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and other like Liens imposed by law, arising in the ordinary course of business and securing obligations that are not overdue by more than sixty (60) days or are being contested by appropriate proceedings with adequate reserves having been set aside on the books of the Company and its Subsidiaries in accordance with Agreement Accounting Principles;</w:t>
      </w:r>
    </w:p>
    <w:p>
      <w:pPr>
        <w:spacing w:after="0" w:line="214" w:lineRule="exact"/>
        <w:rPr>
          <w:rFonts w:ascii="Arial" w:cs="Arial" w:eastAsia="Arial" w:hAnsi="Arial"/>
          <w:sz w:val="22"/>
          <w:szCs w:val="22"/>
          <w:color w:val="auto"/>
        </w:rPr>
      </w:pPr>
    </w:p>
    <w:p>
      <w:pPr>
        <w:ind w:right="20" w:firstLine="1304"/>
        <w:spacing w:after="0" w:line="343" w:lineRule="auto"/>
        <w:tabs>
          <w:tab w:leader="none" w:pos="1932" w:val="left"/>
        </w:tabs>
        <w:numPr>
          <w:ilvl w:val="0"/>
          <w:numId w:val="58"/>
        </w:numPr>
        <w:rPr>
          <w:rFonts w:ascii="Arial" w:cs="Arial" w:eastAsia="Arial" w:hAnsi="Arial"/>
          <w:sz w:val="19"/>
          <w:szCs w:val="19"/>
          <w:color w:val="auto"/>
        </w:rPr>
      </w:pPr>
      <w:r>
        <w:rPr>
          <w:rFonts w:ascii="Arial" w:cs="Arial" w:eastAsia="Arial" w:hAnsi="Arial"/>
          <w:sz w:val="19"/>
          <w:szCs w:val="19"/>
          <w:color w:val="auto"/>
        </w:rPr>
        <w:t>pledges and deposits made in the ordinary course of business in compliance with workers’ compensation, unemployment insurance, old age pensions, and other social security or retirement benefit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99" w:name="page100"/>
    <w:bookmarkEnd w:id="99"/>
    <w:p>
      <w:pPr>
        <w:jc w:val="both"/>
        <w:ind w:firstLine="1304"/>
        <w:spacing w:after="0" w:line="302"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Liens or other interests of customers or vendors under title retention agreements or similar agreements whereby the Company or a Subsidiary obtains possession (but not ownership) of materials or goods provided to the Company or such Subsidiary by or for the account of a customer of the Company or such Subsidiary for the purpose of fabrication, assembly or manufacturing, provided that such interests attach only to such materials or goods;</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judgment liens in respect of judgments that do not constitute an Event of Default under </w:t>
      </w:r>
      <w:r>
        <w:rPr>
          <w:rFonts w:ascii="Arial" w:cs="Arial" w:eastAsia="Arial" w:hAnsi="Arial"/>
          <w:sz w:val="19"/>
          <w:szCs w:val="19"/>
          <w:u w:val="single" w:color="auto"/>
          <w:color w:val="auto"/>
        </w:rPr>
        <w:t>Section 7.01(k)</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jc w:val="both"/>
        <w:ind w:firstLine="1304"/>
        <w:spacing w:after="0" w:line="312" w:lineRule="auto"/>
        <w:tabs>
          <w:tab w:leader="none" w:pos="1935" w:val="left"/>
        </w:tabs>
        <w:numPr>
          <w:ilvl w:val="0"/>
          <w:numId w:val="59"/>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60"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Liens in favor of a banking or other financial institution arising as a matter of law or in the ordinary course of business under customary terms and conditions encumbering deposits or other funds maintained with such institution including bankers’ liens, rights of set-off or similar rights and remedies; and</w:t>
      </w:r>
    </w:p>
    <w:p>
      <w:pPr>
        <w:spacing w:after="0" w:line="225" w:lineRule="exact"/>
        <w:rPr>
          <w:rFonts w:ascii="Arial" w:cs="Arial" w:eastAsia="Arial" w:hAnsi="Arial"/>
          <w:sz w:val="22"/>
          <w:szCs w:val="22"/>
          <w:color w:val="auto"/>
        </w:rPr>
      </w:pPr>
    </w:p>
    <w:p>
      <w:pPr>
        <w:ind w:firstLine="1304"/>
        <w:spacing w:after="0" w:line="263"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deposits and Liens to secure Bonding Obligations permitted under </w:t>
      </w:r>
      <w:r>
        <w:rPr>
          <w:rFonts w:ascii="Arial" w:cs="Arial" w:eastAsia="Arial" w:hAnsi="Arial"/>
          <w:sz w:val="22"/>
          <w:szCs w:val="22"/>
          <w:u w:val="single" w:color="auto"/>
          <w:color w:val="auto"/>
        </w:rPr>
        <w:t>Section 6.01(i)</w:t>
      </w:r>
      <w:r>
        <w:rPr>
          <w:rFonts w:ascii="Arial" w:cs="Arial" w:eastAsia="Arial" w:hAnsi="Arial"/>
          <w:sz w:val="22"/>
          <w:szCs w:val="22"/>
          <w:color w:val="auto"/>
        </w:rPr>
        <w:t xml:space="preserve"> with respect to which no Event of Default under </w:t>
      </w:r>
      <w:r>
        <w:rPr>
          <w:rFonts w:ascii="Arial" w:cs="Arial" w:eastAsia="Arial" w:hAnsi="Arial"/>
          <w:sz w:val="22"/>
          <w:szCs w:val="22"/>
          <w:u w:val="single" w:color="auto"/>
          <w:color w:val="auto"/>
        </w:rPr>
        <w:t>Section 7.01(r)</w:t>
      </w:r>
      <w:r>
        <w:rPr>
          <w:rFonts w:ascii="Arial" w:cs="Arial" w:eastAsia="Arial" w:hAnsi="Arial"/>
          <w:sz w:val="22"/>
          <w:szCs w:val="22"/>
          <w:color w:val="auto"/>
        </w:rPr>
        <w:t xml:space="preserve"> has occurred and is continuing;</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xml:space="preserve">” shall not include any Lien securing Indebtedness, except with respect to clause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above.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jc w:val="both"/>
        <w:ind w:left="1300" w:hanging="320"/>
        <w:spacing w:after="0" w:line="253" w:lineRule="auto"/>
        <w:tabs>
          <w:tab w:leader="none" w:pos="1288" w:val="left"/>
        </w:tabs>
        <w:numPr>
          <w:ilvl w:val="0"/>
          <w:numId w:val="60"/>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85"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investments permitted by the Company’s Investment Policy as in effect as of the Effective Date, a copy of which is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as the same may be amended, restated, supplemented or otherwise modified from time to time with the consent of the Administrative Agent, such consent not to be unreasonably withheld, conditioned or delayed.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(as defined in Section 3(2) of ERISA) (other than a Multiemployer Plan) subject to the provisions of Section 302 or Title IV of ERISA or Section 412 of the Code, and which the Company or any ERISA Affiliate is (or, if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were terminated, would under Section 4069 of ERISA be deemed to be) an “employer” as defined in Section 3(5) of ERISA.</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(Ontario), including the regulations thereto, provided that, if perfection or the effect of perfection or non-perfection or the priority of any Lien created under any of the Loan Documents on the Collateral is governed by the personal property security legislation or other applicable legislation with respect to personal property security in effect in a jurisdiction other than Ontario, “</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or such other applicable legislation in effect from time to time in such other jurisdiction for purposes of the provisions hereof relating to such perfection, effect of perfection or non-perfection or priority.</w:t>
      </w:r>
    </w:p>
    <w:p>
      <w:pPr>
        <w:spacing w:after="0" w:line="19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Guarantor</w:t>
      </w:r>
      <w:r>
        <w:rPr>
          <w:rFonts w:ascii="Arial" w:cs="Arial" w:eastAsia="Arial" w:hAnsi="Arial"/>
          <w:sz w:val="19"/>
          <w:szCs w:val="19"/>
          <w:color w:val="auto"/>
        </w:rPr>
        <w:t>” means, in respect of any Swap Obligation, each Credit Party that has total assets exceeding $10,000,000 at the time the relevant Guarantee, joint and several liability, and/or Lien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Quotation Day</w:t>
      </w:r>
      <w:r>
        <w:rPr>
          <w:rFonts w:ascii="Arial" w:cs="Arial" w:eastAsia="Arial" w:hAnsi="Arial"/>
          <w:sz w:val="21"/>
          <w:szCs w:val="21"/>
          <w:color w:val="auto"/>
        </w:rPr>
        <w:t>” means (a) with respect to any currency (other than Sterling, Australian Dollars and Canadian Dollars), for any Interest Period, two Business Days prior to the first day of such Interest Period and (b) with respect to Sterling, Australian Dollars and Canadian Dollars for any Interest Period, the first day of such Interest Period, in each case, unless market practice differs in the relevant interbank market for any currency, in which case the Quotation Day for such currency shall be determined by the Administrative Agent in accordance with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63" w:lineRule="auto"/>
        <w:rPr>
          <w:sz w:val="20"/>
          <w:szCs w:val="20"/>
          <w:color w:val="auto"/>
        </w:rPr>
      </w:pPr>
      <w:r>
        <w:rPr>
          <w:rFonts w:ascii="Arial" w:cs="Arial" w:eastAsia="Arial" w:hAnsi="Arial"/>
          <w:sz w:val="22"/>
          <w:szCs w:val="22"/>
          <w:color w:val="auto"/>
        </w:rPr>
        <w:t>practice in the relevant interbank market (and if quotations would normally be given by leading banks in the relevant market on more than one day, the Quotation Day will be the last of those days).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as applicable, (a) the Administrative Agent, (b) any Lender and (c) the Issuing Bank.</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Bank Rate</w:t>
      </w:r>
      <w:r>
        <w:rPr>
          <w:rFonts w:ascii="Arial" w:cs="Arial" w:eastAsia="Arial" w:hAnsi="Arial"/>
          <w:sz w:val="19"/>
          <w:szCs w:val="19"/>
          <w:color w:val="auto"/>
        </w:rPr>
        <w:t>” means the arithmetic mean of the rates (rounded upwards to four decimal places) supplied to the Administrative Agent at its request by the Reference Banks (as the case may be) for Loans in the applicable currency and the applicable Interest Period (a) in relation to the Canadian Dealer Offered Rate, as the rate at which the relevant Reference Bank is willing to extend credit by the purchase of bankers acceptances in Canadian Dollars which have been accepted by banks which are for the time being customarily regarded as being of appropriate credit standing for such purpose with a term to maturity comparable to the applicable Interest Period, (b) in relation to Eurocurrency Loans, as the rate quoted by the relevant Reference Bank to leading banks in the London interbank market for the offering of deposits in the applicable currency and for a period comparable to the applicable Interest Period and (c) in relation to EURIBOR Loans, as the rate quoted by the relevant Reference Bank to leading banks in the Banking Federation of the European Union for the offering of deposits in Euros and for a period comparable to the applicable Interest Period.</w:t>
      </w:r>
    </w:p>
    <w:p>
      <w:pPr>
        <w:spacing w:after="0" w:line="1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Banks</w:t>
      </w:r>
      <w:r>
        <w:rPr>
          <w:rFonts w:ascii="Arial" w:cs="Arial" w:eastAsia="Arial" w:hAnsi="Arial"/>
          <w:sz w:val="22"/>
          <w:szCs w:val="22"/>
          <w:color w:val="auto"/>
        </w:rPr>
        <w:t>” means such banks as may be appointed by the Administrative Agent in consultation with the Company. No Lender shall be obligated to be a Reference Bank without its consent.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LIBO Rate,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11:00 a.m. (London time) on the day that is two London banking days preceding the date of such setting, and (2) if such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Benchmark is not LIBO Rate, the time determined by the Administrative Agent in its reasonable discretion.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Federal Reserve Board, as in effect from time to time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Federal Reserve Board, as in effect from time to time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Federal Reserve Board, as in effect from time to time and all official rulings and interpretations thereunder or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means Regulation X of the Federal Reserve Board, as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102" w:name="page103"/>
    <w:bookmarkEnd w:id="102"/>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means (i) with respect to any Eurocurrency Borrowing denominated in an Agreed Currency (other than Euros), the LIBO Rate or (ii) with respect to any Eurocurrency Borrowing denominated in Euros, the EURIBOR Rate, as applicable.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Screen Rate</w:t>
      </w:r>
      <w:r>
        <w:rPr>
          <w:rFonts w:ascii="Arial" w:cs="Arial" w:eastAsia="Arial" w:hAnsi="Arial"/>
          <w:sz w:val="22"/>
          <w:szCs w:val="22"/>
          <w:color w:val="auto"/>
        </w:rPr>
        <w:t>” means (i) with respect to any Eurocurrency Borrowing denominated in an Agreed Currency (other than Euros), the LIBO Screen Rate or (ii) with respect to any Eurocurrency Borrowing denominated in Euros, the EURIBOR Screen Rate, as applicable.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the Lenders having Revolving Credit Exposures and unused Revolving Commitments representing more than fifty percent (50%) of the sum of the total Revolving Credit Exposures and unused Revolving Commitments at such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Thomsen Reuters Corp., Refinitiv,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means, with respect to each Lender, the commitment of such Lender to make Revolving Loans and to acquire participations in Letters of Credit and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294" w:lineRule="auto"/>
        <w:rPr>
          <w:sz w:val="20"/>
          <w:szCs w:val="20"/>
          <w:color w:val="auto"/>
        </w:rPr>
      </w:pPr>
      <w:r>
        <w:rPr>
          <w:rFonts w:ascii="Arial" w:cs="Arial" w:eastAsia="Arial" w:hAnsi="Arial"/>
          <w:sz w:val="19"/>
          <w:szCs w:val="19"/>
          <w:color w:val="auto"/>
        </w:rPr>
        <w:t xml:space="preserve">Loans hereunder, expressed as an amount representing the maximum aggregate amount of such Lender’s Revolving Credit Exposure hereunder, as such commitment may be (a) increased from time to time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(b) reduced from time to time pursuant to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and (c)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initial amount of each Lender’s Revolving Commitment is set forth on </w:t>
      </w:r>
      <w:r>
        <w:rPr>
          <w:rFonts w:ascii="Arial" w:cs="Arial" w:eastAsia="Arial" w:hAnsi="Arial"/>
          <w:sz w:val="19"/>
          <w:szCs w:val="19"/>
          <w:u w:val="single" w:color="auto"/>
          <w:color w:val="auto"/>
        </w:rPr>
        <w:t>Schedule 2.01(a)</w:t>
      </w:r>
      <w:r>
        <w:rPr>
          <w:rFonts w:ascii="Arial" w:cs="Arial" w:eastAsia="Arial" w:hAnsi="Arial"/>
          <w:sz w:val="19"/>
          <w:szCs w:val="19"/>
          <w:color w:val="auto"/>
        </w:rPr>
        <w:t>, or in the Assignment and Assumption pursuant to which such Lender shall have assumed its Revolving Commitment, as applicable. As of the Effective Date, the aggregate amount of the Lenders’ Revolving Commitments is $200,000,000.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with respect to any Lender at any time, the sum of the outstanding principal amount of such Lender’s Revolving Loans and its LC Exposure and Swingline Exposure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itself, or whose government is, the subject or target of any Sanctions.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means, at any time, (a) any Person listed in any Sanctions-related list of designated persons maintained by the Office of Foreign Assets Control of the U.S. Department of the Treasury, the U.S. Department of State, Her Majesty’s Treasury of the United Kingdom or by the United Nations Security Council, the European Union or any European Union member state, (b) any Person operating, organized or resident in a Sanctioned Country, (c) any Person owned or controlled by any such Person, or (d) any Person otherwise the subject of any Sanctions.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means (a) in respect of the LIBO Rate for any currency and for any Interest Period, (i) in the case of U.S. Dollars, the LIBO Screen Rate, (ii) in the case of Australian Dollars, the average bid rate on Reuters Screen BBSY Page for bills of exchange having a tenor equal to (or approximating as closely as possible the length of) such Interest Period, and (iii) in the case of any other Foreign Currency, the London interbank offered rate as administered by ICE Benchmark Administration (or any other Person that takes over the administration of such rate) appearing on Reuters Screen LIBOR02 Page for such currency for such Interest Period (or, in each such case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on any successor or substitute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87" w:lineRule="auto"/>
        <w:rPr>
          <w:sz w:val="20"/>
          <w:szCs w:val="20"/>
          <w:color w:val="auto"/>
        </w:rPr>
      </w:pPr>
      <w:r>
        <w:rPr>
          <w:rFonts w:ascii="Arial" w:cs="Arial" w:eastAsia="Arial" w:hAnsi="Arial"/>
          <w:sz w:val="19"/>
          <w:szCs w:val="19"/>
          <w:color w:val="auto"/>
        </w:rPr>
        <w:t xml:space="preserve">page on such screen or service that displays such rate, or on the appropriate page of such other information service that publishes such rate as shall be selected by the Administrative Agent from time to time in its reasonable discretion), (b) in respect of the EURIBOR Rate for any Interest Period, the percentage per annum determined by the Banking Federation of the European Union for such Interest Period as displayed on the applicable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and (c) in respect of the Canadian Dealer Offered Rate, the average rate for bankers acceptances with a tenor equal in length to such Interest Period as displayed on CDOR page of the Reuters screen (or on any successor or substitute page on such screen or service that displays such rate, or on the appropriate page of such other information service that publishes such rate as shall be selected by the Applicable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Screen Rate shall be less than zero, such rate shall be deemed to be zero for purposes of this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United States of America.</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Agreement</w:t>
      </w:r>
      <w:r>
        <w:rPr>
          <w:rFonts w:ascii="Arial" w:cs="Arial" w:eastAsia="Arial" w:hAnsi="Arial"/>
          <w:sz w:val="21"/>
          <w:szCs w:val="21"/>
          <w:color w:val="auto"/>
        </w:rPr>
        <w:t>” means each Existing Security Agreement and any other security agreement in a form acceptable to the Administrative Agent that is executed by the Company or any other Credit Party in connection with this Agreement, in each case, as ratified, amended, restated, supplemented or otherwise modified from time to time.</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means (a) the Administrative Agent, (b) the Lenders, (c) the Issuing Bank, (d) each provider of cash management services, to the extent the Obligations under any Cash Management Agreement in respect thereof constitute Obligations, (e) each counterparty to any Lender Swap Agreement, to the extent the obligations thereunder constitute Secured Obligations, (f) the beneficiaries of each indemnification obligation undertaken by any Credit Party under any Loan Document, and (g) the successors and assigns of each of the foregoing.</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231"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21"/>
          <w:szCs w:val="21"/>
          <w:color w:val="auto"/>
        </w:rPr>
        <w:t>funding (currently referred to as “Eurocurrency Liabilities” in Regulation D). Such reserve percentage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the Company, at any date, any corporation, limited liability company, partnership, association or other entity the accounts of which would be consolidated with those of the Company in the Company’s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Company or one or more subsidiaries of the Company or by the Company and one or more subsidiaries of the Company. Notwithstanding the foregoing, neither Matrix Service, Inc., Panama (formed in Panama) nor San Luis Tank S.A. de C.V. (formed in Mexico) shall be considered a Subsidiary as long as it is dormant, has no assets, conducts no operations and the Company has no plan or intention to utilize it for any purpose.</w:t>
      </w:r>
    </w:p>
    <w:p>
      <w:pPr>
        <w:spacing w:after="0" w:line="15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means each Material Subsidiary and each other Subsidiary that is required to be a Subsidiary Guarantor pursuant to </w:t>
      </w:r>
      <w:r>
        <w:rPr>
          <w:rFonts w:ascii="Arial" w:cs="Arial" w:eastAsia="Arial" w:hAnsi="Arial"/>
          <w:sz w:val="22"/>
          <w:szCs w:val="22"/>
          <w:u w:val="single" w:color="auto"/>
          <w:color w:val="auto"/>
        </w:rPr>
        <w:t>Section 5.09</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Guaranty</w:t>
      </w:r>
      <w:r>
        <w:rPr>
          <w:rFonts w:ascii="Arial" w:cs="Arial" w:eastAsia="Arial" w:hAnsi="Arial"/>
          <w:sz w:val="19"/>
          <w:szCs w:val="19"/>
          <w:color w:val="auto"/>
        </w:rPr>
        <w:t xml:space="preserve">” means a Subsidiary Guaranty by each Subsidiary Guarantor,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hereto (for Domestic Subsidiaries) or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hereto (for Foreign Subsidiaries), and each supplement thereto.</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9.23</w:t>
      </w:r>
      <w:r>
        <w:rPr>
          <w:rFonts w:ascii="Arial" w:cs="Arial" w:eastAsia="Arial" w:hAnsi="Arial"/>
          <w:sz w:val="22"/>
          <w:szCs w:val="22"/>
          <w:color w:val="auto"/>
        </w:rPr>
        <w:t>.</w:t>
      </w: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w:t>
      </w:r>
      <w:r>
        <w:rPr>
          <w:rFonts w:ascii="Arial" w:cs="Arial" w:eastAsia="Arial" w:hAnsi="Arial"/>
          <w:sz w:val="20"/>
          <w:szCs w:val="20"/>
          <w:color w:val="auto"/>
        </w:rPr>
        <w:t>” means any surety party to any contractual arrangements entered into by the Company or any Subsidiary with respect to any bid, performance, surety, notary, wage and welfare, license, registration, permit, lien, warranty, pay-on-demand or payment bonds, contracts or like undertakings.</w:t>
      </w:r>
    </w:p>
    <w:p>
      <w:pPr>
        <w:spacing w:after="0" w:line="19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106" w:name="page107"/>
    <w:bookmarkEnd w:id="106"/>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Obligations</w:t>
      </w:r>
      <w:r>
        <w:rPr>
          <w:rFonts w:ascii="Arial" w:cs="Arial" w:eastAsia="Arial" w:hAnsi="Arial"/>
          <w:sz w:val="21"/>
          <w:szCs w:val="21"/>
          <w:color w:val="auto"/>
        </w:rPr>
        <w:t xml:space="preserve">” means, with respect to any </w:t>
      </w:r>
      <w:r>
        <w:rPr>
          <w:rFonts w:ascii="Arial" w:cs="Arial" w:eastAsia="Arial" w:hAnsi="Arial"/>
          <w:sz w:val="18"/>
          <w:szCs w:val="18"/>
          <w:color w:val="auto"/>
        </w:rPr>
        <w:t>Credit Party</w:t>
      </w:r>
      <w:r>
        <w:rPr>
          <w:rFonts w:ascii="Arial" w:cs="Arial" w:eastAsia="Arial" w:hAnsi="Arial"/>
          <w:sz w:val="21"/>
          <w:szCs w:val="21"/>
          <w:color w:val="auto"/>
        </w:rPr>
        <w:t>,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Borrowers</w:t>
      </w:r>
      <w:r>
        <w:rPr>
          <w:rFonts w:ascii="Arial" w:cs="Arial" w:eastAsia="Arial" w:hAnsi="Arial"/>
          <w:sz w:val="22"/>
          <w:szCs w:val="22"/>
          <w:color w:val="auto"/>
        </w:rPr>
        <w:t>” means the Company and the Canadian Borrowers.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means, at any time, the aggregate principal amount of all Swingline Loans outstanding at such time. The Swingline Exposure of any Lender at any time shall be the sum of (a) its Applicable Percentage of the total Swingline Exposure at such time related to Swingline Loans other than any Swingline Loans made by such Lender in its capacity as the Swingline Lender and (b) if such Lender shall be the Swingline Lender, the aggregate principal amount of all Swingline Loans made by such Lender outstanding at such time (to the extent that the other Lenders shall not have funded their participations in Swingline Loans).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JPMorgan Chase, in its capacity as lender of Swingline Loans hereunder.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the Trans-European Automatic Real-time Gross Settlement Express Transfer payment system is open for the settlement of payments in Euros.</w:t>
      </w:r>
    </w:p>
    <w:p>
      <w:pPr>
        <w:spacing w:after="0" w:line="17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any and all present or future taxes, levies, imposts, duties, deductions, withholdings (including backup withholding), value added taxes, or any other goods or services, use or sales tax, assessments, fees or other charges imposed by any Governmental Authority, including any interest, additions to tax or penalties applicable thereto.</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third anniversary of the Effective Date, or any earlier date on which the Revolving Commitments are reduced to zero or all Revolving Commitments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otherwise terminated pursuant to the terms hereof, and if any such day is not a Business Day, then the next Business Day.</w:t>
      </w:r>
    </w:p>
    <w:p>
      <w:pPr>
        <w:spacing w:after="0" w:line="25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Borrower of the occurrence of a Term SOFR Transition Event.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SOFR.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Credit Parties of this Agreement and the other Loan Documents, the borrowing of Loans, the use of the proceeds thereof, the issuance of Letters of Credit hereunder and the granting and perfection of Liens to secure repayment of the Obligations.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LIBO Rate, the Adjusted EURIBOR Rate, the Alternate Base Rate, the Canadian Dealer Offered Rate, the Canadian Prime Rate or the EURIBOR Rate.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or “</w:t>
      </w:r>
      <w:r>
        <w:rPr>
          <w:rFonts w:ascii="Arial" w:cs="Arial" w:eastAsia="Arial" w:hAnsi="Arial"/>
          <w:sz w:val="22"/>
          <w:szCs w:val="22"/>
          <w:u w:val="single" w:color="auto"/>
          <w:color w:val="auto"/>
        </w:rPr>
        <w:t>United Kingdom</w:t>
      </w:r>
      <w:r>
        <w:rPr>
          <w:rFonts w:ascii="Arial" w:cs="Arial" w:eastAsia="Arial" w:hAnsi="Arial"/>
          <w:sz w:val="22"/>
          <w:szCs w:val="22"/>
          <w:color w:val="auto"/>
        </w:rPr>
        <w:t>” means the United Kingdom of Great Britain and Northern Ireland.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means any Borrower (a) that is organized or formed under the laws of the United Kingdom or (b) payments from which under this Agreement or any other Loan Document are subject to withholding Taxes imposed by the laws of the United Kingdom.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Institutions</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Fee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2.17(f)(ii)(B)(3)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Subsidiary</w:t>
      </w:r>
      <w:r>
        <w:rPr>
          <w:rFonts w:ascii="Arial" w:cs="Arial" w:eastAsia="Arial" w:hAnsi="Arial"/>
          <w:sz w:val="22"/>
          <w:szCs w:val="22"/>
          <w:color w:val="auto"/>
        </w:rPr>
        <w:t>”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1 of Subtitle E of Title IV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Credit Party and the Administrative Agent.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Loan</w:t>
      </w:r>
      <w:r>
        <w:rPr>
          <w:rFonts w:ascii="Arial" w:cs="Arial" w:eastAsia="Arial" w:hAnsi="Arial"/>
          <w:sz w:val="19"/>
          <w:szCs w:val="19"/>
          <w:color w:val="auto"/>
        </w:rPr>
        <w:t>”) or by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Loan</w:t>
      </w:r>
      <w:r>
        <w:rPr>
          <w:rFonts w:ascii="Arial" w:cs="Arial" w:eastAsia="Arial" w:hAnsi="Arial"/>
          <w:sz w:val="19"/>
          <w:szCs w:val="19"/>
          <w:color w:val="auto"/>
        </w:rPr>
        <w:t>”)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Revolving Loan</w:t>
      </w:r>
      <w:r>
        <w:rPr>
          <w:rFonts w:ascii="Arial" w:cs="Arial" w:eastAsia="Arial" w:hAnsi="Arial"/>
          <w:sz w:val="19"/>
          <w:szCs w:val="19"/>
          <w:color w:val="auto"/>
        </w:rPr>
        <w:t>”). Borrowings also may be classified and referred to by Class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Revolving Borrowing</w:t>
      </w:r>
      <w:r>
        <w:rPr>
          <w:rFonts w:ascii="Arial" w:cs="Arial" w:eastAsia="Arial" w:hAnsi="Arial"/>
          <w:sz w:val="19"/>
          <w:szCs w:val="19"/>
          <w:color w:val="auto"/>
        </w:rPr>
        <w:t>”) or by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Borrowing</w:t>
      </w:r>
      <w:r>
        <w:rPr>
          <w:rFonts w:ascii="Arial" w:cs="Arial" w:eastAsia="Arial" w:hAnsi="Arial"/>
          <w:sz w:val="19"/>
          <w:szCs w:val="19"/>
          <w:color w:val="auto"/>
        </w:rPr>
        <w:t>”) or by Class and Type (</w:t>
      </w:r>
      <w:r>
        <w:rPr>
          <w:rFonts w:ascii="Arial" w:cs="Arial" w:eastAsia="Arial" w:hAnsi="Arial"/>
          <w:sz w:val="19"/>
          <w:szCs w:val="19"/>
          <w:i w:val="1"/>
          <w:iCs w:val="1"/>
          <w:color w:val="auto"/>
        </w:rPr>
        <w:t>e.g.</w:t>
      </w:r>
      <w:r>
        <w:rPr>
          <w:rFonts w:ascii="Arial" w:cs="Arial" w:eastAsia="Arial" w:hAnsi="Arial"/>
          <w:sz w:val="19"/>
          <w:szCs w:val="19"/>
          <w:color w:val="auto"/>
        </w:rPr>
        <w:t>, a “</w:t>
      </w:r>
      <w:r>
        <w:rPr>
          <w:rFonts w:ascii="Arial" w:cs="Arial" w:eastAsia="Arial" w:hAnsi="Arial"/>
          <w:sz w:val="19"/>
          <w:szCs w:val="19"/>
          <w:u w:val="single" w:color="auto"/>
          <w:color w:val="auto"/>
        </w:rPr>
        <w:t>Eurocurrency Revolving Borrowing</w:t>
      </w:r>
      <w:r>
        <w:rPr>
          <w:rFonts w:ascii="Arial" w:cs="Arial" w:eastAsia="Arial" w:hAnsi="Arial"/>
          <w:sz w:val="19"/>
          <w:szCs w:val="19"/>
          <w:color w:val="auto"/>
        </w:rPr>
        <w:t>”).</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Terms Generally</w:t>
      </w:r>
      <w:r>
        <w:rPr>
          <w:rFonts w:ascii="Arial" w:cs="Arial" w:eastAsia="Arial" w:hAnsi="Arial"/>
          <w:sz w:val="22"/>
          <w:szCs w:val="22"/>
          <w:color w:val="auto"/>
        </w:rPr>
        <w:t>. The definitions of terms herein shall apply equally to the singular and plural forms of the terms defined. Whenever the context may require,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09" w:name="page110"/>
    <w:bookmarkEnd w:id="109"/>
    <w:p>
      <w:pPr>
        <w:jc w:val="both"/>
        <w:spacing w:after="0" w:line="286" w:lineRule="auto"/>
        <w:rPr>
          <w:sz w:val="20"/>
          <w:szCs w:val="20"/>
          <w:color w:val="auto"/>
        </w:rPr>
      </w:pPr>
      <w:r>
        <w:rPr>
          <w:rFonts w:ascii="Arial" w:cs="Arial" w:eastAsia="Arial" w:hAnsi="Arial"/>
          <w:sz w:val="19"/>
          <w:szCs w:val="19"/>
          <w:color w:val="auto"/>
        </w:rPr>
        <w:t>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hereunder having the force of law or with which affected Persons customarily comply) and all judgments, orders and decrees of all Governmental Authorities. The word “will” shall be construed to have the same meaning and effect as the word “shall”. Unless the context requires otherwise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any reference herein to any Person shall be construed to include such Person’s successors and assigns, the words “herein”, “hereof” and “hereunder”, and words of similar import, shall be construed to refer to this Agreement in its entirety and not to any particular provision hereof, all references herein to Articles, Sections, Exhibits and Schedules shall be construed to refer to Articles and Sections of, and Exhibits and Schedules to, this Agreement any reference to any law, statute, rule or regulation herein shall, unless otherwise specified, refer to such law, statute, rule or regulation as amended, modified or supplemented from time to time, and the words “asset” and “property” shall be construed to have the same meaning and effect and to refer to any and all tangible and intangible assets and properties and all assets and properties of a mixed tangible and intangible nature, including cash, securities, accounts and contract rights.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Accounting Terms; GAAP.</w:t>
      </w:r>
    </w:p>
    <w:p>
      <w:pPr>
        <w:spacing w:after="0" w:line="220" w:lineRule="exact"/>
        <w:rPr>
          <w:sz w:val="20"/>
          <w:szCs w:val="20"/>
          <w:color w:val="auto"/>
        </w:rPr>
      </w:pPr>
    </w:p>
    <w:p>
      <w:pPr>
        <w:jc w:val="both"/>
        <w:ind w:left="660" w:hanging="328"/>
        <w:spacing w:after="0" w:line="286" w:lineRule="auto"/>
        <w:tabs>
          <w:tab w:leader="none" w:pos="648" w:val="left"/>
        </w:tabs>
        <w:numPr>
          <w:ilvl w:val="0"/>
          <w:numId w:val="61"/>
        </w:numPr>
        <w:rPr>
          <w:rFonts w:ascii="Arial" w:cs="Arial" w:eastAsia="Arial" w:hAnsi="Arial"/>
          <w:sz w:val="19"/>
          <w:szCs w:val="19"/>
          <w:color w:val="auto"/>
        </w:rPr>
      </w:pPr>
      <w:r>
        <w:rPr>
          <w:rFonts w:ascii="Arial" w:cs="Arial" w:eastAsia="Arial" w:hAnsi="Arial"/>
          <w:sz w:val="19"/>
          <w:szCs w:val="19"/>
          <w:color w:val="auto"/>
        </w:rPr>
        <w:t>Except as 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date hereof in GAAP or in the International Financial Reporting Standards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or in the application thereof, then such provision shall be interpreted on the basis of GAAP or International Financial Reporting Standards, as applicable,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10" w:name="page111"/>
    <w:bookmarkEnd w:id="110"/>
    <w:p>
      <w:pPr>
        <w:ind w:left="660" w:right="20"/>
        <w:spacing w:after="0" w:line="263" w:lineRule="auto"/>
        <w:rPr>
          <w:sz w:val="20"/>
          <w:szCs w:val="20"/>
          <w:color w:val="auto"/>
        </w:rPr>
      </w:pPr>
      <w:r>
        <w:rPr>
          <w:rFonts w:ascii="Arial" w:cs="Arial" w:eastAsia="Arial" w:hAnsi="Arial"/>
          <w:sz w:val="22"/>
          <w:szCs w:val="22"/>
          <w:color w:val="auto"/>
        </w:rPr>
        <w:t>effect) to value any such Indebtedness in a reduced or bifurcated manner as described therein, and such Indebtedness shall at all times be valued at the full stated principal amount thereof.</w:t>
      </w:r>
    </w:p>
    <w:p>
      <w:pPr>
        <w:spacing w:after="0" w:line="175" w:lineRule="exact"/>
        <w:rPr>
          <w:sz w:val="20"/>
          <w:szCs w:val="20"/>
          <w:color w:val="auto"/>
        </w:rPr>
      </w:pPr>
    </w:p>
    <w:p>
      <w:pPr>
        <w:jc w:val="both"/>
        <w:ind w:left="660" w:hanging="328"/>
        <w:spacing w:after="0" w:line="292"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u w:val="single" w:color="auto"/>
          <w:color w:val="auto"/>
        </w:rPr>
        <w:t>Section 1.04(a)</w:t>
      </w:r>
      <w:r>
        <w:rPr>
          <w:rFonts w:ascii="Arial" w:cs="Arial" w:eastAsia="Arial" w:hAnsi="Arial"/>
          <w:sz w:val="19"/>
          <w:szCs w:val="19"/>
          <w:color w:val="auto"/>
        </w:rPr>
        <w:t xml:space="preserve"> or in the definition of “Capital Lease Obligations,”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7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Currency Matters; Determination of U.S. Dollar Amounts</w:t>
      </w: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jc w:val="both"/>
        <w:ind w:firstLine="1304"/>
        <w:spacing w:after="0" w:line="290" w:lineRule="auto"/>
        <w:tabs>
          <w:tab w:leader="none" w:pos="1932" w:val="left"/>
        </w:tabs>
        <w:numPr>
          <w:ilvl w:val="2"/>
          <w:numId w:val="62"/>
        </w:numPr>
        <w:rPr>
          <w:rFonts w:ascii="Arial" w:cs="Arial" w:eastAsia="Arial" w:hAnsi="Arial"/>
          <w:sz w:val="19"/>
          <w:szCs w:val="19"/>
          <w:color w:val="auto"/>
        </w:rPr>
      </w:pPr>
      <w:r>
        <w:rPr>
          <w:rFonts w:ascii="Arial" w:cs="Arial" w:eastAsia="Arial" w:hAnsi="Arial"/>
          <w:sz w:val="19"/>
          <w:szCs w:val="19"/>
          <w:u w:val="single" w:color="auto"/>
          <w:color w:val="auto"/>
        </w:rPr>
        <w:t>Currency Matters</w:t>
      </w:r>
      <w:r>
        <w:rPr>
          <w:rFonts w:ascii="Arial" w:cs="Arial" w:eastAsia="Arial" w:hAnsi="Arial"/>
          <w:sz w:val="19"/>
          <w:szCs w:val="19"/>
          <w:color w:val="auto"/>
        </w:rPr>
        <w:t>. Principal, interest, reimbursement obligations, fees, and all other amounts payable under this Agreement and the other Loan Documents to the Administrative Agent and the Lenders shall be payable in the currency in which such Obligations are denominated. Unless stated otherwise, all calculations, comparisons, measurements or determinations under this Agreement shall be made in U.S. Dollars. For the purpose of such calculations, comparisons, measurements or determinations, amounts or proceeds denominated in other currencies shall be converted to the Equivalent Amount of U.S. Dollars on the date of calculation, comparison, measurement or determination. Unless expressly provided otherwise, where a reference is made to a dollar amount, the amount is to be considered as the amount in U.S. Dollars and, therefore, each other currency shall be converted into the Equivalent Amount thereof in U.S. Dollars.</w:t>
      </w:r>
    </w:p>
    <w:p>
      <w:pPr>
        <w:spacing w:after="0" w:line="155" w:lineRule="exact"/>
        <w:rPr>
          <w:rFonts w:ascii="Arial" w:cs="Arial" w:eastAsia="Arial" w:hAnsi="Arial"/>
          <w:sz w:val="19"/>
          <w:szCs w:val="19"/>
          <w:color w:val="auto"/>
        </w:rPr>
      </w:pPr>
    </w:p>
    <w:p>
      <w:pPr>
        <w:ind w:left="1960" w:hanging="656"/>
        <w:spacing w:after="0"/>
        <w:tabs>
          <w:tab w:leader="none" w:pos="1960" w:val="left"/>
        </w:tabs>
        <w:numPr>
          <w:ilvl w:val="2"/>
          <w:numId w:val="62"/>
        </w:numPr>
        <w:rPr>
          <w:rFonts w:ascii="Arial" w:cs="Arial" w:eastAsia="Arial" w:hAnsi="Arial"/>
          <w:sz w:val="19"/>
          <w:szCs w:val="19"/>
          <w:color w:val="auto"/>
        </w:rPr>
      </w:pPr>
      <w:r>
        <w:rPr>
          <w:rFonts w:ascii="Arial" w:cs="Arial" w:eastAsia="Arial" w:hAnsi="Arial"/>
          <w:sz w:val="19"/>
          <w:szCs w:val="19"/>
          <w:u w:val="single" w:color="auto"/>
          <w:color w:val="auto"/>
        </w:rPr>
        <w:t>Determination of Equivalent Amounts</w:t>
      </w:r>
      <w:r>
        <w:rPr>
          <w:rFonts w:ascii="Arial" w:cs="Arial" w:eastAsia="Arial" w:hAnsi="Arial"/>
          <w:sz w:val="19"/>
          <w:szCs w:val="19"/>
          <w:color w:val="auto"/>
        </w:rPr>
        <w:t>. The Administrative Agent will determine the Equivalent Amount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U.S. Dollars of:</w:t>
      </w:r>
    </w:p>
    <w:p>
      <w:pPr>
        <w:spacing w:after="0" w:line="228" w:lineRule="exact"/>
        <w:rPr>
          <w:rFonts w:ascii="Arial" w:cs="Arial" w:eastAsia="Arial" w:hAnsi="Arial"/>
          <w:sz w:val="19"/>
          <w:szCs w:val="19"/>
          <w:color w:val="auto"/>
        </w:rPr>
      </w:pPr>
    </w:p>
    <w:p>
      <w:pPr>
        <w:jc w:val="both"/>
        <w:ind w:left="660" w:firstLine="440"/>
        <w:spacing w:after="0" w:line="253" w:lineRule="auto"/>
        <w:tabs>
          <w:tab w:leader="none" w:pos="1362" w:val="left"/>
        </w:tabs>
        <w:numPr>
          <w:ilvl w:val="1"/>
          <w:numId w:val="62"/>
        </w:numPr>
        <w:rPr>
          <w:rFonts w:ascii="Arial" w:cs="Arial" w:eastAsia="Arial" w:hAnsi="Arial"/>
          <w:sz w:val="22"/>
          <w:szCs w:val="22"/>
          <w:color w:val="auto"/>
        </w:rPr>
      </w:pPr>
      <w:r>
        <w:rPr>
          <w:rFonts w:ascii="Arial" w:cs="Arial" w:eastAsia="Arial" w:hAnsi="Arial"/>
          <w:sz w:val="22"/>
          <w:szCs w:val="22"/>
          <w:color w:val="auto"/>
        </w:rPr>
        <w:t>each Borrowing denominated in a Foreign Currency as of the date two (2) Business Days prior to the date of such Borrowing (or, in the case of a Canadian Prime Rate Borrowing, as of the date of receipt of the request for such Loan) or, if applicable, the date of conversion/continuation of any such Borrowing;</w:t>
      </w:r>
    </w:p>
    <w:p>
      <w:pPr>
        <w:spacing w:after="0" w:line="185" w:lineRule="exact"/>
        <w:rPr>
          <w:rFonts w:ascii="Arial" w:cs="Arial" w:eastAsia="Arial" w:hAnsi="Arial"/>
          <w:sz w:val="22"/>
          <w:szCs w:val="22"/>
          <w:color w:val="auto"/>
        </w:rPr>
      </w:pPr>
    </w:p>
    <w:p>
      <w:pPr>
        <w:ind w:left="660" w:firstLine="380"/>
        <w:spacing w:after="0" w:line="263" w:lineRule="auto"/>
        <w:tabs>
          <w:tab w:leader="none" w:pos="1362"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LC Exposure as of the date of each request for the issuance, amendment, renewal or extension of any Letter of Credit; and</w:t>
      </w:r>
    </w:p>
    <w:p>
      <w:pPr>
        <w:spacing w:after="0" w:line="174" w:lineRule="exact"/>
        <w:rPr>
          <w:rFonts w:ascii="Arial" w:cs="Arial" w:eastAsia="Arial" w:hAnsi="Arial"/>
          <w:sz w:val="22"/>
          <w:szCs w:val="22"/>
          <w:color w:val="auto"/>
        </w:rPr>
      </w:pPr>
    </w:p>
    <w:p>
      <w:pPr>
        <w:jc w:val="both"/>
        <w:ind w:left="660" w:firstLine="320"/>
        <w:spacing w:after="0" w:line="253" w:lineRule="auto"/>
        <w:tabs>
          <w:tab w:leader="none" w:pos="136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all outstanding Revolving Credit Exposure on and as of the last Business Day of each calendar quarter and, during the continuation of an Event of Default, on any other Business Day elected by the Administrative Agent in its discretion or upon instruction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11" w:name="page112"/>
    <w:bookmarkEnd w:id="111"/>
    <w:p>
      <w:pPr>
        <w:jc w:val="both"/>
        <w:ind w:firstLine="648"/>
        <w:spacing w:after="0" w:line="253" w:lineRule="auto"/>
        <w:rPr>
          <w:sz w:val="20"/>
          <w:szCs w:val="20"/>
          <w:color w:val="auto"/>
        </w:rPr>
      </w:pPr>
      <w:r>
        <w:rPr>
          <w:rFonts w:ascii="Arial" w:cs="Arial" w:eastAsia="Arial" w:hAnsi="Arial"/>
          <w:sz w:val="22"/>
          <w:szCs w:val="22"/>
          <w:color w:val="auto"/>
        </w:rPr>
        <w:t xml:space="preserve">Each day upon or as of which the Administrative Agent determines Equivalent Amounts as described in the preceding clauses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is herein described as a “</w:t>
      </w:r>
      <w:r>
        <w:rPr>
          <w:rFonts w:ascii="Arial" w:cs="Arial" w:eastAsia="Arial" w:hAnsi="Arial"/>
          <w:sz w:val="22"/>
          <w:szCs w:val="22"/>
          <w:u w:val="single" w:color="auto"/>
          <w:color w:val="auto"/>
        </w:rPr>
        <w:t>Computation Date</w:t>
      </w:r>
      <w:r>
        <w:rPr>
          <w:rFonts w:ascii="Arial" w:cs="Arial" w:eastAsia="Arial" w:hAnsi="Arial"/>
          <w:sz w:val="22"/>
          <w:szCs w:val="22"/>
          <w:color w:val="auto"/>
        </w:rPr>
        <w:t>” with respect to each Borrowing, Letter of Credit or LC Exposure for which an Equivalent Amount is determined on or as of such day.</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a Loan denominated in U.S.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is intended to represent the rate at which contributing banks may obtain short-term borrowings from each other in the London interbank market. On March 5, 2021, the U.K. Financial Conduct Authority (the “</w:t>
      </w:r>
      <w:r>
        <w:rPr>
          <w:rFonts w:ascii="Arial" w:cs="Arial" w:eastAsia="Arial" w:hAnsi="Arial"/>
          <w:sz w:val="19"/>
          <w:szCs w:val="19"/>
          <w:u w:val="single" w:color="auto"/>
          <w:color w:val="auto"/>
        </w:rPr>
        <w:t>FCA</w:t>
      </w:r>
      <w:r>
        <w:rPr>
          <w:rFonts w:ascii="Arial" w:cs="Arial" w:eastAsia="Arial" w:hAnsi="Arial"/>
          <w:sz w:val="19"/>
          <w:szCs w:val="19"/>
          <w:color w:val="auto"/>
        </w:rPr>
        <w:t>”) publicly announced that:</w:t>
      </w:r>
    </w:p>
    <w:p>
      <w:pPr>
        <w:spacing w:after="0" w:line="4" w:lineRule="exact"/>
        <w:rPr>
          <w:sz w:val="20"/>
          <w:szCs w:val="20"/>
          <w:color w:val="auto"/>
        </w:rPr>
      </w:pPr>
    </w:p>
    <w:p>
      <w:pPr>
        <w:jc w:val="both"/>
        <w:ind w:firstLine="8"/>
        <w:spacing w:after="0" w:line="281" w:lineRule="auto"/>
        <w:tabs>
          <w:tab w:leader="none" w:pos="306" w:val="left"/>
        </w:tabs>
        <w:numPr>
          <w:ilvl w:val="0"/>
          <w:numId w:val="63"/>
        </w:numPr>
        <w:rPr>
          <w:rFonts w:ascii="Arial" w:cs="Arial" w:eastAsia="Arial" w:hAnsi="Arial"/>
          <w:sz w:val="19"/>
          <w:szCs w:val="19"/>
          <w:color w:val="auto"/>
        </w:rPr>
      </w:pPr>
      <w:r>
        <w:rPr>
          <w:rFonts w:ascii="Arial" w:cs="Arial" w:eastAsia="Arial" w:hAnsi="Arial"/>
          <w:sz w:val="19"/>
          <w:szCs w:val="19"/>
          <w:color w:val="auto"/>
        </w:rPr>
        <w:t>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w:t>
      </w:r>
    </w:p>
    <w:p>
      <w:pPr>
        <w:spacing w:after="0" w:line="2" w:lineRule="exact"/>
        <w:rPr>
          <w:rFonts w:ascii="Arial" w:cs="Arial" w:eastAsia="Arial" w:hAnsi="Arial"/>
          <w:sz w:val="19"/>
          <w:szCs w:val="19"/>
          <w:color w:val="auto"/>
        </w:rPr>
      </w:pPr>
    </w:p>
    <w:p>
      <w:pPr>
        <w:jc w:val="both"/>
        <w:ind w:firstLine="8"/>
        <w:spacing w:after="0" w:line="283" w:lineRule="auto"/>
        <w:tabs>
          <w:tab w:leader="none" w:pos="3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immediately after June 30, 2023, publication of the overnight and 12-month U.S. Dollar LIBOR settings will permanently cease; (c)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or an Early Opt-in Election,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provide a mechanism for determining an alternative rate of interest. The Administrative Agent will promptly notify the Company, pursuant to </w:t>
      </w:r>
      <w:r>
        <w:rPr>
          <w:rFonts w:ascii="Arial" w:cs="Arial" w:eastAsia="Arial" w:hAnsi="Arial"/>
          <w:sz w:val="19"/>
          <w:szCs w:val="19"/>
          <w:u w:val="single" w:color="auto"/>
          <w:color w:val="auto"/>
        </w:rPr>
        <w:t>Section 2.14(f)</w:t>
      </w:r>
      <w:r>
        <w:rPr>
          <w:rFonts w:ascii="Arial" w:cs="Arial" w:eastAsia="Arial" w:hAnsi="Arial"/>
          <w:sz w:val="19"/>
          <w:szCs w:val="19"/>
          <w:color w:val="auto"/>
        </w:rPr>
        <w:t>,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LIBOR or other rates in the definition of “LIBO Rate” (or “EURIBOR Rate”, as applicable) or with respect to any alternative or successor rate thereto, or replacement rate thereof (including, without limitation, any such alternative, successor or replacement rate implemented pursuant to Section 2.14(c) or (d), whether upon the occurrence of a Benchmark Transition Event, a Term SOFR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12" w:name="page113"/>
    <w:bookmarkEnd w:id="112"/>
    <w:p>
      <w:pPr>
        <w:jc w:val="both"/>
        <w:spacing w:after="0" w:line="292" w:lineRule="auto"/>
        <w:rPr>
          <w:sz w:val="20"/>
          <w:szCs w:val="20"/>
          <w:color w:val="auto"/>
        </w:rPr>
      </w:pPr>
      <w:r>
        <w:rPr>
          <w:rFonts w:ascii="Arial" w:cs="Arial" w:eastAsia="Arial" w:hAnsi="Arial"/>
          <w:sz w:val="19"/>
          <w:szCs w:val="19"/>
          <w:color w:val="auto"/>
        </w:rPr>
        <w:t xml:space="preserve">Event or an Early Opt-in Election, and the implementation of any Benchmark Replacement Conforming Changes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including without limitation, whether the composition or characteristics of any such alternative, successor or replacement reference rate will be similar to, or produce the same value or economic equivalence of, the LIBO Rate (or the EURIBOR Rate) or have the same volume or liquidity as did the London interbank offered rate (or the euro interbank offered rate, as applicable) prior to its discontinuance or unavailability. The Administrative Agent and its affiliates and/or other related entities may engage in transactions that affect the calculation of any alternate, successor or alternative rate (including any Benchmark Replacement) and/or any relevant adjustments thereto, in each case, in a manner adverse to the Borrowers.</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Letter of Credit Amounts</w:t>
      </w:r>
      <w:r>
        <w:rPr>
          <w:rFonts w:ascii="Arial" w:cs="Arial" w:eastAsia="Arial" w:hAnsi="Arial"/>
          <w:sz w:val="22"/>
          <w:szCs w:val="22"/>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if any asset, right, obligation or liability of any Person becomes the asset, right, obligation or liability of a different Person, then it shall be deemed to have been transferred from the original Person to the subsequent Person, and if any new Person comes into existence, such new Person shall be deemed to have been organized and acquired on the first date of its existence by the holders of its Equity Interests at such time.</w:t>
      </w:r>
    </w:p>
    <w:p>
      <w:pPr>
        <w:spacing w:after="0" w:line="14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The Credits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Loans and Revolving Commitments</w:t>
      </w:r>
      <w:r>
        <w:rPr>
          <w:rFonts w:ascii="Arial" w:cs="Arial" w:eastAsia="Arial" w:hAnsi="Arial"/>
          <w:sz w:val="19"/>
          <w:szCs w:val="19"/>
          <w:color w:val="auto"/>
        </w:rPr>
        <w:t xml:space="preserve">. Subject to the terms and conditions set forth herein, each Lender agrees to make Revolving Loans in Canadian Dollars to the Canadian Borrowers, Revolving Loans in U.S. Dollars and Foreign Currencies to the Company, Revolving Loans in Australian Dollars to the Australian Borrower and Revolving Loans in Euros or Sterling to the Euro/Sterling Borrower, in each case, from time to time during the Availability Period in an aggregate principal amount that will not result in such Lender’s Revolving Credit Exposure exceeding such Lender’s Revolving Commitment, the total Revolving Credit Exposure exceeding the aggregate Revolving Commitments or the Foreign Currency Exposure exceeding the Foreign Currency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or anything else to the contrary contained herein, no Revolving Loans shall be permitted to be made during the Covenant Relief Period. Within the foregoing limits and subject to the terms and conditions set forth in this Agreement, the Borrowers may borrow, prepay and reborrow Revolving Loans.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13" w:name="page114"/>
    <w:bookmarkEnd w:id="113"/>
    <w:p>
      <w:pPr>
        <w:jc w:val="both"/>
        <w:ind w:firstLine="1304"/>
        <w:spacing w:after="0" w:line="248" w:lineRule="auto"/>
        <w:tabs>
          <w:tab w:leader="none" w:pos="19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Each Revolving Loan shall be made as part of a Borrowing consisting of Revolving Loans made by the Lenders ratably in accordance with their Applicable Percentages. The failure of any Lender to make any Revolving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Revolving Commitments of the Lenders are several and no Lender shall be responsible for any other Lender’s failure to make Revolving Loans as required.</w:t>
      </w:r>
    </w:p>
    <w:p>
      <w:pPr>
        <w:spacing w:after="0" w:line="191" w:lineRule="exact"/>
        <w:rPr>
          <w:rFonts w:ascii="Arial" w:cs="Arial" w:eastAsia="Arial" w:hAnsi="Arial"/>
          <w:sz w:val="22"/>
          <w:szCs w:val="22"/>
          <w:color w:val="auto"/>
        </w:rPr>
      </w:pPr>
    </w:p>
    <w:p>
      <w:pPr>
        <w:jc w:val="both"/>
        <w:ind w:firstLine="1304"/>
        <w:spacing w:after="0" w:line="258" w:lineRule="auto"/>
        <w:tabs>
          <w:tab w:leader="none" w:pos="1944"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each Revolving Borrowing denominated in Canadian Dollars shall be comprised entirely of Canadian Prime Rate Loans or CDOR Loans as the Company may request in accordance herewith, each Revolving Borrowing denominated in U.S. Dollars shall be comprised entirely of ABR Loans or Eurocurrency Loans as the Company may request in accordance herewith, each Revolving Loan denominated in Euros shall be comprised entirely of EURIBOR Loans and each Revolving Loan denominated in a Foreign Currency (other than Euros and Canadian Dollars) shall be comprised entirely of Eurocurrency Loans. Each Swingline Loan denominated in Canadian Dollars shall be a Canadian Prime Rate Loan and each Swingline Loan denominated in U.S. Dollars shall be an ABR Loan. Each Lender at its option may make any Eurocurrency Loan, EURIBOR Loan or CDOR Loan by causing any domestic or foreign branch or Affiliate of such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Borrowers to repay such Loan in accordance with the terms of this Agreement.</w:t>
      </w:r>
    </w:p>
    <w:p>
      <w:pPr>
        <w:spacing w:after="0" w:line="212" w:lineRule="exact"/>
        <w:rPr>
          <w:rFonts w:ascii="Arial" w:cs="Arial" w:eastAsia="Arial" w:hAnsi="Arial"/>
          <w:sz w:val="21"/>
          <w:szCs w:val="21"/>
          <w:color w:val="auto"/>
        </w:rPr>
      </w:pPr>
    </w:p>
    <w:p>
      <w:pPr>
        <w:jc w:val="both"/>
        <w:ind w:firstLine="1304"/>
        <w:spacing w:after="0" w:line="288" w:lineRule="auto"/>
        <w:tabs>
          <w:tab w:leader="none" w:pos="19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CDOR Borrowing, Eurocurrency Borrowing or EURIBOR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$100,000 and not less than $100,000, and at the time that each Canadian Prime Rate Borrowing is made, such Borrowing shall be in an aggregate amount that is an integral multiple of Cdn$100,000 and not less than Cdn$100,000;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or Canadian Prime Rate Revolving Borrowing may be in an aggregate amount that is equal to the entire unused balance of the aggregate Revolving Commitments, that which is required to repay a Swingline Loan or that which is required to finance the reimbursement of an LC Disbursement as contemplated by </w:t>
      </w:r>
      <w:r>
        <w:rPr>
          <w:rFonts w:ascii="Arial" w:cs="Arial" w:eastAsia="Arial" w:hAnsi="Arial"/>
          <w:sz w:val="19"/>
          <w:szCs w:val="19"/>
          <w:u w:val="single" w:color="auto"/>
          <w:color w:val="auto"/>
        </w:rPr>
        <w:t>Section 2.06(e)</w:t>
      </w:r>
      <w:r>
        <w:rPr>
          <w:rFonts w:ascii="Arial" w:cs="Arial" w:eastAsia="Arial" w:hAnsi="Arial"/>
          <w:sz w:val="19"/>
          <w:szCs w:val="19"/>
          <w:color w:val="auto"/>
        </w:rPr>
        <w:t>. Each Swingline Loan shall be in an amount not less than $100,000 or Cdn$100,000, as applicable. Borrowings of more than one Type and Class may be outstanding at the same time.</w:t>
      </w:r>
    </w:p>
    <w:p>
      <w:pPr>
        <w:spacing w:after="0" w:line="186"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Borrowers shall not be entitled to request or to elect to convert or continue any Revolving Borrowing if the Interest Period requested with respect thereto would end after the Termination Date.</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Revolving Borrowings</w:t>
      </w:r>
      <w:r>
        <w:rPr>
          <w:rFonts w:ascii="Arial" w:cs="Arial" w:eastAsia="Arial" w:hAnsi="Arial"/>
          <w:sz w:val="22"/>
          <w:szCs w:val="22"/>
          <w:color w:val="auto"/>
        </w:rPr>
        <w:t>. To request a Revolving Borrowing, the Company shall notify the Administrative Agent of such request by telephone in the case of a Borrowing in U.S. Dollars and in writing in the case of a Borrowing in a Foreign Currency in the case of a CDOR Borrowing or Eurocurrency Borrowing denominated in U.S. Dollars, not later than 11:00 a.m., New York City time, three (3) Business Days before the date of the proposed Borrowing, in the case of a Eurocurrency Borrowing denominated in a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45" w:lineRule="auto"/>
        <w:rPr>
          <w:sz w:val="20"/>
          <w:szCs w:val="20"/>
          <w:color w:val="auto"/>
        </w:rPr>
      </w:pPr>
      <w:r>
        <w:rPr>
          <w:rFonts w:ascii="Arial" w:cs="Arial" w:eastAsia="Arial" w:hAnsi="Arial"/>
          <w:sz w:val="22"/>
          <w:szCs w:val="22"/>
          <w:color w:val="auto"/>
        </w:rPr>
        <w:t xml:space="preserve">Currency or a EURIBOR Borrowing, not later than 11:00 a.m., Local Time, three Business Days before the date of the proposed Borrowing, or in the case of a Canadian Prime Rate Borrowing or an ABR Borrowing, not later than 11:00 a.m., New York City time, one Business Day before the date of the proposed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notice of a Canadian Prime Rate Borrowing or an ABR Revolving Borrowing to finance the reimbursement of an LC Disbursement as contemplated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2.06(e)</w:t>
      </w:r>
      <w:r>
        <w:rPr>
          <w:rFonts w:ascii="Arial" w:cs="Arial" w:eastAsia="Arial" w:hAnsi="Arial"/>
          <w:sz w:val="22"/>
          <w:szCs w:val="22"/>
          <w:color w:val="auto"/>
        </w:rPr>
        <w:t xml:space="preserve"> may be given not later than 10:00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Company. Each such telephonic and written Borrowing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00"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name of the Borrower that will receive the requested Borrowing;</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currency and the aggregate amount of the requested Borrowing;</w:t>
      </w:r>
    </w:p>
    <w:p>
      <w:pPr>
        <w:spacing w:after="0" w:line="246" w:lineRule="exact"/>
        <w:rPr>
          <w:rFonts w:ascii="Arial" w:cs="Arial" w:eastAsia="Arial" w:hAnsi="Arial"/>
          <w:sz w:val="22"/>
          <w:szCs w:val="22"/>
          <w:color w:val="auto"/>
        </w:rPr>
      </w:pPr>
    </w:p>
    <w:p>
      <w:pPr>
        <w:ind w:left="640" w:hanging="308"/>
        <w:spacing w:after="0"/>
        <w:tabs>
          <w:tab w:leader="none" w:pos="6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46" w:lineRule="exact"/>
        <w:rPr>
          <w:rFonts w:ascii="Arial" w:cs="Arial" w:eastAsia="Arial" w:hAnsi="Arial"/>
          <w:sz w:val="22"/>
          <w:szCs w:val="22"/>
          <w:color w:val="auto"/>
        </w:rPr>
      </w:pPr>
    </w:p>
    <w:p>
      <w:pPr>
        <w:ind w:left="660" w:hanging="328"/>
        <w:spacing w:after="0" w:line="263" w:lineRule="auto"/>
        <w:tabs>
          <w:tab w:leader="none" w:pos="638" w:val="left"/>
        </w:tabs>
        <w:numPr>
          <w:ilvl w:val="0"/>
          <w:numId w:val="65"/>
        </w:numPr>
        <w:rPr>
          <w:rFonts w:ascii="Arial" w:cs="Arial" w:eastAsia="Arial" w:hAnsi="Arial"/>
          <w:sz w:val="22"/>
          <w:szCs w:val="22"/>
          <w:color w:val="auto"/>
        </w:rPr>
      </w:pPr>
      <w:r>
        <w:rPr>
          <w:rFonts w:ascii="Arial" w:cs="Arial" w:eastAsia="Arial" w:hAnsi="Arial"/>
          <w:sz w:val="22"/>
          <w:szCs w:val="22"/>
          <w:color w:val="auto"/>
        </w:rPr>
        <w:t>whether such Borrowing is to be an ABR Borrowing, a Canadian Prime Rate Borrowing, a CDOR Borrowing, a Eurocurrency Borrowing or a EURIBOR Borrowing, as applicable;</w:t>
      </w:r>
    </w:p>
    <w:p>
      <w:pPr>
        <w:spacing w:after="0" w:line="201" w:lineRule="exact"/>
        <w:rPr>
          <w:rFonts w:ascii="Arial" w:cs="Arial" w:eastAsia="Arial" w:hAnsi="Arial"/>
          <w:sz w:val="22"/>
          <w:szCs w:val="22"/>
          <w:color w:val="auto"/>
        </w:rPr>
      </w:pPr>
    </w:p>
    <w:p>
      <w:pPr>
        <w:ind w:left="660" w:hanging="328"/>
        <w:spacing w:after="0" w:line="287" w:lineRule="auto"/>
        <w:tabs>
          <w:tab w:leader="none" w:pos="646"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 the case of a CDOR Borrowing, a Eurocurrency Borrowing or a EURIBOR Borrowing, the initial Interest Period to be applicable thereto, which shall be a period contemplated by the definition of the term “Interest Period”; and</w:t>
      </w:r>
    </w:p>
    <w:p>
      <w:pPr>
        <w:spacing w:after="0" w:line="191" w:lineRule="exact"/>
        <w:rPr>
          <w:rFonts w:ascii="Arial" w:cs="Arial" w:eastAsia="Arial" w:hAnsi="Arial"/>
          <w:sz w:val="21"/>
          <w:szCs w:val="21"/>
          <w:color w:val="auto"/>
        </w:rPr>
      </w:pPr>
    </w:p>
    <w:p>
      <w:pPr>
        <w:ind w:left="660" w:hanging="328"/>
        <w:spacing w:after="0" w:line="263" w:lineRule="auto"/>
        <w:tabs>
          <w:tab w:leader="none" w:pos="652"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If no election as to the Type of Revolving Borrowing is specified, then the requested Revolving Borrowing shall be in the case of a Borrowing denominated in U.S. Dollars, an ABR Borrowing, in the case of a Borrowing denominated in Canadian Dollars, a Canadian Prime Rate Borrowing, in the case of a Borrowing denominated in Euros, a EURIBOR Borrowing and in the case of a Borrowing denominated in any other Foreign Currency, a Eurocurrency Borrowing. If no Interest Period is specified with respect to any requested CDOR Borrowing, Eurocurrency Borrowing or EURIBOR Borrowing, then the Company shall be deemed to have selected an Interest Period of one month’s duration. Promptly following receipt of a Borrowing Request in accordance with this Section, the Administrative Agent shall advise each Lender of the details thereof and of the amount of such Lender’s Revolving Loan to be made as part of the requested Borrowing.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Increase in Revolving Commitments</w:t>
      </w:r>
      <w:r>
        <w:rPr>
          <w:rFonts w:ascii="Arial" w:cs="Arial" w:eastAsia="Arial" w:hAnsi="Arial"/>
          <w:sz w:val="22"/>
          <w:szCs w:val="22"/>
          <w:color w:val="auto"/>
        </w:rPr>
        <w:t>.</w:t>
      </w:r>
    </w:p>
    <w:p>
      <w:pPr>
        <w:spacing w:after="0" w:line="220" w:lineRule="exact"/>
        <w:rPr>
          <w:sz w:val="20"/>
          <w:szCs w:val="20"/>
          <w:color w:val="auto"/>
        </w:rPr>
      </w:pPr>
    </w:p>
    <w:p>
      <w:pPr>
        <w:ind w:left="660" w:right="20" w:hanging="328"/>
        <w:spacing w:after="0" w:line="263" w:lineRule="auto"/>
        <w:tabs>
          <w:tab w:leader="none" w:pos="64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Request for Increase</w:t>
      </w:r>
      <w:r>
        <w:rPr>
          <w:rFonts w:ascii="Arial" w:cs="Arial" w:eastAsia="Arial" w:hAnsi="Arial"/>
          <w:sz w:val="22"/>
          <w:szCs w:val="22"/>
          <w:color w:val="auto"/>
        </w:rPr>
        <w:t>. Provided there exists no Default, the Company may, at any time after the expiration of the Covenant Relief Period and from time to time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15" w:name="page116"/>
    <w:bookmarkEnd w:id="115"/>
    <w:p>
      <w:pPr>
        <w:jc w:val="both"/>
        <w:ind w:left="320"/>
        <w:spacing w:after="0" w:line="283" w:lineRule="auto"/>
        <w:rPr>
          <w:sz w:val="20"/>
          <w:szCs w:val="20"/>
          <w:color w:val="auto"/>
        </w:rPr>
      </w:pPr>
      <w:r>
        <w:rPr>
          <w:rFonts w:ascii="Arial" w:cs="Arial" w:eastAsia="Arial" w:hAnsi="Arial"/>
          <w:sz w:val="19"/>
          <w:szCs w:val="19"/>
          <w:color w:val="auto"/>
        </w:rPr>
        <w:t>request, by notice to the Administrative Agent, the Administrative Agent’s approval of an increase of the aggregate Revolving Commitments (a “</w:t>
      </w:r>
      <w:r>
        <w:rPr>
          <w:rFonts w:ascii="Arial" w:cs="Arial" w:eastAsia="Arial" w:hAnsi="Arial"/>
          <w:sz w:val="19"/>
          <w:szCs w:val="19"/>
          <w:u w:val="single" w:color="auto"/>
          <w:color w:val="auto"/>
        </w:rPr>
        <w:t>Revolving Commitment Increase</w:t>
      </w:r>
      <w:r>
        <w:rPr>
          <w:rFonts w:ascii="Arial" w:cs="Arial" w:eastAsia="Arial" w:hAnsi="Arial"/>
          <w:sz w:val="19"/>
          <w:szCs w:val="19"/>
          <w:color w:val="auto"/>
        </w:rPr>
        <w:t xml:space="preserve">”) within the limitations hereafter described, which request shall set forth the amount of each such requested Revolving Commitment Increase. The Administrative Agent shall notify all the Lenders of any such request and provide them the first right to participate in the same proportions that their respective Applicable Percentages bear to those of all the Lenders who elect to participate therein. Within twenty (20) days of such request, the Administrative Agent shall advise the Company of its approval or disapproval of such request; failure to so advise the Company shall constitute disapproval. If the Administrative Agent approves any such Revolving Commitment Increase, then the aggregate Revolving Commitments may be so increased (up to the amount of such approved Revolving Commitment Increase) by having one or more of the Lenders increase the amount of their then existing Revolving Commitments and, if the existing Lenders do not choose to participate to the extent necessary for the applicable Revolving Commitment Increase to be provided entirely by the existing Lenders, by having one or more new banks or financial institutions become the Lenders party to this Agreement. Any Revolving Commitment Increase shall be subject to the following limitations and conditions: any Revolving Commitment Increase shall not be less than $10,000,000 (and shall be in integral multiples of $10,000,000 if in excess thereof); no Revolving Commitment Increase shall increase the aggregate Revolving Commitments to an amount in excess of $250,000,000;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9.04(b)</w:t>
      </w:r>
      <w:r>
        <w:rPr>
          <w:rFonts w:ascii="Arial" w:cs="Arial" w:eastAsia="Arial" w:hAnsi="Arial"/>
          <w:sz w:val="19"/>
          <w:szCs w:val="19"/>
          <w:color w:val="auto"/>
        </w:rPr>
        <w:t xml:space="preserve"> shall apply in respect of any Increasing Lender that is not a Lender before the Revolving Commitment Increase, as if such Increasing Lender were an assignee of a Revolving Commitment, the Borrowers shall have executed and delivered to the Administrative Agent such Note or Notes as the applicable Increasing Lender requests to reflect such Revolving Commitment Increase (or, in the case of a new Lender, such Lender’s Revolving Commitment); the Company shall have delivered a certificate executed by an Authorized Officer of the Company and dated the effective date of such Revolving Commitment Increase, to the effect that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(with all references in such paragraphs to a Borrowing being deemed to be references to such Revolving Commitment Increase and attaching resolutions of the Borrowers approving such Revolving Commitment Increase); the </w:t>
      </w:r>
      <w:r>
        <w:rPr>
          <w:rFonts w:ascii="Arial" w:cs="Arial" w:eastAsia="Arial" w:hAnsi="Arial"/>
          <w:sz w:val="17"/>
          <w:szCs w:val="17"/>
          <w:color w:val="auto"/>
        </w:rPr>
        <w:t>Subsidiary</w:t>
      </w:r>
      <w:r>
        <w:rPr>
          <w:rFonts w:ascii="Arial" w:cs="Arial" w:eastAsia="Arial" w:hAnsi="Arial"/>
          <w:sz w:val="19"/>
          <w:szCs w:val="19"/>
          <w:color w:val="auto"/>
        </w:rPr>
        <w:t xml:space="preserve"> Guarantors shall have consented in writing to the Revolving Commitment Increase and shall have agreed in writing that their respective Subsidiary Guaranties continue in full force and effect; and the Company, the Subsidiary Guarantors and each Increasing Lender shall have executed and delivered such other instruments and documents as the Administrative Agent shall have reasonably requested in connection with such Revolving Commitment Increase, in the case of the documents required under clauses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in form and substance reasonably satisfactory to the Administrative Agent. The Administrative Agent shall provide written notice to all of the Lenders hereunder of any Revolving Commitment Increase.</w:t>
      </w:r>
    </w:p>
    <w:p>
      <w:pPr>
        <w:spacing w:after="0" w:line="200" w:lineRule="exact"/>
        <w:rPr>
          <w:sz w:val="20"/>
          <w:szCs w:val="20"/>
          <w:color w:val="auto"/>
        </w:rPr>
      </w:pPr>
    </w:p>
    <w:p>
      <w:pPr>
        <w:spacing w:after="0" w:line="267" w:lineRule="exact"/>
        <w:rPr>
          <w:sz w:val="20"/>
          <w:szCs w:val="20"/>
          <w:color w:val="auto"/>
        </w:rPr>
      </w:pPr>
    </w:p>
    <w:p>
      <w:pPr>
        <w:jc w:val="both"/>
        <w:ind w:left="320" w:hanging="319"/>
        <w:spacing w:after="0" w:line="253" w:lineRule="auto"/>
        <w:tabs>
          <w:tab w:leader="none" w:pos="3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Revolving Loans by Increasing Lenders</w:t>
      </w:r>
      <w:r>
        <w:rPr>
          <w:rFonts w:ascii="Arial" w:cs="Arial" w:eastAsia="Arial" w:hAnsi="Arial"/>
          <w:sz w:val="22"/>
          <w:szCs w:val="22"/>
          <w:color w:val="auto"/>
        </w:rPr>
        <w:t>. Upon the effective date of any increase in the aggregate Revolving Commitments pursuant to the provisions hereof, which effective date shall be mutually agreed upon by the Company, each Increasing Lender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900"/>
          </w:cols>
          <w:pgMar w:left="660" w:top="1428" w:right="339" w:bottom="1440" w:gutter="0" w:footer="0" w:header="0"/>
        </w:sectPr>
      </w:pPr>
    </w:p>
    <w:bookmarkStart w:id="116" w:name="page117"/>
    <w:bookmarkEnd w:id="116"/>
    <w:p>
      <w:pPr>
        <w:jc w:val="both"/>
        <w:ind w:left="660"/>
        <w:spacing w:after="0" w:line="286" w:lineRule="auto"/>
        <w:rPr>
          <w:sz w:val="20"/>
          <w:szCs w:val="20"/>
          <w:color w:val="auto"/>
        </w:rPr>
      </w:pPr>
      <w:r>
        <w:rPr>
          <w:rFonts w:ascii="Arial" w:cs="Arial" w:eastAsia="Arial" w:hAnsi="Arial"/>
          <w:sz w:val="19"/>
          <w:szCs w:val="19"/>
          <w:color w:val="auto"/>
        </w:rPr>
        <w:t xml:space="preserve">Administrative Agent, each Increasing Lender shall make a payment to the Administrative Agent in an amount sufficient, upon the application of such payments by all Increasing Lenders to the reduction of the outstanding Revolving Loans held by the Lenders, to cause the principal amount outstanding under the Revolving Loans made by each Lender (including, as applicable, any Increasing Lender) to be in the amount of its Applicable Percentage (upon the effective date of such increase). The Borrowers hereby irrevocably authorize each Increasing Lender to fund to the Administrative Agent the payment required to be made pursuant to the immediately preceding sentence for application to the reduction of the outstanding Revolving Loans held by the other the Lenders hereunder. If, as a result of the repayment of the Revolving Loans provided for in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any payment of a Eurocurrency Borrowing, CDOR Borrowing or EURIBOR Borrowing occurs on a day which is not the last day of the applicable Interest Period, the Borrowers will pay to the Administrative Agent for the benefit of any of the Lenders holding such Borrowing any loss or cost incurred by such Lender resulting therefrom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Upon the effective date of such increase in the aggregate Revolving Commitments, all Eurocurrency Loans denominated in U.S. Dollars outstanding hereunder (including any Revolving Loans made by the Increasing Lenders on such date) shall be ABR Loans, subject to the Company’s right to convert the same to Eurocurrency Loans on or after such date in accordance with the provisions of </w:t>
      </w:r>
      <w:r>
        <w:rPr>
          <w:rFonts w:ascii="Arial" w:cs="Arial" w:eastAsia="Arial" w:hAnsi="Arial"/>
          <w:sz w:val="19"/>
          <w:szCs w:val="19"/>
          <w:u w:val="single" w:color="auto"/>
          <w:color w:val="auto"/>
        </w:rPr>
        <w:t>Section 2.08</w:t>
      </w:r>
      <w:r>
        <w:rPr>
          <w:rFonts w:ascii="Arial" w:cs="Arial" w:eastAsia="Arial" w:hAnsi="Arial"/>
          <w:sz w:val="19"/>
          <w:szCs w:val="19"/>
          <w:color w:val="auto"/>
        </w:rPr>
        <w:t>.</w:t>
      </w:r>
    </w:p>
    <w:p>
      <w:pPr>
        <w:spacing w:after="0" w:line="189" w:lineRule="exact"/>
        <w:rPr>
          <w:sz w:val="20"/>
          <w:szCs w:val="20"/>
          <w:color w:val="auto"/>
        </w:rPr>
      </w:pPr>
    </w:p>
    <w:p>
      <w:pPr>
        <w:jc w:val="both"/>
        <w:ind w:left="660" w:hanging="328"/>
        <w:spacing w:after="0" w:line="292" w:lineRule="auto"/>
        <w:tabs>
          <w:tab w:leader="none" w:pos="64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Increasing Lenders’ Participation in Letters of Credit</w:t>
      </w:r>
      <w:r>
        <w:rPr>
          <w:rFonts w:ascii="Arial" w:cs="Arial" w:eastAsia="Arial" w:hAnsi="Arial"/>
          <w:sz w:val="19"/>
          <w:szCs w:val="19"/>
          <w:color w:val="auto"/>
        </w:rPr>
        <w:t xml:space="preserve">. Upon the effective date of any increase in the aggregate Revolving Commitments and the making of the Revolving Loans by the Increasing Lenders in accordance with the provisions of </w:t>
      </w:r>
      <w:r>
        <w:rPr>
          <w:rFonts w:ascii="Arial" w:cs="Arial" w:eastAsia="Arial" w:hAnsi="Arial"/>
          <w:sz w:val="19"/>
          <w:szCs w:val="19"/>
          <w:u w:val="single" w:color="auto"/>
          <w:color w:val="auto"/>
        </w:rPr>
        <w:t>Section 2.04(b)</w:t>
      </w:r>
      <w:r>
        <w:rPr>
          <w:rFonts w:ascii="Arial" w:cs="Arial" w:eastAsia="Arial" w:hAnsi="Arial"/>
          <w:sz w:val="19"/>
          <w:szCs w:val="19"/>
          <w:color w:val="auto"/>
        </w:rPr>
        <w:t>, each Increasing Lender shall also be deemed to have irrevocably and unconditionally purchased and received, without recourse or warranty, from the Lenders party to this Agreement immediately prior to the effective date of such increase, an undivided interest and participation in any Letters of Credit then outstanding, ratably, such that each Lender (including each Increasing Lender) holds a participation interest in each such Letter of Credit in proportion equal to its Applicable Percentage upon the effective date of such increase in the aggregate Revolving Commitments.</w:t>
      </w:r>
    </w:p>
    <w:p>
      <w:pPr>
        <w:spacing w:after="0" w:line="177" w:lineRule="exact"/>
        <w:rPr>
          <w:rFonts w:ascii="Arial" w:cs="Arial" w:eastAsia="Arial" w:hAnsi="Arial"/>
          <w:sz w:val="19"/>
          <w:szCs w:val="19"/>
          <w:color w:val="auto"/>
        </w:rPr>
      </w:pPr>
    </w:p>
    <w:p>
      <w:pPr>
        <w:jc w:val="both"/>
        <w:ind w:left="660" w:hanging="328"/>
        <w:spacing w:after="0" w:line="297" w:lineRule="auto"/>
        <w:tabs>
          <w:tab w:leader="none" w:pos="66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 Obligation to Increase Revolving Commitment</w:t>
      </w:r>
      <w:r>
        <w:rPr>
          <w:rFonts w:ascii="Arial" w:cs="Arial" w:eastAsia="Arial" w:hAnsi="Arial"/>
          <w:sz w:val="19"/>
          <w:szCs w:val="19"/>
          <w:color w:val="auto"/>
        </w:rPr>
        <w:t>. Nothing contained herein shall constitute, or otherwise be deemed to be, a commitment or agreement on the part of the Borrowers or the Administrative Agent to give or grant any Lender the right to increase its Revolving Commitment hereunder at any time or a commitment or agreement on the part of any Lender to increase its Revolving Commitment hereunder at any time, and no Revolving Commitment of a Lender shall be increased without its prior written approval, which it may grant or deny in its sole discretion.</w:t>
      </w:r>
    </w:p>
    <w:p>
      <w:pPr>
        <w:spacing w:after="0" w:line="17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jc w:val="both"/>
        <w:ind w:firstLine="1304"/>
        <w:spacing w:after="0" w:line="253" w:lineRule="auto"/>
        <w:tabs>
          <w:tab w:leader="none" w:pos="1932" w:val="left"/>
        </w:tabs>
        <w:numPr>
          <w:ilvl w:val="1"/>
          <w:numId w:val="67"/>
        </w:numPr>
        <w:rPr>
          <w:rFonts w:ascii="Arial" w:cs="Arial" w:eastAsia="Arial" w:hAnsi="Arial"/>
          <w:sz w:val="22"/>
          <w:szCs w:val="22"/>
          <w:color w:val="auto"/>
        </w:rPr>
      </w:pPr>
      <w:r>
        <w:rPr>
          <w:rFonts w:ascii="Arial" w:cs="Arial" w:eastAsia="Arial" w:hAnsi="Arial"/>
          <w:sz w:val="22"/>
          <w:szCs w:val="22"/>
          <w:color w:val="auto"/>
        </w:rPr>
        <w:t>Subject to the terms and conditions set forth herein, the Swingline Lender agrees to make Swingline Loans denominated in Canadian Dollars to the Canadian Borrowers and Swingline Loans denominated in U.S. Dollars or Canadian Dollars to the Company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22"/>
          <w:szCs w:val="22"/>
          <w:color w:val="auto"/>
        </w:rPr>
        <w:t xml:space="preserve">time to time during the Availability Period, in an aggregate principal amount at any time outstanding that will not result in the aggregate principal amount of outstanding Swingline Loans exceeding $30,000,000 or the Swingline Lender’s Revolving Credit Exposure exceeding its Revolving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Swingline Lender shall not be required to make a Swingline Loan to refinance an outstanding Swingline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notwithstanding the foregoing or anything else to the contrary contained herein, no Swingline Loans shall be permitted to be made during the Covenant Relief Period. Within the foregoing limits and subject to the terms and conditions set forth herein, the Swingline Borrowers may borrow, prepay and reborrow Swingline Loans.</w:t>
      </w:r>
    </w:p>
    <w:p>
      <w:pPr>
        <w:spacing w:after="0" w:line="196" w:lineRule="exact"/>
        <w:rPr>
          <w:sz w:val="20"/>
          <w:szCs w:val="20"/>
          <w:color w:val="auto"/>
        </w:rPr>
      </w:pPr>
    </w:p>
    <w:p>
      <w:pPr>
        <w:jc w:val="both"/>
        <w:ind w:firstLine="1304"/>
        <w:spacing w:after="0" w:line="289"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To request a Swingline Loan, the Company shall notify the Administrative Agent of such request by telephone (confirmed by telecopy or electronic mail), not later than 12:00 noon, New York City time, on the day of a proposed Swingline Loan. Each such notice shall be irrevocable and shall specify the requested date (which shall be a Business Day) and amount of the requested Swingline Loan, as well as the name of the Swingline Borrower that will receive the Swingline Loan. The Administrative Agent will promptly advise the Swingline Lender of any such notice received from the Company. The Swingline Lender shall make each Swingline Loan available to the applicable Swingline Borrower by means of a credit to the general deposit account of such Swingline Borrower with the Swingline Lender (or, in the case of a Swingline Loan made to finance the reimbursement of an LC Disbursement as provided in </w:t>
      </w:r>
      <w:r>
        <w:rPr>
          <w:rFonts w:ascii="Arial" w:cs="Arial" w:eastAsia="Arial" w:hAnsi="Arial"/>
          <w:sz w:val="19"/>
          <w:szCs w:val="19"/>
          <w:u w:val="single" w:color="auto"/>
          <w:color w:val="auto"/>
        </w:rPr>
        <w:t>Section 2.06(e)</w:t>
      </w:r>
      <w:r>
        <w:rPr>
          <w:rFonts w:ascii="Arial" w:cs="Arial" w:eastAsia="Arial" w:hAnsi="Arial"/>
          <w:sz w:val="19"/>
          <w:szCs w:val="19"/>
          <w:color w:val="auto"/>
        </w:rPr>
        <w:t>, by remittance to the Issuing Bank) by 5:00 p.m., New York City time, on the requested date of such Swingline Loan.</w:t>
      </w:r>
    </w:p>
    <w:p>
      <w:pPr>
        <w:spacing w:after="0" w:line="183" w:lineRule="exact"/>
        <w:rPr>
          <w:rFonts w:ascii="Arial" w:cs="Arial" w:eastAsia="Arial" w:hAnsi="Arial"/>
          <w:sz w:val="19"/>
          <w:szCs w:val="19"/>
          <w:color w:val="auto"/>
        </w:rPr>
      </w:pPr>
    </w:p>
    <w:p>
      <w:pPr>
        <w:jc w:val="both"/>
        <w:ind w:firstLine="1304"/>
        <w:spacing w:after="0" w:line="285" w:lineRule="auto"/>
        <w:tabs>
          <w:tab w:leader="none" w:pos="19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Revolving Loans made by such Lender (and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246" w:lineRule="auto"/>
        <w:rPr>
          <w:sz w:val="20"/>
          <w:szCs w:val="20"/>
          <w:color w:val="auto"/>
        </w:rPr>
      </w:pPr>
      <w:r>
        <w:rPr>
          <w:rFonts w:ascii="Arial" w:cs="Arial" w:eastAsia="Arial" w:hAnsi="Arial"/>
          <w:sz w:val="22"/>
          <w:szCs w:val="22"/>
          <w:color w:val="auto"/>
        </w:rPr>
        <w:t xml:space="preserve">Lender from the Swingline Borrowers (or other party on behalf of any Swingline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Swingline Borrowers of any default in the payment thereof.</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5" w:lineRule="auto"/>
        <w:tabs>
          <w:tab w:leader="none" w:pos="193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the Company may request the issuance of Letters of Credit for its own account or for the account of any Subsidiary, and denominated in U.S. Dollars or a Foreign Currency, in a form reasonably acceptable to the Administrative Agent and the Issuing Bank, at any time and from time to time during the Availability Period. For the avoidance of doubt, no Borrower other than the Company may request the issuance of Letters of Credit. In the event of any inconsistency between the terms and conditions of this Agreement and the terms and conditions of any Letter of Credit Agreement, the terms and conditions of this Agreement shall control. Each Issuing Bank agrees to issue such Letters of Credit, subject to the terms and conditions set forth herein. Notwithstanding anything herein to the contrary, the Issuing Bank shall have no obligation hereunder to issue, and shall not issue, any Letter of Credit (i) the proceeds of which would be made to any Person (y) to fund any activity or business of or with any Sanctioned Person, or in any Sanctioned Country or (z) in any manner that would result in a violation of any Sanctions by any party to this Agreement, (ii) if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in the case of any Borrower, shall impose upon such Issuing Bank with respect to such Letter of Credit any restriction, reserve or capital or liquidity requirement, or shall impose upon such Issuing Bank any unreimbursed loss, cost or expense, in each case for which such Issuing Bank is not otherwise compensated hereunder, or (iii) if such Letter of Credit is not in the currency approved for issuance by such Issuing Bank. The issuance of Letters of Credit by any Issuing Bank shall be subject to customary procedures of such Issuing Bank.</w:t>
      </w:r>
    </w:p>
    <w:p>
      <w:pPr>
        <w:spacing w:after="0" w:line="162"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Notice of Issuance, Amendment, Renewal, Extension; Certain Conditions</w:t>
      </w:r>
      <w:r>
        <w:rPr>
          <w:rFonts w:ascii="Arial" w:cs="Arial" w:eastAsia="Arial" w:hAnsi="Arial"/>
          <w:sz w:val="22"/>
          <w:szCs w:val="22"/>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19" w:name="page120"/>
    <w:bookmarkEnd w:id="119"/>
    <w:p>
      <w:pPr>
        <w:jc w:val="both"/>
        <w:spacing w:after="0" w:line="284" w:lineRule="auto"/>
        <w:rPr>
          <w:sz w:val="20"/>
          <w:szCs w:val="20"/>
          <w:color w:val="auto"/>
        </w:rPr>
      </w:pPr>
      <w:r>
        <w:rPr>
          <w:rFonts w:ascii="Arial" w:cs="Arial" w:eastAsia="Arial" w:hAnsi="Arial"/>
          <w:sz w:val="19"/>
          <w:szCs w:val="19"/>
          <w:color w:val="auto"/>
        </w:rPr>
        <w:t xml:space="preserve">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 the amount of such Letter of Credit, whether such Letter of Credit is to be denominated in U.S. Dollars or one of the Foreign Currencies in which case such Foreign Currency shall be specified, the name and address of the beneficiary thereof and such other information as shall be necessary to prepare, amend, renew or extend such Letter of Credit. If requested by the Issuing Bank, the Company also shall have entered into a continuing agreement (or other letter of credit agreement) for the issuance of letters of credit and/or submit a letter of credit application, in each case, as required by the Issuing Bank and using the Issuing Bank’s standard form (each, a “</w:t>
      </w:r>
      <w:r>
        <w:rPr>
          <w:rFonts w:ascii="Arial" w:cs="Arial" w:eastAsia="Arial" w:hAnsi="Arial"/>
          <w:sz w:val="19"/>
          <w:szCs w:val="19"/>
          <w:u w:val="single" w:color="auto"/>
          <w:color w:val="auto"/>
        </w:rPr>
        <w:t>Letter of Credit Agreement</w:t>
      </w:r>
      <w:r>
        <w:rPr>
          <w:rFonts w:ascii="Arial" w:cs="Arial" w:eastAsia="Arial" w:hAnsi="Arial"/>
          <w:sz w:val="19"/>
          <w:szCs w:val="19"/>
          <w:color w:val="auto"/>
        </w:rPr>
        <w:t xml:space="preserve">”). In the event of inconsistency between terms of this Agreement and the terms and conditions of any Letter of Credit Agreement, the terms and conditions of this Agreement shall control. A Letter of Credit shall be issued, amended, renewed or extended only if (and upon issuance, amendment, renewal or extension of each Letter of Credit the Company shall be deemed to represent and warrant that), after giving effect to such issuance, amendment, renewal or extension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its Letter of Credit Commitment, (ii) the LC Exposure shall not exceed the total Letter of Credit Commitments, (iii) the LC Exposure shall not exceed the Letter of Credit Sublimit, (iv) the total Revolving Credit Exposures shall not exceed the aggregate Revolving Commitments and (v) the Foreign Currency Exposure shall not exceed the Foreign Currency Sublimit. The Company may, at any time and from time to time, reduce the Letter of Credit Commitment of any Issuing Bank with the consent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reduce the Letter of Credit Commitment of any Issuing Bank if, after giving effect of such reduction, the conditions set forth in clauses (i) through (v) above shall not be satisfied. For the avoidance of doubt, the reduction in JPMorgan Chase’s Letter of Credit Commitment upon the expiration of the Covenant Relief Period as shown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2.01(b)</w:t>
      </w:r>
      <w:r>
        <w:rPr>
          <w:rFonts w:ascii="Arial" w:cs="Arial" w:eastAsia="Arial" w:hAnsi="Arial"/>
          <w:sz w:val="19"/>
          <w:szCs w:val="19"/>
          <w:color w:val="auto"/>
        </w:rPr>
        <w:t xml:space="preserve"> shall not constitute a reduction for purposes of the immediately preceding sentence.</w:t>
      </w:r>
    </w:p>
    <w:p>
      <w:pPr>
        <w:spacing w:after="0" w:line="200" w:lineRule="exact"/>
        <w:rPr>
          <w:sz w:val="20"/>
          <w:szCs w:val="20"/>
          <w:color w:val="auto"/>
        </w:rPr>
      </w:pPr>
    </w:p>
    <w:p>
      <w:pPr>
        <w:spacing w:after="0" w:line="257" w:lineRule="exact"/>
        <w:rPr>
          <w:sz w:val="20"/>
          <w:szCs w:val="20"/>
          <w:color w:val="auto"/>
        </w:rPr>
      </w:pPr>
    </w:p>
    <w:p>
      <w:pPr>
        <w:jc w:val="both"/>
        <w:ind w:firstLine="1304"/>
        <w:spacing w:after="0" w:line="258" w:lineRule="auto"/>
        <w:tabs>
          <w:tab w:leader="none" w:pos="193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Each Letter of Credit shall expire (or be subject to termination by notice from the Issuing Bank to the beneficiary thereof) at or prior to the close of business on the earlier of the date one year after the date of the issuance of such Letter of Credit (or, in the case of any renewal or extension thereof, one year after such renewal or extension), and the date that is five (5) Business Days prior to the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Letter of Credit with a one-year tenor may provide for the renewal thereof for additional one-year periods (which shall in no event extent beyond the date referred to in clause (ii) above, except as hereinafter provided); Letters of Credit may have tenors longer than one year, but in no event longer than three years, so long as the LC Exposure of all such Letters of Credit does not exceed $50,000,000 at any time; and the expiration date of a Letter of Credit may be up to one year later than the date referred to in clause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the Issuing Bank consents to the issuance of such Letter of Credit in its sole discretion, which consent may be subject to, among other things, the provision of cash collateral by the Company in respect of such Letter of Credit in a manner satisfactory to the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20" w:name="page121"/>
    <w:bookmarkEnd w:id="120"/>
    <w:p>
      <w:pPr>
        <w:jc w:val="both"/>
        <w:ind w:firstLine="1304"/>
        <w:spacing w:after="0" w:line="287" w:lineRule="auto"/>
        <w:tabs>
          <w:tab w:leader="none" w:pos="194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85" w:lineRule="exact"/>
        <w:rPr>
          <w:rFonts w:ascii="Arial" w:cs="Arial" w:eastAsia="Arial" w:hAnsi="Arial"/>
          <w:sz w:val="19"/>
          <w:szCs w:val="19"/>
          <w:color w:val="auto"/>
        </w:rPr>
      </w:pPr>
    </w:p>
    <w:p>
      <w:pPr>
        <w:jc w:val="both"/>
        <w:ind w:firstLine="1304"/>
        <w:spacing w:after="0" w:line="284" w:lineRule="auto"/>
        <w:tabs>
          <w:tab w:leader="none" w:pos="193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the Issuing Bank shall make any LC Disbursement in respect of a Letter of Credit, the Company shall reimburse such LC Disbursement by paying to the Administrative Agent an amount equal to such LC Disbursement not later than 12:00 noon,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12:00 noon, New York City time, on the Business Day that the Company receives such notice, if such notice is received prior to 10:00 a.m., New York City time, on the day of receipt, or the Business Day immediately following the day that the Company receives such notice, if such notice is not received prior to such time on the day of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the Covenant Relief Period is not then in effect and such LC Disbursement is not less than $500,000, the Company may, subject to the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that such payment be financed with a Canadian Prime Rate Borrowing, an ABR Revolving Borrowing or Swingline Loan in an equivalent amount and, to the extent so financed, the Company’s obligation to make such payment shall be discharged and replaced by the resulting Canadian Prime Rate Borrowing, ABR Revolving Borrowing or Swingline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an LC Disbursement in respect of a Letter of Credit for which funds are on deposit as cash collateral pursuant to </w:t>
      </w:r>
      <w:r>
        <w:rPr>
          <w:rFonts w:ascii="Arial" w:cs="Arial" w:eastAsia="Arial" w:hAnsi="Arial"/>
          <w:sz w:val="19"/>
          <w:szCs w:val="19"/>
          <w:u w:val="single" w:color="auto"/>
          <w:color w:val="auto"/>
        </w:rPr>
        <w:t>Section 4.02(d)</w:t>
      </w:r>
      <w:r>
        <w:rPr>
          <w:rFonts w:ascii="Arial" w:cs="Arial" w:eastAsia="Arial" w:hAnsi="Arial"/>
          <w:sz w:val="19"/>
          <w:szCs w:val="19"/>
          <w:color w:val="auto"/>
        </w:rPr>
        <w:t xml:space="preserve">, the Administrative Agent shall apply such cash collateral to reimburse the relevant Issuing Bank in an amount equal to such LC Disbursement minus the then undrawn amount under such Letter of Credit (if any) and to the extent such funds are not sufficient to fully reimburse such LC Disbursement, the Company shall pay to the Administrative Agent an amount equal to the unreimbursed LC Disbursement as provided above.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Loans made by such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21" w:name="page122"/>
    <w:bookmarkEnd w:id="121"/>
    <w:p>
      <w:pPr>
        <w:jc w:val="both"/>
        <w:spacing w:after="0" w:line="259" w:lineRule="auto"/>
        <w:rPr>
          <w:sz w:val="20"/>
          <w:szCs w:val="20"/>
          <w:color w:val="auto"/>
        </w:rPr>
      </w:pPr>
      <w:r>
        <w:rPr>
          <w:rFonts w:ascii="Arial" w:cs="Arial" w:eastAsia="Arial" w:hAnsi="Arial"/>
          <w:sz w:val="21"/>
          <w:szCs w:val="21"/>
          <w:u w:val="single" w:color="auto"/>
          <w:color w:val="auto"/>
        </w:rPr>
        <w:t>Section 2.07</w:t>
      </w:r>
      <w:r>
        <w:rPr>
          <w:rFonts w:ascii="Arial" w:cs="Arial" w:eastAsia="Arial" w:hAnsi="Arial"/>
          <w:sz w:val="21"/>
          <w:szCs w:val="21"/>
          <w:color w:val="auto"/>
        </w:rPr>
        <w:t xml:space="preserve">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to the payment obligations of the Lenders), and the Administrative Agent shall promptly pay to the Issuing Bank the amounts so received by it from the Lenders. Promptly following receipt by the Administrative Agent of any payment from the Company pursuant to this paragraph, the Administrative Agent shall distribute such payment to the Issuing Bank or, to the extent that the Lenders have made payments pursuant to this paragraph to reimburse the Issuing Bank, then to such the Lenders and the Issuing Bank as their interests may appear. Any payment made by a Lender pursuant to this paragraph to reimburse the Issuing Bank for any LC Disbursement (other than the funding of a Canadian Prime Rate Loan, ABR Revolving Loan or Swingline Loan as contemplated above) shall not constitute a Loan and shall not relieve the Company of its obligation to reimburse such LC Disbursement.</w:t>
      </w:r>
    </w:p>
    <w:p>
      <w:pPr>
        <w:spacing w:after="0" w:line="210" w:lineRule="exact"/>
        <w:rPr>
          <w:sz w:val="20"/>
          <w:szCs w:val="20"/>
          <w:color w:val="auto"/>
        </w:rPr>
      </w:pPr>
    </w:p>
    <w:p>
      <w:pPr>
        <w:ind w:left="1940" w:hanging="636"/>
        <w:spacing w:after="0"/>
        <w:tabs>
          <w:tab w:leader="none" w:pos="194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Company’s obligation to reimburse LC Disbursements as provided in paragraph</w:t>
      </w:r>
    </w:p>
    <w:p>
      <w:pPr>
        <w:spacing w:after="0" w:line="55" w:lineRule="exact"/>
        <w:rPr>
          <w:rFonts w:ascii="Arial" w:cs="Arial" w:eastAsia="Arial" w:hAnsi="Arial"/>
          <w:sz w:val="19"/>
          <w:szCs w:val="19"/>
          <w:color w:val="auto"/>
        </w:rPr>
      </w:pPr>
    </w:p>
    <w:p>
      <w:pPr>
        <w:jc w:val="both"/>
        <w:ind w:firstLine="8"/>
        <w:spacing w:after="0" w:line="283" w:lineRule="auto"/>
        <w:tabs>
          <w:tab w:leader="none" w:pos="305" w:val="left"/>
        </w:tabs>
        <w:numPr>
          <w:ilvl w:val="0"/>
          <w:numId w:val="73"/>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shall be absolute, unconditional and irrevocable, and shall be performed strictly in accordance with the terms of this Agreement under any and all circumstances whatsoever and irrespective of any lack of validity or enforceability of any Letter of Credit, any Letter of Credit Agreement or this Agreement, or any term or provision therein, any draft or other document presented under a Letter of Credit proving to be forged, fraudulent or invalid in any respect or any statement therein being untrue or inaccurate in any respect,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Issuing Bank from liability to the Company to the extent of any direct damages (as opposed to consequential damages, claims in respect of which are hereby waived by the Company to the extent permitted by applicable law) suffered by the Company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22" w:name="page123"/>
    <w:bookmarkEnd w:id="122"/>
    <w:p>
      <w:pPr>
        <w:jc w:val="both"/>
        <w:ind w:firstLine="1304"/>
        <w:spacing w:after="0" w:line="246" w:lineRule="auto"/>
        <w:tabs>
          <w:tab w:leader="none" w:pos="194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xml:space="preserve">. The Issuing Bank shall, within the time allowed by applicable law or the specific terms of the applicable Letter of Credit following its receipt thereof, examine all documents purporting to represent a demand for payment under a Letter of Credit. The Issuing Bank shall promptly after such examination notify the Administrative Agent and the Company by telephone (confirmed in writing), telecopy or electronic mail of such demand for payment and whether the Issuing Bank has made or will make an LC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Company of their obligation to reimburse the Issuing Bank and the Lenders with respect to any such LC Disbursement.</w:t>
      </w:r>
    </w:p>
    <w:p>
      <w:pPr>
        <w:spacing w:after="0" w:line="223" w:lineRule="exact"/>
        <w:rPr>
          <w:rFonts w:ascii="Arial" w:cs="Arial" w:eastAsia="Arial" w:hAnsi="Arial"/>
          <w:sz w:val="22"/>
          <w:szCs w:val="22"/>
          <w:color w:val="auto"/>
        </w:rPr>
      </w:pPr>
    </w:p>
    <w:p>
      <w:pPr>
        <w:jc w:val="both"/>
        <w:ind w:firstLine="1304"/>
        <w:spacing w:after="0" w:line="288" w:lineRule="auto"/>
        <w:tabs>
          <w:tab w:leader="none" w:pos="194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shall make any LC Disbursement, then, unless such LC Disbursement is reimbursed in full on the date such LC Disbursement is made (whether directly from the Company or otherwise, including by way of the application of cash collateral by the Administrative Agent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the unpaid amount thereof shall bear interest, for each day from and including the date such LC Disbursement is made to but excluding the date that the Company reimburses such LC Disbursement, at the rate per annum then applicable to Canadian Prime Rate Revolving Loans (if the LC Disbursement is in Canadian Dollars) or ABR Revolving Loans (if the LC Disbursement is in U.S.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fails to reimburse such LC Disbursement when due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then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shall apply. Interest accrued pursuant to this paragraph shall be for the account of the Issuing Bank, except that interest accrued on and after the date of payment by any Lender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to reimburse the Issuing Bank shall be for the account of such Lender to the extent of such payment.</w:t>
      </w:r>
    </w:p>
    <w:p>
      <w:pPr>
        <w:spacing w:after="0" w:line="186" w:lineRule="exact"/>
        <w:rPr>
          <w:rFonts w:ascii="Arial" w:cs="Arial" w:eastAsia="Arial" w:hAnsi="Arial"/>
          <w:sz w:val="19"/>
          <w:szCs w:val="19"/>
          <w:color w:val="auto"/>
        </w:rPr>
      </w:pPr>
    </w:p>
    <w:p>
      <w:pPr>
        <w:jc w:val="both"/>
        <w:ind w:firstLine="1304"/>
        <w:spacing w:after="0" w:line="287" w:lineRule="auto"/>
        <w:tabs>
          <w:tab w:leader="none" w:pos="193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xml:space="preserve">.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w:t>
      </w:r>
      <w:r>
        <w:rPr>
          <w:rFonts w:ascii="Arial" w:cs="Arial" w:eastAsia="Arial" w:hAnsi="Arial"/>
          <w:sz w:val="19"/>
          <w:szCs w:val="19"/>
          <w:u w:val="single" w:color="auto"/>
          <w:color w:val="auto"/>
        </w:rPr>
        <w:t>Section 2.12(b)</w:t>
      </w:r>
      <w:r>
        <w:rPr>
          <w:rFonts w:ascii="Arial" w:cs="Arial" w:eastAsia="Arial" w:hAnsi="Arial"/>
          <w:sz w:val="19"/>
          <w:szCs w:val="19"/>
          <w:color w:val="auto"/>
        </w:rPr>
        <w:t>. From and after the effective date of any such replacement, the successor Issuing Bank shall have all the rights and obligations of the Issuing Bank under this Agreement with respect to Letters of Credit to be issued thereafter and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any existing Letter of Credit.</w:t>
      </w:r>
    </w:p>
    <w:p>
      <w:pPr>
        <w:spacing w:after="0" w:line="190" w:lineRule="exact"/>
        <w:rPr>
          <w:rFonts w:ascii="Arial" w:cs="Arial" w:eastAsia="Arial" w:hAnsi="Arial"/>
          <w:sz w:val="19"/>
          <w:szCs w:val="19"/>
          <w:color w:val="auto"/>
        </w:rPr>
      </w:pPr>
    </w:p>
    <w:p>
      <w:pPr>
        <w:jc w:val="both"/>
        <w:ind w:firstLine="1304"/>
        <w:spacing w:after="0" w:line="250" w:lineRule="auto"/>
        <w:tabs>
          <w:tab w:leader="none" w:pos="193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Resignation of the Issuing Bank</w:t>
      </w:r>
      <w:r>
        <w:rPr>
          <w:rFonts w:ascii="Arial" w:cs="Arial" w:eastAsia="Arial" w:hAnsi="Arial"/>
          <w:sz w:val="22"/>
          <w:szCs w:val="22"/>
          <w:color w:val="auto"/>
        </w:rPr>
        <w:t xml:space="preserve">. Subject to the appointment and acceptance of a successor Issuing Bank, the Issuing Bank may resign as the Issuing Bank at any time upon thirty days’ prior written notice to the Administrative Agent, the Company and the Lenders, in each case, such resigning Issuing Bank shall be replaced in accordance with </w:t>
      </w:r>
      <w:r>
        <w:rPr>
          <w:rFonts w:ascii="Arial" w:cs="Arial" w:eastAsia="Arial" w:hAnsi="Arial"/>
          <w:sz w:val="22"/>
          <w:szCs w:val="22"/>
          <w:u w:val="single" w:color="auto"/>
          <w:color w:val="auto"/>
        </w:rPr>
        <w:t>Section 2.06(i)</w:t>
      </w:r>
      <w:r>
        <w:rPr>
          <w:rFonts w:ascii="Arial" w:cs="Arial" w:eastAsia="Arial" w:hAnsi="Arial"/>
          <w:sz w:val="22"/>
          <w:szCs w:val="22"/>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23" w:name="page124"/>
    <w:bookmarkEnd w:id="123"/>
    <w:p>
      <w:pPr>
        <w:ind w:left="840" w:hanging="656"/>
        <w:spacing w:after="0"/>
        <w:tabs>
          <w:tab w:leader="none" w:pos="8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Cash Collateralization; Cash Collateral Accounts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460" w:firstLine="1178"/>
        <w:spacing w:after="0" w:line="284" w:lineRule="auto"/>
        <w:tabs>
          <w:tab w:leader="none" w:pos="903"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any Event of Default shall occur and be continuing, on the Business Day that the Company receives notice from the Administrative Agent or the Required Lenders (or, if the maturity of the Loans has been accelerated, the Lenders with LC Exposure representing greater than fifty percent (50%) of the total LC Exposure) demanding the deposit of cash collateral pursuant to this paragraph, the Company shall deposit in one or more Cash Collateral Accounts, in the name of the Administrative Agent and for the benefit of the Lenders, an amount in cash equal to the LC Exposure in the applicable currencies as of such date plus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of the Borrowers described in clause (h) or (i) of </w:t>
      </w:r>
      <w:r>
        <w:rPr>
          <w:rFonts w:ascii="Arial" w:cs="Arial" w:eastAsia="Arial" w:hAnsi="Arial"/>
          <w:sz w:val="19"/>
          <w:szCs w:val="19"/>
          <w:u w:val="single" w:color="auto"/>
          <w:color w:val="auto"/>
        </w:rPr>
        <w:t>Section 7.01</w:t>
      </w:r>
      <w:r>
        <w:rPr>
          <w:rFonts w:ascii="Arial" w:cs="Arial" w:eastAsia="Arial" w:hAnsi="Arial"/>
          <w:sz w:val="19"/>
          <w:szCs w:val="19"/>
          <w:color w:val="auto"/>
        </w:rPr>
        <w:t>.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Cash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Cash Collateral Account. Moneys in such Cash Collateral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Company for the LC Exposure at such time or, if the maturity of the Loans has been accelerated (but subject to the consent of the Lenders with LC Exposure representing greater than fifty percent (50%) of the total LC Exposure), be applied to satisfy other obligations of the Borrowers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460" w:firstLine="1118"/>
        <w:spacing w:after="0" w:line="290" w:lineRule="auto"/>
        <w:tabs>
          <w:tab w:leader="none" w:pos="890"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the Company is required to provide cash collateral in respect of any Letter of Credit hereunder pursuant to </w:t>
      </w:r>
      <w:r>
        <w:rPr>
          <w:rFonts w:ascii="Arial" w:cs="Arial" w:eastAsia="Arial" w:hAnsi="Arial"/>
          <w:sz w:val="19"/>
          <w:szCs w:val="19"/>
          <w:u w:val="single" w:color="auto"/>
          <w:color w:val="auto"/>
        </w:rPr>
        <w:t>Section 4.02(d)</w:t>
      </w:r>
      <w:r>
        <w:rPr>
          <w:rFonts w:ascii="Arial" w:cs="Arial" w:eastAsia="Arial" w:hAnsi="Arial"/>
          <w:sz w:val="19"/>
          <w:szCs w:val="19"/>
          <w:color w:val="auto"/>
        </w:rPr>
        <w:t>, such cash collateral shall be maintained in a Cash Collateral Account and held by the Administrative Agent as collateral for the reimbursement obligations of the Company under such Letter of Credit. The Administrative Agent shall have exclusive dominion and control, including the exclusive right of withdrawal, over such Cash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Cash Collateral Account. Moneys in such Cash Collateral Account shall be applied by the Administrative Agent to reimburse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20"/>
          </w:cols>
          <w:pgMar w:left="1440" w:top="1428" w:right="339" w:bottom="1440" w:gutter="0" w:footer="0" w:header="0"/>
        </w:sectPr>
      </w:pPr>
    </w:p>
    <w:bookmarkStart w:id="124" w:name="page125"/>
    <w:bookmarkEnd w:id="124"/>
    <w:p>
      <w:pPr>
        <w:jc w:val="both"/>
        <w:ind w:left="660"/>
        <w:spacing w:after="0" w:line="250" w:lineRule="auto"/>
        <w:rPr>
          <w:sz w:val="20"/>
          <w:szCs w:val="20"/>
          <w:color w:val="auto"/>
        </w:rPr>
      </w:pPr>
      <w:r>
        <w:rPr>
          <w:rFonts w:ascii="Arial" w:cs="Arial" w:eastAsia="Arial" w:hAnsi="Arial"/>
          <w:sz w:val="22"/>
          <w:szCs w:val="22"/>
          <w:color w:val="auto"/>
        </w:rPr>
        <w:t xml:space="preserve">Bank for LC Disbursements under the Letter of Credit for which cash collateral was provided pursuant to </w:t>
      </w:r>
      <w:r>
        <w:rPr>
          <w:rFonts w:ascii="Arial" w:cs="Arial" w:eastAsia="Arial" w:hAnsi="Arial"/>
          <w:sz w:val="22"/>
          <w:szCs w:val="22"/>
          <w:u w:val="single" w:color="auto"/>
          <w:color w:val="auto"/>
        </w:rPr>
        <w:t>Section 4.02(d)</w:t>
      </w:r>
      <w:r>
        <w:rPr>
          <w:rFonts w:ascii="Arial" w:cs="Arial" w:eastAsia="Arial" w:hAnsi="Arial"/>
          <w:sz w:val="22"/>
          <w:szCs w:val="22"/>
          <w:color w:val="auto"/>
        </w:rPr>
        <w:t xml:space="preserve">, as provided in paragraph (e) of this Section. If the Company is required to provide cash collateral hereunder pursuant to </w:t>
      </w:r>
      <w:r>
        <w:rPr>
          <w:rFonts w:ascii="Arial" w:cs="Arial" w:eastAsia="Arial" w:hAnsi="Arial"/>
          <w:sz w:val="22"/>
          <w:szCs w:val="22"/>
          <w:u w:val="single" w:color="auto"/>
          <w:color w:val="auto"/>
        </w:rPr>
        <w:t>Section 4.02(d)</w:t>
      </w:r>
      <w:r>
        <w:rPr>
          <w:rFonts w:ascii="Arial" w:cs="Arial" w:eastAsia="Arial" w:hAnsi="Arial"/>
          <w:sz w:val="22"/>
          <w:szCs w:val="22"/>
          <w:color w:val="auto"/>
        </w:rPr>
        <w:t>, such amount (to the extent not applied as aforesaid) shall be returned to the Company within three Business Days after the expiration of the Covenant Relief Period.</w:t>
      </w:r>
    </w:p>
    <w:p>
      <w:pPr>
        <w:spacing w:after="0" w:line="215" w:lineRule="exact"/>
        <w:rPr>
          <w:sz w:val="20"/>
          <w:szCs w:val="20"/>
          <w:color w:val="auto"/>
        </w:rPr>
      </w:pPr>
    </w:p>
    <w:p>
      <w:pPr>
        <w:jc w:val="both"/>
        <w:ind w:left="660" w:firstLine="1058"/>
        <w:spacing w:after="0" w:line="253" w:lineRule="auto"/>
        <w:tabs>
          <w:tab w:leader="none" w:pos="2037"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Company hereby grants to the Administrative Agent, for the benefit of the Issuing Banks and the Lenders, a security interest in all Cash Collateral Accounts and all cash and balances therein and all proceeds of the foregoing.</w:t>
      </w:r>
    </w:p>
    <w:p>
      <w:pPr>
        <w:spacing w:after="0" w:line="212" w:lineRule="exact"/>
        <w:rPr>
          <w:rFonts w:ascii="Arial" w:cs="Arial" w:eastAsia="Arial" w:hAnsi="Arial"/>
          <w:sz w:val="22"/>
          <w:szCs w:val="22"/>
          <w:color w:val="auto"/>
        </w:rPr>
      </w:pPr>
    </w:p>
    <w:p>
      <w:pPr>
        <w:ind w:right="20" w:firstLine="1304"/>
        <w:spacing w:after="0" w:line="263" w:lineRule="auto"/>
        <w:tabs>
          <w:tab w:leader="none" w:pos="193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The Existing Letters of Credit shall be Letters of Credit hereunder for all purposes and shall be deemed to have been issued under this Agreement.</w:t>
      </w:r>
    </w:p>
    <w:p>
      <w:pPr>
        <w:spacing w:after="0" w:line="201" w:lineRule="exact"/>
        <w:rPr>
          <w:rFonts w:ascii="Arial" w:cs="Arial" w:eastAsia="Arial" w:hAnsi="Arial"/>
          <w:sz w:val="22"/>
          <w:szCs w:val="22"/>
          <w:color w:val="auto"/>
        </w:rPr>
      </w:pPr>
    </w:p>
    <w:p>
      <w:pPr>
        <w:jc w:val="both"/>
        <w:ind w:firstLine="1304"/>
        <w:spacing w:after="0" w:line="288" w:lineRule="auto"/>
        <w:tabs>
          <w:tab w:leader="none" w:pos="193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Company shall reimburse, indemnify and compensate the Issuing Bank hereunder for such Letter of Credit (including to reimburse any and all drawings thereunder) as if such Letter of Credit had been issued solely for the account of the Company and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9" w:lineRule="auto"/>
        <w:tabs>
          <w:tab w:leader="none" w:pos="1932"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Except in respect of the provisions of this Agreement covering reimbursement of Letters of Credit, the Administrative Agent will make such Loans available to the applicable Borrower by promptly crediting the amounts so received, in like funds, to an account of the Company or the applicable Borrower, maintained with the Administrative Agent in Tulsa, Oklahoma or elsewhere and designated by the Company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and Canadian Prime Rate Revolving Loans made to finance the reimbursement of an LC Disbursement as provided in </w:t>
      </w:r>
      <w:r>
        <w:rPr>
          <w:rFonts w:ascii="Arial" w:cs="Arial" w:eastAsia="Arial" w:hAnsi="Arial"/>
          <w:sz w:val="19"/>
          <w:szCs w:val="19"/>
          <w:u w:val="single" w:color="auto"/>
          <w:color w:val="auto"/>
        </w:rPr>
        <w:t>Section 2.06(e)</w:t>
      </w:r>
      <w:r>
        <w:rPr>
          <w:rFonts w:ascii="Arial" w:cs="Arial" w:eastAsia="Arial" w:hAnsi="Arial"/>
          <w:sz w:val="19"/>
          <w:szCs w:val="19"/>
          <w:color w:val="auto"/>
        </w:rPr>
        <w:t xml:space="preserve"> shall be remitted by the Administrative Agent to the Issuing Bank.</w:t>
      </w:r>
    </w:p>
    <w:p>
      <w:pPr>
        <w:spacing w:after="0" w:line="156" w:lineRule="exact"/>
        <w:rPr>
          <w:rFonts w:ascii="Arial" w:cs="Arial" w:eastAsia="Arial" w:hAnsi="Arial"/>
          <w:sz w:val="19"/>
          <w:szCs w:val="19"/>
          <w:color w:val="auto"/>
        </w:rPr>
      </w:pPr>
    </w:p>
    <w:p>
      <w:pPr>
        <w:ind w:right="20" w:firstLine="1304"/>
        <w:spacing w:after="0" w:line="263" w:lineRule="auto"/>
        <w:tabs>
          <w:tab w:leader="none" w:pos="1944" w:val="left"/>
        </w:tabs>
        <w:numPr>
          <w:ilvl w:val="0"/>
          <w:numId w:val="78"/>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a Lender prior to the proposed date of any Borrowing that such Lender will not make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87" w:lineRule="auto"/>
        <w:rPr>
          <w:sz w:val="20"/>
          <w:szCs w:val="20"/>
          <w:color w:val="auto"/>
        </w:rPr>
      </w:pPr>
      <w:r>
        <w:rPr>
          <w:rFonts w:ascii="Arial" w:cs="Arial" w:eastAsia="Arial" w:hAnsi="Arial"/>
          <w:sz w:val="19"/>
          <w:szCs w:val="19"/>
          <w:color w:val="auto"/>
        </w:rPr>
        <w:t xml:space="preserve">Administrative Agent such Lender’s share of such Borrowing, the Administrative Agent may assume that such Lender has made such share available on such date in accordance with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in the case of such Lender, the greater of the NYFRB and a rate determined by the Administrative Agent in accordance with banking industry rules on interbank compensation (including without limitation the Overnight Foreign Currency Rate in the case of Loans denominated in a Foreign Currency) or in the case of such Borrower, the interest rate applicable to the subject Loan. If such Lender pays such amount to the Administrative Agent, then such amount shall constitute such Lender’s Loan included in such Borrowing.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Each Revolving Borrowing initially shall be of the Type specified in the applicable Borrowing Request and, in the case of a CDOR Revolving Borrowing, Eurocurrency Revolving Borrowing or EURIBOR Revolving Borrowing, shall have an initial Interest Period as specified in such Borrowing Request. Thereafter, the Company may elect to convert such Borrowing to a different Type or to continue such Borrowing and, in the case of a CDOR Revolving Borrowing, Eurocurrency Revolving Borrowing or EURIBOR Revolving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Borrowing in one currency may only be converted to another Type of Borrowing denominated in the same currency as the Borrowing to be so converted. This Section shall not apply to Swingline Borrowings, which may not be converted or continued.</w:t>
      </w:r>
    </w:p>
    <w:p>
      <w:pPr>
        <w:spacing w:after="0" w:line="159"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To make an election pursuant to this Section, the Company shall notify the Administrative Agent of such election by telephone in the case of a Borrowing in U.S. Dollars and in writing in the case of a Borrowing in a Foreign Currency, in each case, by the time that a Borrowing Request would be required under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if the Company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Company.</w:t>
      </w:r>
    </w:p>
    <w:p>
      <w:pPr>
        <w:spacing w:after="0" w:line="223" w:lineRule="exact"/>
        <w:rPr>
          <w:rFonts w:ascii="Arial" w:cs="Arial" w:eastAsia="Arial" w:hAnsi="Arial"/>
          <w:sz w:val="22"/>
          <w:szCs w:val="22"/>
          <w:color w:val="auto"/>
        </w:rPr>
      </w:pPr>
    </w:p>
    <w:p>
      <w:pPr>
        <w:ind w:right="20" w:firstLine="1304"/>
        <w:spacing w:after="0" w:line="263" w:lineRule="auto"/>
        <w:tabs>
          <w:tab w:leader="none" w:pos="19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Each telephonic and written Interest Election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26" w:name="page127"/>
    <w:bookmarkEnd w:id="126"/>
    <w:p>
      <w:pPr>
        <w:jc w:val="both"/>
        <w:ind w:left="660" w:firstLine="534"/>
        <w:spacing w:after="0" w:line="250" w:lineRule="auto"/>
        <w:rPr>
          <w:sz w:val="20"/>
          <w:szCs w:val="20"/>
          <w:color w:val="auto"/>
        </w:rPr>
      </w:pPr>
      <w:r>
        <w:rPr>
          <w:rFonts w:ascii="Arial" w:cs="Arial" w:eastAsia="Arial" w:hAnsi="Arial"/>
          <w:sz w:val="22"/>
          <w:szCs w:val="22"/>
          <w:color w:val="auto"/>
        </w:rPr>
        <w:t xml:space="preserve">i. the Borrowing to which such Interest Election Request applies and, if different options are being elected with respect to different portions of a Borrowing, the portions thereof to be allocated to each resulting Borrowing (in which case the information to be specified pursuant to clauses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below shall be specified for each resulting Borrowing);</w:t>
      </w:r>
    </w:p>
    <w:p>
      <w:pPr>
        <w:spacing w:after="0" w:line="188" w:lineRule="exact"/>
        <w:rPr>
          <w:sz w:val="20"/>
          <w:szCs w:val="20"/>
          <w:color w:val="auto"/>
        </w:rPr>
      </w:pPr>
    </w:p>
    <w:p>
      <w:pPr>
        <w:ind w:left="1360" w:hanging="230"/>
        <w:spacing w:after="0"/>
        <w:tabs>
          <w:tab w:leader="none" w:pos="13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 Day;</w:t>
      </w:r>
    </w:p>
    <w:p>
      <w:pPr>
        <w:spacing w:after="0" w:line="254" w:lineRule="exact"/>
        <w:rPr>
          <w:rFonts w:ascii="Arial" w:cs="Arial" w:eastAsia="Arial" w:hAnsi="Arial"/>
          <w:sz w:val="19"/>
          <w:szCs w:val="19"/>
          <w:color w:val="auto"/>
        </w:rPr>
      </w:pPr>
    </w:p>
    <w:p>
      <w:pPr>
        <w:ind w:left="660" w:firstLine="410"/>
        <w:spacing w:after="0" w:line="263" w:lineRule="auto"/>
        <w:tabs>
          <w:tab w:leader="none" w:pos="1362" w:val="left"/>
        </w:tabs>
        <w:numPr>
          <w:ilvl w:val="1"/>
          <w:numId w:val="80"/>
        </w:numPr>
        <w:rPr>
          <w:rFonts w:ascii="Arial" w:cs="Arial" w:eastAsia="Arial" w:hAnsi="Arial"/>
          <w:sz w:val="22"/>
          <w:szCs w:val="22"/>
          <w:color w:val="auto"/>
        </w:rPr>
      </w:pPr>
      <w:r>
        <w:rPr>
          <w:rFonts w:ascii="Arial" w:cs="Arial" w:eastAsia="Arial" w:hAnsi="Arial"/>
          <w:sz w:val="22"/>
          <w:szCs w:val="22"/>
          <w:color w:val="auto"/>
        </w:rPr>
        <w:t>whether the resulting Borrowing, if in Canadian Dollars, is to be a Canadian Prime Rate Borrowing or a CDOR Borrowing, or, if in U.S. Dollars, is to be an ABR Borrowing or a Eurocurrency Borrowing; and</w:t>
      </w:r>
    </w:p>
    <w:p>
      <w:pPr>
        <w:spacing w:after="0" w:line="174" w:lineRule="exact"/>
        <w:rPr>
          <w:rFonts w:ascii="Arial" w:cs="Arial" w:eastAsia="Arial" w:hAnsi="Arial"/>
          <w:sz w:val="22"/>
          <w:szCs w:val="22"/>
          <w:color w:val="auto"/>
        </w:rPr>
      </w:pPr>
    </w:p>
    <w:p>
      <w:pPr>
        <w:jc w:val="both"/>
        <w:ind w:left="660" w:firstLine="422"/>
        <w:spacing w:after="0" w:line="253" w:lineRule="auto"/>
        <w:tabs>
          <w:tab w:leader="none" w:pos="1348"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the resulting Borrowing is a CDOR Borrowing, Eurocurrency Borrowing or EURIBOR Borrowing, the Interest Period to be applicable thereto after giving effect to such election, which shall be a period contemplated by the definition of the term “Interest Period”.</w:t>
      </w:r>
    </w:p>
    <w:p>
      <w:pPr>
        <w:spacing w:after="0" w:line="18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If any such Interest Election Request requests a CDOR Borrowing, Eurocurrency Borrowing or EURIBOR Borrowing but does not specify an Interest Period, then the Company shall be deemed to have selected an Interest Period of one month.</w:t>
      </w:r>
    </w:p>
    <w:p>
      <w:pPr>
        <w:spacing w:after="0" w:line="104" w:lineRule="exact"/>
        <w:rPr>
          <w:sz w:val="20"/>
          <w:szCs w:val="20"/>
          <w:color w:val="auto"/>
        </w:rPr>
      </w:pPr>
    </w:p>
    <w:p>
      <w:pPr>
        <w:ind w:firstLine="1304"/>
        <w:spacing w:after="0" w:line="343" w:lineRule="auto"/>
        <w:tabs>
          <w:tab w:leader="none" w:pos="1944" w:val="left"/>
        </w:tabs>
        <w:numPr>
          <w:ilvl w:val="0"/>
          <w:numId w:val="82"/>
        </w:numPr>
        <w:rPr>
          <w:rFonts w:ascii="Arial" w:cs="Arial" w:eastAsia="Arial" w:hAnsi="Arial"/>
          <w:sz w:val="19"/>
          <w:szCs w:val="19"/>
          <w:color w:val="auto"/>
        </w:rPr>
      </w:pPr>
      <w:r>
        <w:rPr>
          <w:rFonts w:ascii="Arial" w:cs="Arial" w:eastAsia="Arial" w:hAnsi="Arial"/>
          <w:sz w:val="19"/>
          <w:szCs w:val="19"/>
          <w:color w:val="auto"/>
        </w:rPr>
        <w:t>Promptly following receipt of an Interest Election Request, the Administrative Agent shall advise each Lender of the details thereof and of such Lender’s portion of each Borrowing affected by such Interest Election Request.</w:t>
      </w:r>
    </w:p>
    <w:p>
      <w:pPr>
        <w:spacing w:after="0" w:line="104" w:lineRule="exact"/>
        <w:rPr>
          <w:rFonts w:ascii="Arial" w:cs="Arial" w:eastAsia="Arial" w:hAnsi="Arial"/>
          <w:sz w:val="19"/>
          <w:szCs w:val="19"/>
          <w:color w:val="auto"/>
        </w:rPr>
      </w:pPr>
    </w:p>
    <w:p>
      <w:pPr>
        <w:jc w:val="both"/>
        <w:ind w:firstLine="1304"/>
        <w:spacing w:after="0" w:line="287" w:lineRule="auto"/>
        <w:tabs>
          <w:tab w:leader="none" w:pos="1932"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the Company fails to deliver a timely Interest Election Request with respect to a CDOR Borrowing, a Eurocurrency Borrowing or a EURIBOR Borrowing prior to the end of the Interest Period applicable thereto, then, unless such Borrowing is repaid as provided herein, at the end of such Interest Period such Borrowing shall in the case of a Borrowing denominated in U.S. Dollars, be converted to an ABR Borrowing, in the case of a Borrowing denominated in Canadian Dollars, be converted to a Canadian Prime Rate Borrowing and in the case of a Borrowing denominated in any other Foreign Currency, automatically continue as a Eurocurrency Borrowing or EURIBOR Borrowing, as the case may be, with an Interest Period of one month. Notwithstanding any contrary provision hereof, if an Event of Default has occurred and is continuing then no outstanding Borrowing in U.S. Dollars may be converted to or continued as a Eurocurrency Borrowing, unless repaid, each Eurocurrency Borrowing in U.S. Dollars shall be converted to an ABR Borrowing at the end of the Interest Period applicable thereto, no outstanding Borrowing in Canadian Dollars may be converted to or continued as a CDOR Borrowing and unless repaid, each CDOR Borrowing shall be converted to a Canadian Prime Rate Borrowing at the end of the Interest Period applicable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Termination and Reduction of Revolving Commitments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Unless previously terminated, the Revolving Commitments shall terminate on the Termination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0"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27" w:name="page128"/>
    <w:bookmarkEnd w:id="127"/>
    <w:p>
      <w:pPr>
        <w:jc w:val="both"/>
        <w:ind w:firstLine="1304"/>
        <w:spacing w:after="0" w:line="297" w:lineRule="auto"/>
        <w:tabs>
          <w:tab w:leader="none" w:pos="19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Company may at any time terminate, or from time to time reduce,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reduction of the Revolving Commitments shall be in an amount that is an integral multiple of $5,000,000 and not less than $5,000,000, and the Company shall not terminate or reduce the Revolving Commitments if, after giving effect to any concurrent prepayment of the Loans in accordance with </w:t>
      </w:r>
      <w:r>
        <w:rPr>
          <w:rFonts w:ascii="Arial" w:cs="Arial" w:eastAsia="Arial" w:hAnsi="Arial"/>
          <w:sz w:val="19"/>
          <w:szCs w:val="19"/>
          <w:u w:val="single" w:color="auto"/>
          <w:color w:val="auto"/>
        </w:rPr>
        <w:t>Section 2.11(a)</w:t>
      </w:r>
      <w:r>
        <w:rPr>
          <w:rFonts w:ascii="Arial" w:cs="Arial" w:eastAsia="Arial" w:hAnsi="Arial"/>
          <w:sz w:val="19"/>
          <w:szCs w:val="19"/>
          <w:color w:val="auto"/>
        </w:rPr>
        <w:t>, the aggregate Revolving Credit Exposures would exceed the aggregate Revolving Commitments or the Foreign Currency Exposure would exceed the Foreign Currency Sublimit.</w:t>
      </w:r>
    </w:p>
    <w:p>
      <w:pPr>
        <w:spacing w:after="0" w:line="173" w:lineRule="exact"/>
        <w:rPr>
          <w:rFonts w:ascii="Arial" w:cs="Arial" w:eastAsia="Arial" w:hAnsi="Arial"/>
          <w:sz w:val="19"/>
          <w:szCs w:val="19"/>
          <w:color w:val="auto"/>
        </w:rPr>
      </w:pPr>
    </w:p>
    <w:p>
      <w:pPr>
        <w:jc w:val="both"/>
        <w:ind w:firstLine="1304"/>
        <w:spacing w:after="0" w:line="289" w:lineRule="auto"/>
        <w:tabs>
          <w:tab w:leader="none" w:pos="193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Revolving Commitments under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Revolving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9" w:lineRule="auto"/>
        <w:tabs>
          <w:tab w:leader="none" w:pos="1932"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Each Borrower hereby unconditionally promises to pay to the Administrative Agent for the account of each Lender the then unpaid principal amount of each Revolving Loan of such Borrower on the Termination Date. Each Swingline Borrower hereby unconditionally promises to pay to the Swingline Lender the then unpaid principal amount of each Swingline Loan of such Borrower on the earlier of the Termination Date and the first date after such Swingline Loan is made that is the 15th or last day of a calendar month and is at least two (2) Business Days after such Swingline Loan is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 each date that a Revolving Borrowing is made to a Swingline Borrower, such Borrower shall repay all Swingline Loans of such Borrower then outstanding, which may be made by the Administrative Agent’s application of the proceeds of any such Borrowing to such outstanding Swingline Loans.</w:t>
      </w:r>
    </w:p>
    <w:p>
      <w:pPr>
        <w:spacing w:after="0" w:line="183" w:lineRule="exact"/>
        <w:rPr>
          <w:rFonts w:ascii="Arial" w:cs="Arial" w:eastAsia="Arial" w:hAnsi="Arial"/>
          <w:sz w:val="21"/>
          <w:szCs w:val="21"/>
          <w:color w:val="auto"/>
        </w:rPr>
      </w:pPr>
    </w:p>
    <w:p>
      <w:pPr>
        <w:jc w:val="both"/>
        <w:ind w:firstLine="1304"/>
        <w:spacing w:after="0" w:line="253" w:lineRule="auto"/>
        <w:tabs>
          <w:tab w:leader="none" w:pos="19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212" w:lineRule="exact"/>
        <w:rPr>
          <w:rFonts w:ascii="Arial" w:cs="Arial" w:eastAsia="Arial" w:hAnsi="Arial"/>
          <w:sz w:val="22"/>
          <w:szCs w:val="22"/>
          <w:color w:val="auto"/>
        </w:rPr>
      </w:pPr>
    </w:p>
    <w:p>
      <w:pPr>
        <w:jc w:val="both"/>
        <w:ind w:firstLine="1304"/>
        <w:spacing w:after="0" w:line="302" w:lineRule="auto"/>
        <w:tabs>
          <w:tab w:leader="none" w:pos="19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the amount of each Loan made hereunder, the currency, Class and Type thereof and the Interest Period applicable thereto, the amount of any principal or interest due and payable or to become due and payable from the Borrowers to each Lender hereunder and the amount of any sum received by the Administrative Agent hereunder for the account of the Lenders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28" w:name="page129"/>
    <w:bookmarkEnd w:id="128"/>
    <w:p>
      <w:pPr>
        <w:jc w:val="both"/>
        <w:ind w:firstLine="1304"/>
        <w:spacing w:after="0" w:line="250" w:lineRule="auto"/>
        <w:tabs>
          <w:tab w:leader="none" w:pos="19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Section shall be </w:t>
      </w:r>
      <w:r>
        <w:rPr>
          <w:rFonts w:ascii="Arial" w:cs="Arial" w:eastAsia="Arial" w:hAnsi="Arial"/>
          <w:sz w:val="22"/>
          <w:szCs w:val="22"/>
          <w:u w:val="single" w:color="auto"/>
          <w:color w:val="auto"/>
        </w:rPr>
        <w:t>prima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214" w:lineRule="exact"/>
        <w:rPr>
          <w:rFonts w:ascii="Arial" w:cs="Arial" w:eastAsia="Arial" w:hAnsi="Arial"/>
          <w:sz w:val="22"/>
          <w:szCs w:val="22"/>
          <w:color w:val="auto"/>
        </w:rPr>
      </w:pPr>
    </w:p>
    <w:p>
      <w:pPr>
        <w:jc w:val="both"/>
        <w:ind w:firstLine="1304"/>
        <w:spacing w:after="0" w:line="294" w:lineRule="auto"/>
        <w:tabs>
          <w:tab w:leader="none" w:pos="193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promissory note. In such event, Agent shall prepare and the Borrowers shall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order of the payee named therein (or, if such promissory note is a registered note, to such payee and its registered assigns).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5" w:lineRule="auto"/>
        <w:tabs>
          <w:tab w:leader="none" w:pos="1932"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Borrowers shall have the right at any time and from time to time to prepay any Borrowing in whole or in part, subject to prior notice in accordance with this paragraph. The Company shall notify the Administrative Agent (and, in the case of prepayment of a Swingline Loan, the Swingline Lender) of any prepayment by the Borrowers hereunder in the case of prepayment of a CDOR Borrowing or Eurocurrency Borrowing denominated in U.S. Dollars, by telephone (confirmed by telecopy or electronic mail) not later than 11:00 a.m., New York City time, three (3) Business Days before the date of prepayment, in the case of a Eurocurrency Borrowing denominated in a Foreign Currency or a EURIBOR Borrowing, in writing not later than 11:00 a.m., Local Time, (3) Business Days before the date of payment, in the case of prepayment of a Canadian Prime Rate Borrowing or an ABR Borrowing, by telephone (confirmed by telecopy or electronic mail) not later than 11:00 a.m., New York City time, one Business Day before the date of prepayment or in the case of prepayment of a Swingline Loan, by telephone (confirmed by telecopy or electronic mail)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Revolving Commitments as contemplated by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Promptly following receipt of any such notice,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If at any time, other than as a result of fluctuations in currency exchange rates, the aggregate Revolving Credit Exposures (calculated in accordance with </w:t>
      </w:r>
      <w:r>
        <w:rPr>
          <w:rFonts w:ascii="Arial" w:cs="Arial" w:eastAsia="Arial" w:hAnsi="Arial"/>
          <w:sz w:val="22"/>
          <w:szCs w:val="22"/>
          <w:u w:val="single" w:color="auto"/>
          <w:color w:val="auto"/>
        </w:rPr>
        <w:t>Section 1.05(b)</w:t>
      </w:r>
      <w:r>
        <w:rPr>
          <w:rFonts w:ascii="Arial" w:cs="Arial" w:eastAsia="Arial" w:hAnsi="Arial"/>
          <w:sz w:val="22"/>
          <w:szCs w:val="22"/>
          <w:color w:val="auto"/>
        </w:rPr>
        <w:t xml:space="preserve"> as of the most recent Computation Date) exceed the aggregate Revolving Commitments,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288" w:lineRule="auto"/>
        <w:rPr>
          <w:sz w:val="20"/>
          <w:szCs w:val="20"/>
          <w:color w:val="auto"/>
        </w:rPr>
      </w:pPr>
      <w:r>
        <w:rPr>
          <w:rFonts w:ascii="Arial" w:cs="Arial" w:eastAsia="Arial" w:hAnsi="Arial"/>
          <w:sz w:val="19"/>
          <w:szCs w:val="19"/>
          <w:color w:val="auto"/>
        </w:rPr>
        <w:t xml:space="preserve">Foreign Currency Exposure (calculated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as of the most recent Computation Date) exceeds the Foreign Currency Sublimit or the aggregate LC Exposure (calculated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as of the most recent Computation Date) exceeds the Letter of Credit Sublimit, or solely as a result of fluctuations in currency exchange rates, the aggregate Revolving Credit Exposures (so calculated) exceed 105% of the aggregate Revolving Commitments, the Foreign Currency Exposure (so calculated) exceeds 105% the Foreign Currency Sublimit or the aggregate LC Exposure (so calculated) exceeds 105% of the Letter of Credit Sublimit, the Borrowers shall in each case immediately repay Borrowings or cash collateralize LC Exposure pursuant to </w:t>
      </w:r>
      <w:r>
        <w:rPr>
          <w:rFonts w:ascii="Arial" w:cs="Arial" w:eastAsia="Arial" w:hAnsi="Arial"/>
          <w:sz w:val="19"/>
          <w:szCs w:val="19"/>
          <w:u w:val="single" w:color="auto"/>
          <w:color w:val="auto"/>
        </w:rPr>
        <w:t>Section 2.06(k)</w:t>
      </w:r>
      <w:r>
        <w:rPr>
          <w:rFonts w:ascii="Arial" w:cs="Arial" w:eastAsia="Arial" w:hAnsi="Arial"/>
          <w:sz w:val="19"/>
          <w:szCs w:val="19"/>
          <w:color w:val="auto"/>
        </w:rPr>
        <w:t>, as applicable, in an aggregate principal amount sufficient to cause the aggregate Revolving Credit Exposures (so calculated) to be less than or equal to the aggregate Revolving Commitments, the Foreign Currency Exposure (so calculated) to be less than or equal to the Foreign Currency Sublimit and the aggregate LC Exposure (so calculated) to be less than or equal to the Letter of Credit Sublimit, as applicable.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Fees; Cost of Audits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for the account of each Lender an unused fee (the “</w:t>
      </w:r>
      <w:r>
        <w:rPr>
          <w:rFonts w:ascii="Arial" w:cs="Arial" w:eastAsia="Arial" w:hAnsi="Arial"/>
          <w:sz w:val="19"/>
          <w:szCs w:val="19"/>
          <w:u w:val="single" w:color="auto"/>
          <w:color w:val="auto"/>
        </w:rPr>
        <w:t>Unused Fee</w:t>
      </w:r>
      <w:r>
        <w:rPr>
          <w:rFonts w:ascii="Arial" w:cs="Arial" w:eastAsia="Arial" w:hAnsi="Arial"/>
          <w:sz w:val="19"/>
          <w:szCs w:val="19"/>
          <w:color w:val="auto"/>
        </w:rPr>
        <w:t xml:space="preserve">”), which shall accrue at the Applicable Margin for Unused Fees described in the definition of “Applicable Margin” on the daily unutilized amount of the Revolving Commitment of such Lender during the period from and including the Effective Date to but excluding the date on which such Revolving Commitment terminates. Accrued Unused Fees shall be payable in arrears on the first day of each fiscal quarter (currently January 1, April 1, July 1, and October 1 of each year) and on the date on which the Revolving Commitments terminate,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Unused Fees accruing after the date on which the Revolving Commitments terminate shall be payable on demand. All Unused Fees shall be computed on the basis of a year of 360 days and shall be payable for the actual number of days elapsed (including the first day but excluding the last day). For purposes of calculating the unutilized Revolving Commitment of each Lender, Swingline Loans made by or deemed made by such Lender shall not count as utilization.</w:t>
      </w:r>
    </w:p>
    <w:p>
      <w:pPr>
        <w:spacing w:after="0" w:line="159" w:lineRule="exact"/>
        <w:rPr>
          <w:rFonts w:ascii="Arial" w:cs="Arial" w:eastAsia="Arial" w:hAnsi="Arial"/>
          <w:sz w:val="19"/>
          <w:szCs w:val="19"/>
          <w:color w:val="auto"/>
        </w:rPr>
      </w:pPr>
    </w:p>
    <w:p>
      <w:pPr>
        <w:jc w:val="both"/>
        <w:ind w:firstLine="1304"/>
        <w:spacing w:after="0" w:line="258" w:lineRule="auto"/>
        <w:tabs>
          <w:tab w:leader="none" w:pos="1944"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Company agrees to pay to the Administrative Agent for the account of each Lender a participation fee with respect to its participations in Letters of Credit, which shall accrue at a rate per annum equal to the Applicable Margin for Eurocurrency Loans on the average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to the Issuing Bank a fronting fee of 0.125% per annum of the face of amount of each Letter of Credit, as well as the Issuing Bank’s standard fees with respect to the issuance, documentation, processing, amendment, renewal or extension of any Letter of Credit or processing of drawings, fees, and other standard costs and charges, of the Issuing Bank relating to the Letters of Credit as from time to time in effect. Participation fees and fronting fees accrued through and including the last day of March, June, September and December of each year shall be payable on the third Business Day following such last day, commencing on the first such date to occur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94" w:lineRule="auto"/>
        <w:rPr>
          <w:sz w:val="20"/>
          <w:szCs w:val="20"/>
          <w:color w:val="auto"/>
        </w:rPr>
      </w:pPr>
      <w:r>
        <w:rPr>
          <w:rFonts w:ascii="Arial" w:cs="Arial" w:eastAsia="Arial" w:hAnsi="Arial"/>
          <w:sz w:val="19"/>
          <w:szCs w:val="19"/>
          <w:color w:val="auto"/>
        </w:rPr>
        <w:t xml:space="preserve">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For the avoidance of doubt, participation fees and fronting fees shall be due and payable in full regardless of whether all or a portion of the Letters of Credit have been cash collateralized.</w:t>
      </w:r>
    </w:p>
    <w:p>
      <w:pPr>
        <w:spacing w:after="0" w:line="176" w:lineRule="exact"/>
        <w:rPr>
          <w:sz w:val="20"/>
          <w:szCs w:val="20"/>
          <w:color w:val="auto"/>
        </w:rPr>
      </w:pPr>
    </w:p>
    <w:p>
      <w:pPr>
        <w:ind w:firstLine="1304"/>
        <w:spacing w:after="0" w:line="263" w:lineRule="auto"/>
        <w:tabs>
          <w:tab w:leader="none" w:pos="193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Company agrees to pay to the Administrative Agent, for its own account, fees payable in the amounts and at the times separately agreed upon between the Company and the Administrative Agent.</w:t>
      </w:r>
    </w:p>
    <w:p>
      <w:pPr>
        <w:spacing w:after="0" w:line="201"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(or to the Issuing Bank, in the case of fees payable to it) for distribution, in the case of Unused Fees and participation fees, to the Lenders. Fees paid shall not be refundable under any circumstances.</w:t>
      </w:r>
    </w:p>
    <w:p>
      <w:pPr>
        <w:spacing w:after="0" w:line="212" w:lineRule="exact"/>
        <w:rPr>
          <w:rFonts w:ascii="Arial" w:cs="Arial" w:eastAsia="Arial" w:hAnsi="Arial"/>
          <w:sz w:val="22"/>
          <w:szCs w:val="22"/>
          <w:color w:val="auto"/>
        </w:rPr>
      </w:pPr>
    </w:p>
    <w:p>
      <w:pPr>
        <w:jc w:val="both"/>
        <w:ind w:firstLine="1304"/>
        <w:spacing w:after="0" w:line="302" w:lineRule="auto"/>
        <w:tabs>
          <w:tab w:leader="none" w:pos="193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Company shall pay the cost of all audits, inspections, valuations and/or field examinations conducted pursuant to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Event of Default shall be continuing, the Company shall not be required to pay for any such audit, inspection, valuation and/or field examination conducted prior to the date one (1) year after the Effective Date or more than two (2) such audits, inspections, valuations and/or field examinations per calendar year.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0" w:lineRule="auto"/>
        <w:tabs>
          <w:tab w:leader="none" w:pos="1932"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Loans comprising each ABR Borrowing (including each Swingline Loan denominated in U.S. Dollars) shall bear interest at the Alternate Base Rate plus the Applicable Margin. The Loans comprising each Canadian Prime Rate Borrowing (including each Swingline Loan denominated in Canadian Dollars) shall bear interest at the Canadian Prime Rate plus the Applicable Margin.</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Loans comprising each Eurocurrency Borrowing shall bear interest in the case of a Eurocurrency Revolving Loan, at the Adjusted LIBO Rate or the Adjusted EURIBOR Rate, as applicable, for the Interest Period in effect for such Borrowing plus the Applicable Margin.</w:t>
      </w:r>
    </w:p>
    <w:p>
      <w:pPr>
        <w:spacing w:after="0" w:line="212" w:lineRule="exact"/>
        <w:rPr>
          <w:rFonts w:ascii="Arial" w:cs="Arial" w:eastAsia="Arial" w:hAnsi="Arial"/>
          <w:sz w:val="22"/>
          <w:szCs w:val="22"/>
          <w:color w:val="auto"/>
        </w:rPr>
      </w:pPr>
    </w:p>
    <w:p>
      <w:pPr>
        <w:ind w:firstLine="1304"/>
        <w:spacing w:after="0" w:line="263" w:lineRule="auto"/>
        <w:tabs>
          <w:tab w:leader="none" w:pos="1932"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Loans comprising each CDOR Borrowing shall bear interest at the Canadian Dealer Offered Rate for the Interest Period in effect for such Borrowing plus the Applicable Margin.</w:t>
      </w:r>
    </w:p>
    <w:p>
      <w:pPr>
        <w:spacing w:after="0" w:line="201" w:lineRule="exact"/>
        <w:rPr>
          <w:rFonts w:ascii="Arial" w:cs="Arial" w:eastAsia="Arial" w:hAnsi="Arial"/>
          <w:sz w:val="22"/>
          <w:szCs w:val="22"/>
          <w:color w:val="auto"/>
        </w:rPr>
      </w:pPr>
    </w:p>
    <w:p>
      <w:pPr>
        <w:ind w:firstLine="1304"/>
        <w:spacing w:after="0" w:line="263" w:lineRule="auto"/>
        <w:tabs>
          <w:tab w:leader="none" w:pos="19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Loans comprising each EURIBOR Borrowing shall bear interest at the EURIBOR Rate for the Interest Period in effect for such Borrowing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31" w:name="page132"/>
    <w:bookmarkEnd w:id="131"/>
    <w:p>
      <w:pPr>
        <w:jc w:val="both"/>
        <w:ind w:firstLine="1304"/>
        <w:spacing w:after="0" w:line="289" w:lineRule="auto"/>
        <w:tabs>
          <w:tab w:leader="none" w:pos="19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in the case of overdue principal of any Loan, 2% plus the rate otherwise applicable to such Loan as provided in the preceding paragraphs of this Section, in the case of overdue interest on any Eurocurrency Loan denominated in Foreign Currencies, any CDOR Loan or any EURIBOR Loan, 2% plus the rate applicable to such Loan as provided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as applicable, in the case of any other amount (other than any amount denominated in Canadian Dollars), 2% plus the rate applicable to ABR Loans as provided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 or in the case of any other amount denominated in Canadian Dollars, 2% plus the rate applicable to Canadian Prime Rate Loans as provided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this Section.</w:t>
      </w:r>
    </w:p>
    <w:p>
      <w:pPr>
        <w:spacing w:after="0" w:line="183" w:lineRule="exact"/>
        <w:rPr>
          <w:rFonts w:ascii="Arial" w:cs="Arial" w:eastAsia="Arial" w:hAnsi="Arial"/>
          <w:sz w:val="19"/>
          <w:szCs w:val="19"/>
          <w:color w:val="auto"/>
        </w:rPr>
      </w:pPr>
    </w:p>
    <w:p>
      <w:pPr>
        <w:jc w:val="both"/>
        <w:ind w:firstLine="1304"/>
        <w:spacing w:after="0" w:line="292" w:lineRule="auto"/>
        <w:tabs>
          <w:tab w:leader="none" w:pos="193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interest accrued pursuant to paragraph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shall be payable on demand, in the event of any repayment or prepayment of any Loan (other than a prepayment of a Canadian Prime Rate Revolving Loan or an ABR Revolving Loan prior to the end of the Availability Period), accrued interest on the principal amount repaid or prepaid shall be payable on the date of such repayment or prepayment and in the event of any conversion of any CDOR Loan, Eurocurrency Loan or EURIBOR Loan prior to the end of the current Interest Period therefor, accrued interest on such Loan shall be payable on the effective date of such conversion.</w:t>
      </w:r>
    </w:p>
    <w:p>
      <w:pPr>
        <w:spacing w:after="0" w:line="177" w:lineRule="exact"/>
        <w:rPr>
          <w:rFonts w:ascii="Arial" w:cs="Arial" w:eastAsia="Arial" w:hAnsi="Arial"/>
          <w:sz w:val="19"/>
          <w:szCs w:val="19"/>
          <w:color w:val="auto"/>
        </w:rPr>
      </w:pPr>
    </w:p>
    <w:p>
      <w:pPr>
        <w:jc w:val="both"/>
        <w:ind w:firstLine="1304"/>
        <w:spacing w:after="0" w:line="292" w:lineRule="auto"/>
        <w:tabs>
          <w:tab w:leader="none" w:pos="19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on Borrowings denominated in Sterling and Canadian Dollars and interest computed by reference to the Alternate Base Rate at times when the Alternate Base Rate is based on the Prime Rate, in each case, shall be computed on the basis of a year of 365 days (or, except in the case of Borrowings denominated in Sterling, 366 days in a leap year), and in each case shall be payable for the actual number of days elapsed (including the first day but excluding the last day). The applicable Alternate Base Rate, Adjusted LIBO Rate, Canadian Prime Rate, Canadian Dealer Offered Rate, Eurocurrency Rate, EURIBOR Rate or LIBO Rate shall be determined by the Administrative Agent, and such determination shall be conclusive absent manifest error.</w:t>
      </w:r>
    </w:p>
    <w:p>
      <w:pPr>
        <w:spacing w:after="0" w:line="177"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For purposes of the Interest Act (Canada), where in this Agreement or any other Loan Document a rate of interest is to be calculated on the basis of a year of 360, 365 or 366 days, the yearly rate of interest to which the rate is equivalent is the rate multiplied by the number of days in the year for which the calculation is made and divided by 360, 365 or 366, as applicable.</w:t>
      </w:r>
    </w:p>
    <w:p>
      <w:pPr>
        <w:spacing w:after="0" w:line="228" w:lineRule="exact"/>
        <w:rPr>
          <w:rFonts w:ascii="Arial" w:cs="Arial" w:eastAsia="Arial" w:hAnsi="Arial"/>
          <w:sz w:val="22"/>
          <w:szCs w:val="22"/>
          <w:color w:val="auto"/>
        </w:rPr>
      </w:pPr>
    </w:p>
    <w:p>
      <w:pPr>
        <w:jc w:val="both"/>
        <w:ind w:firstLine="1304"/>
        <w:spacing w:after="0" w:line="265" w:lineRule="auto"/>
        <w:tabs>
          <w:tab w:leader="none" w:pos="1936"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any provision of this Agreement or of any of the other Loan Documents would obligate any Credit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86" w:lineRule="auto"/>
        <w:rPr>
          <w:sz w:val="20"/>
          <w:szCs w:val="20"/>
          <w:color w:val="auto"/>
        </w:rPr>
      </w:pPr>
      <w:r>
        <w:rPr>
          <w:rFonts w:ascii="Arial" w:cs="Arial" w:eastAsia="Arial" w:hAnsi="Arial"/>
          <w:sz w:val="19"/>
          <w:szCs w:val="19"/>
          <w:color w:val="auto"/>
        </w:rPr>
        <w:t xml:space="preserve">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firstly, by reducing the amount or rate of interest required to be paid to the Lenders under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Credit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paragraph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earliest possible date to the Termination Date and, in the event of a dispute, a certificate of a Fellow of the Canadian Institute of Actuaries appointed by the Administrative Agent shall be conclusive for the purposes of such determination.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Alternate Rate of Interest; Illegality</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8" w:lineRule="auto"/>
        <w:tabs>
          <w:tab w:leader="none" w:pos="1932"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If, at the time the Administrative Agent shall seek to determine the relevant Screen Rate on the Quotation Day for any Interest Period, the applicable Screen Rate shall not be available for such Interest Period and/or for the applicable currency for any reason and the Administrative Agent shall determine that it is not possible to determine the Interpolated Rate (which conclusion shall be conclusive and binding absent manifest error), then the LIBO Rate, EURIBOR Rate or CDOR Rate, as the case may be, for such Interest Period for the relevant Borrowing shall be the Reference Bank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Reference Bank Rate shall be less than zero, such rate shall be deemed to be zero for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less than two Reference Banks shall supply a rate to the Administrative Agent for purposes of determining such rate for such Borrowing, if such Borrowing shall be requested in U.S. Dollars, then such Borrowing shall be made as an ABR Borrowing, if such Borrowing shall be requested in Canadian Dollars, then such Borrowing shall be made as a Canadian Prime Rate Borrowing and if such Borrowing shall be requested in any other currency, the request for such Borrowing shall be ineffective.</w:t>
      </w:r>
    </w:p>
    <w:p>
      <w:pPr>
        <w:spacing w:after="0" w:line="181" w:lineRule="exact"/>
        <w:rPr>
          <w:rFonts w:ascii="Arial" w:cs="Arial" w:eastAsia="Arial" w:hAnsi="Arial"/>
          <w:sz w:val="21"/>
          <w:szCs w:val="21"/>
          <w:color w:val="auto"/>
        </w:rPr>
      </w:pPr>
    </w:p>
    <w:p>
      <w:pPr>
        <w:ind w:right="20" w:firstLine="1304"/>
        <w:spacing w:after="0" w:line="263" w:lineRule="auto"/>
        <w:tabs>
          <w:tab w:leader="none" w:pos="19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Subject to clauses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if prior to the commencement of any Interest Period for a CDOR Borrowing, a Eurocurrency Borrowing or a EURIBOR Borrowing:</w:t>
      </w:r>
    </w:p>
    <w:p>
      <w:pPr>
        <w:spacing w:after="0" w:line="201" w:lineRule="exact"/>
        <w:rPr>
          <w:rFonts w:ascii="Arial" w:cs="Arial" w:eastAsia="Arial" w:hAnsi="Arial"/>
          <w:sz w:val="22"/>
          <w:szCs w:val="22"/>
          <w:color w:val="auto"/>
        </w:rPr>
      </w:pPr>
    </w:p>
    <w:p>
      <w:pPr>
        <w:ind w:left="660" w:right="20" w:firstLine="1178"/>
        <w:spacing w:after="0" w:line="263" w:lineRule="auto"/>
        <w:tabs>
          <w:tab w:leader="none" w:pos="201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Administrative Agent determines (which determination shall be conclusive absent manifest error) that adequate and reasonable means do not exist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7" w:right="339" w:bottom="1440" w:gutter="0" w:footer="0" w:header="0"/>
        </w:sectPr>
      </w:pPr>
    </w:p>
    <w:bookmarkStart w:id="133" w:name="page134"/>
    <w:bookmarkEnd w:id="133"/>
    <w:p>
      <w:pPr>
        <w:jc w:val="both"/>
        <w:ind w:left="660"/>
        <w:spacing w:after="0" w:line="250" w:lineRule="auto"/>
        <w:rPr>
          <w:sz w:val="20"/>
          <w:szCs w:val="20"/>
          <w:color w:val="auto"/>
        </w:rPr>
      </w:pPr>
      <w:r>
        <w:rPr>
          <w:rFonts w:ascii="Arial" w:cs="Arial" w:eastAsia="Arial" w:hAnsi="Arial"/>
          <w:sz w:val="22"/>
          <w:szCs w:val="22"/>
          <w:color w:val="auto"/>
        </w:rPr>
        <w:t xml:space="preserve">ascertaining the Adjusted LIBO Rate, the LIBO Rate, the Canadian Dealer Offered Rate or the Adjusted EURIBOR Rate or the EURIBOR Rate, as applicable (including because the Relevant Screen Rate is not available or published on a current basis), for the applicable Agreed Currency and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Benchmark Transition Event shall have occurred at such time; or</w:t>
      </w:r>
    </w:p>
    <w:p>
      <w:pPr>
        <w:spacing w:after="0" w:line="215" w:lineRule="exact"/>
        <w:rPr>
          <w:sz w:val="20"/>
          <w:szCs w:val="20"/>
          <w:color w:val="auto"/>
        </w:rPr>
      </w:pPr>
    </w:p>
    <w:p>
      <w:pPr>
        <w:jc w:val="both"/>
        <w:ind w:left="660" w:firstLine="1118"/>
        <w:spacing w:after="0" w:line="302" w:lineRule="auto"/>
        <w:tabs>
          <w:tab w:leader="none" w:pos="2037"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Administrative Agent is advised by the Required Lenders that the Adjusted LIBO Rate, the LIBO Rate, the Canadian Dealer Offered Rate or the EURIBOR Rate, as applicable, for the applicable Agreed Currency for such Interest Period will not adequately and fairly reflect the cost to such Lenders (or Lender) of making or maintaining their Loans included in such Borrowing for the applicable Agreed Currency and such Interest Period;</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no outstanding Borrowing of U.S. Dollars or Canadian Dollars shall be converted to or continued as a Eurocurrency Borrowing or CDOR Borrowing, as applicable, and any Interest Election Request requesting such conversion or continuation shall be ineffective, no outstanding Eurocurrency Borrowing in any Foreign Currency or EURIBOR Borrowing shall be continued and any Interest Election Request requesting such continuation shall be ineffective, if any Borrowing Request requests a Eurocurrency Borrowing in U.S. Dollars, such Borrowing shall be made as an ABR Borrowing, if any Borrower Request requests a Eurocurrency Borrowing in an Alternative Currency, then such request shall be ineffective, (E) if any Borrowing Request requests a CDOR Borrowing, such Borrowing shall be made as a Canadian Prime Rate Borrowing and (F) if any Borrowing Request requests a EURIBOR Borrowing, such request shall be ineffective;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less than all Types of Borrowings, then the other Types of Borrowings shall be permitted. Furthermore, if any Eurocurrency Loan in any Agreed Currency is outstanding on the date of the Company’s receipt of the notice from the Administrative Agent referred to in this Section 2.14(b) with respect to a Relevant Rate applicable to such Eurocurrency Loan, then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Borrowers on such day or (B) be converted by the Administrative Agent to, and (subject to the remainder of this subclause (B)) shall constitute, an ABR Loan denominated in dollars (in an amount equal to the Dollar Equivalent of such Agreed Currency) on such day (it being understood and agreed that if the Borrowers do not so prepay such Loan on such day by 12:00 noon, local time, the Administrative Agent is authorized to effect such conversion of such Eurocurrency Loan into an ABR Loan denominated in dollars), and, in the case of such subclause (B), upon the Company’s receipt of notice from the Administrative Agent that the circumstances giving rise to the aforementioned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7" w:right="339" w:bottom="1440" w:gutter="0" w:footer="0" w:header="0"/>
        </w:sectPr>
      </w:pPr>
    </w:p>
    <w:bookmarkStart w:id="134" w:name="page135"/>
    <w:bookmarkEnd w:id="134"/>
    <w:p>
      <w:pPr>
        <w:jc w:val="both"/>
        <w:spacing w:after="0" w:line="312" w:lineRule="auto"/>
        <w:rPr>
          <w:sz w:val="20"/>
          <w:szCs w:val="20"/>
          <w:color w:val="auto"/>
        </w:rPr>
      </w:pPr>
      <w:r>
        <w:rPr>
          <w:rFonts w:ascii="Arial" w:cs="Arial" w:eastAsia="Arial" w:hAnsi="Arial"/>
          <w:sz w:val="19"/>
          <w:szCs w:val="19"/>
          <w:color w:val="auto"/>
        </w:rPr>
        <w:t>notice no longer exist, such ABR Loan denominated in dollars shall then be converted by the Administrative Agent to, and shall constitute, a Eurocurrency Loan denominated in such original Agreed Currency (in an amount equal to the Alternative Currency Equivalent of such Agreed Currency) on the day of such notice being given to the Company by the Administrative Agent.</w:t>
      </w:r>
    </w:p>
    <w:p>
      <w:pPr>
        <w:spacing w:after="0" w:line="133" w:lineRule="exact"/>
        <w:rPr>
          <w:sz w:val="20"/>
          <w:szCs w:val="20"/>
          <w:color w:val="auto"/>
        </w:rPr>
      </w:pPr>
    </w:p>
    <w:p>
      <w:pPr>
        <w:jc w:val="both"/>
        <w:ind w:firstLine="1304"/>
        <w:spacing w:after="0" w:line="286" w:lineRule="auto"/>
        <w:tabs>
          <w:tab w:leader="none" w:pos="1932"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5"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subject to the proviso below in this paragraph, solely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shall not be effective unless the Administrative Agent has delivered to the Lenders and the Company a Term SOFR Notice. For the avoidance of doubt, the Administrative Agent shall not be required to deliver a Term SOFR Notice after the occurrence of a Term SOFR Transition Event and may do so in its sole discretion.</w:t>
      </w:r>
    </w:p>
    <w:p>
      <w:pPr>
        <w:spacing w:after="0" w:line="183" w:lineRule="exact"/>
        <w:rPr>
          <w:rFonts w:ascii="Arial" w:cs="Arial" w:eastAsia="Arial" w:hAnsi="Arial"/>
          <w:sz w:val="19"/>
          <w:szCs w:val="19"/>
          <w:color w:val="auto"/>
        </w:rPr>
      </w:pPr>
    </w:p>
    <w:p>
      <w:pPr>
        <w:jc w:val="both"/>
        <w:ind w:firstLine="1304"/>
        <w:spacing w:after="0" w:line="302" w:lineRule="auto"/>
        <w:tabs>
          <w:tab w:leader="none" w:pos="1932"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9" w:lineRule="exact"/>
        <w:rPr>
          <w:rFonts w:ascii="Arial" w:cs="Arial" w:eastAsia="Arial" w:hAnsi="Arial"/>
          <w:sz w:val="19"/>
          <w:szCs w:val="19"/>
          <w:color w:val="auto"/>
        </w:rPr>
      </w:pPr>
    </w:p>
    <w:p>
      <w:pPr>
        <w:ind w:right="20" w:firstLine="1304"/>
        <w:spacing w:after="0" w:line="263" w:lineRule="auto"/>
        <w:tabs>
          <w:tab w:leader="none" w:pos="193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Administrative Agent will promptly notify the Company and the Lenders of any occurrence of a Benchmark Transition Event or an Early Opt-in Election,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90" w:lineRule="auto"/>
        <w:rPr>
          <w:sz w:val="20"/>
          <w:szCs w:val="20"/>
          <w:color w:val="auto"/>
        </w:rPr>
      </w:pPr>
      <w:r>
        <w:rPr>
          <w:rFonts w:ascii="Arial" w:cs="Arial" w:eastAsia="Arial" w:hAnsi="Arial"/>
          <w:sz w:val="19"/>
          <w:szCs w:val="19"/>
          <w:color w:val="auto"/>
        </w:rPr>
        <w:t xml:space="preserve">applicable, and its related Benchmark Replacement Date, the implementation of any Benchmark Replacement, the effectiveness of any Benchmark Replacement Conforming Changes, the removal or reinstatement of any tenor of a Benchmark pursuant to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83" w:lineRule="exact"/>
        <w:rPr>
          <w:sz w:val="20"/>
          <w:szCs w:val="20"/>
          <w:color w:val="auto"/>
        </w:rPr>
      </w:pPr>
    </w:p>
    <w:p>
      <w:pPr>
        <w:jc w:val="both"/>
        <w:ind w:firstLine="1304"/>
        <w:spacing w:after="0" w:line="257" w:lineRule="auto"/>
        <w:tabs>
          <w:tab w:leader="none" w:pos="1944"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or in any other Loan Document, at any time (including in connection with the implementation of a Benchmark Replacement), if the then-current Benchmark is a term rate (including Term SOFR or LIBO Rate) and either any tenor for such Benchmark is not displayed on a screen or other information service that publishes such rate from time to time as selected by the Administrative Agent in its reasonable discretion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if a tenor that was removed pursuant to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above either is subsequently displayed on a screen or information service for a Benchmark (including a Benchmark Replacement) or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17" w:lineRule="exact"/>
        <w:rPr>
          <w:rFonts w:ascii="Arial" w:cs="Arial" w:eastAsia="Arial" w:hAnsi="Arial"/>
          <w:sz w:val="21"/>
          <w:szCs w:val="21"/>
          <w:color w:val="auto"/>
        </w:rPr>
      </w:pPr>
    </w:p>
    <w:p>
      <w:pPr>
        <w:jc w:val="both"/>
        <w:ind w:firstLine="1304"/>
        <w:spacing w:after="0" w:line="286" w:lineRule="auto"/>
        <w:tabs>
          <w:tab w:leader="none" w:pos="1944" w:val="left"/>
        </w:tabs>
        <w:numPr>
          <w:ilvl w:val="0"/>
          <w:numId w:val="95"/>
        </w:numPr>
        <w:rPr>
          <w:rFonts w:ascii="Arial" w:cs="Arial" w:eastAsia="Arial" w:hAnsi="Arial"/>
          <w:sz w:val="19"/>
          <w:szCs w:val="19"/>
          <w:color w:val="auto"/>
        </w:rPr>
      </w:pPr>
      <w:r>
        <w:rPr>
          <w:rFonts w:ascii="Arial" w:cs="Arial" w:eastAsia="Arial" w:hAnsi="Arial"/>
          <w:sz w:val="19"/>
          <w:szCs w:val="19"/>
          <w:color w:val="auto"/>
        </w:rPr>
        <w:t>Upon the Company’s receipt of notice of the commencement of a Benchmark Unavailability Period, the Company may revoke any request for a Eurocurrency Borrowing of, conversion to or continuation of Eurocurrency Loans to be made, converted or continued during any Benchmark Unavailability Period and, failing that, either (x) the Company will be deemed to have converted any request for a Eurocurrency Borrowing denominated in dollars into a request for a Borrowing of or conversion to ABR Loans or (y) any Eurocurrency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Company’s receipt of notice of the commencement of a Benchmark Unavailability Period with respect to a Relevant Rate applicable to such Eurocurrency Loan, then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Agreed Currency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7" w:right="339" w:bottom="1440" w:gutter="0" w:footer="0" w:header="0"/>
        </w:sectPr>
      </w:pPr>
    </w:p>
    <w:bookmarkStart w:id="136" w:name="page137"/>
    <w:bookmarkEnd w:id="136"/>
    <w:p>
      <w:pPr>
        <w:spacing w:after="0" w:line="291" w:lineRule="auto"/>
        <w:rPr>
          <w:sz w:val="20"/>
          <w:szCs w:val="20"/>
          <w:color w:val="auto"/>
        </w:rPr>
      </w:pPr>
      <w:r>
        <w:rPr>
          <w:rFonts w:ascii="Arial" w:cs="Arial" w:eastAsia="Arial" w:hAnsi="Arial"/>
          <w:sz w:val="19"/>
          <w:szCs w:val="19"/>
          <w:color w:val="auto"/>
        </w:rPr>
        <w:t>dollars), then such Loan shall, on the last day of the Interest Period applicable to such Loan (or the next succeeding Business Day if such day is not a Business Day), at the Company’s election prior to such day: (A) be prepaid by the Borrowers on such day or</w:t>
      </w:r>
    </w:p>
    <w:p>
      <w:pPr>
        <w:spacing w:after="0" w:line="1" w:lineRule="exact"/>
        <w:rPr>
          <w:sz w:val="20"/>
          <w:szCs w:val="20"/>
          <w:color w:val="auto"/>
        </w:rPr>
      </w:pPr>
    </w:p>
    <w:p>
      <w:pPr>
        <w:jc w:val="both"/>
        <w:ind w:firstLine="8"/>
        <w:spacing w:after="0" w:line="256" w:lineRule="auto"/>
        <w:tabs>
          <w:tab w:leader="none" w:pos="359"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be converted by the Administrative Agent to, and (subject to the remainder of this subclause (B)) shall constitute, an ABR Loan denominated in dollars (in an amount equal to the Dollar Equivalent of such Agreed Currency) on such day (it being understood and agreed that if the Company does not so prepay such Loan on such day by 12:00 noon, local time, the Administrative Agent is authorized to effect such conversion of such Eurocurrency Loan into an ABR Loan denominated in dollars), and, in the case of such subclause (B), upon any subsequent implementation of a Benchmark Replacement in respect of such Agreed Currency pursuant to this </w:t>
      </w:r>
      <w:r>
        <w:rPr>
          <w:rFonts w:ascii="Arial" w:cs="Arial" w:eastAsia="Arial" w:hAnsi="Arial"/>
          <w:sz w:val="21"/>
          <w:szCs w:val="21"/>
          <w:u w:val="single" w:color="auto"/>
          <w:color w:val="auto"/>
        </w:rPr>
        <w:t>Section 2.14</w:t>
      </w:r>
      <w:r>
        <w:rPr>
          <w:rFonts w:ascii="Arial" w:cs="Arial" w:eastAsia="Arial" w:hAnsi="Arial"/>
          <w:sz w:val="21"/>
          <w:szCs w:val="21"/>
          <w:color w:val="auto"/>
        </w:rPr>
        <w:t>, such ABR Loan denominated in dollars shall then be converted by the Administrative Agent to, and shall constitute, a Eurocurrency Loan denominated in such original Agreed Currency (in an amount equal to the Alternative Currency Equivalent of such Agreed Currency) on the day of such implementation, giving effect to such Benchmark Replacement in respect of such Agreed Currency.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1"/>
          <w:numId w:val="97"/>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19" w:lineRule="exact"/>
        <w:rPr>
          <w:rFonts w:ascii="Arial" w:cs="Arial" w:eastAsia="Arial" w:hAnsi="Arial"/>
          <w:sz w:val="22"/>
          <w:szCs w:val="22"/>
          <w:color w:val="auto"/>
        </w:rPr>
      </w:pPr>
    </w:p>
    <w:p>
      <w:pPr>
        <w:jc w:val="both"/>
        <w:ind w:left="660" w:firstLine="1178"/>
        <w:spacing w:after="0" w:line="312" w:lineRule="auto"/>
        <w:tabs>
          <w:tab w:leader="none" w:pos="2037" w:val="left"/>
        </w:tabs>
        <w:numPr>
          <w:ilvl w:val="2"/>
          <w:numId w:val="97"/>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Adjusted LIBO Rate or the Adjusted EURIBOR Rate) or the Issuing Bank;</w:t>
      </w:r>
    </w:p>
    <w:p>
      <w:pPr>
        <w:spacing w:after="0" w:line="160" w:lineRule="exact"/>
        <w:rPr>
          <w:rFonts w:ascii="Arial" w:cs="Arial" w:eastAsia="Arial" w:hAnsi="Arial"/>
          <w:sz w:val="19"/>
          <w:szCs w:val="19"/>
          <w:color w:val="auto"/>
        </w:rPr>
      </w:pPr>
    </w:p>
    <w:p>
      <w:pPr>
        <w:jc w:val="both"/>
        <w:ind w:left="660" w:firstLine="1118"/>
        <w:spacing w:after="0" w:line="253" w:lineRule="auto"/>
        <w:tabs>
          <w:tab w:leader="none" w:pos="2023" w:val="left"/>
        </w:tabs>
        <w:numPr>
          <w:ilvl w:val="2"/>
          <w:numId w:val="97"/>
        </w:numPr>
        <w:rPr>
          <w:rFonts w:ascii="Arial" w:cs="Arial" w:eastAsia="Arial" w:hAnsi="Arial"/>
          <w:sz w:val="22"/>
          <w:szCs w:val="22"/>
          <w:color w:val="auto"/>
        </w:rPr>
      </w:pPr>
      <w:r>
        <w:rPr>
          <w:rFonts w:ascii="Arial" w:cs="Arial" w:eastAsia="Arial" w:hAnsi="Arial"/>
          <w:sz w:val="22"/>
          <w:szCs w:val="22"/>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212" w:lineRule="exact"/>
        <w:rPr>
          <w:rFonts w:ascii="Arial" w:cs="Arial" w:eastAsia="Arial" w:hAnsi="Arial"/>
          <w:sz w:val="22"/>
          <w:szCs w:val="22"/>
          <w:color w:val="auto"/>
        </w:rPr>
      </w:pPr>
    </w:p>
    <w:p>
      <w:pPr>
        <w:ind w:left="2000" w:hanging="282"/>
        <w:spacing w:after="0"/>
        <w:tabs>
          <w:tab w:leader="none" w:pos="2000" w:val="left"/>
        </w:tabs>
        <w:numPr>
          <w:ilvl w:val="2"/>
          <w:numId w:val="97"/>
        </w:numPr>
        <w:rPr>
          <w:rFonts w:ascii="Arial" w:cs="Arial" w:eastAsia="Arial" w:hAnsi="Arial"/>
          <w:sz w:val="19"/>
          <w:szCs w:val="19"/>
          <w:color w:val="auto"/>
        </w:rPr>
      </w:pPr>
      <w:r>
        <w:rPr>
          <w:rFonts w:ascii="Arial" w:cs="Arial" w:eastAsia="Arial" w:hAnsi="Arial"/>
          <w:sz w:val="19"/>
          <w:szCs w:val="19"/>
          <w:color w:val="auto"/>
        </w:rPr>
        <w:t>subject any Recipient to any Taxes (other than Indemnified Taxes, Taxes described in clauses (b) through</w:t>
      </w:r>
    </w:p>
    <w:p>
      <w:pPr>
        <w:spacing w:after="0" w:line="55" w:lineRule="exact"/>
        <w:rPr>
          <w:rFonts w:ascii="Arial" w:cs="Arial" w:eastAsia="Arial" w:hAnsi="Arial"/>
          <w:sz w:val="19"/>
          <w:szCs w:val="19"/>
          <w:color w:val="auto"/>
        </w:rPr>
      </w:pPr>
    </w:p>
    <w:p>
      <w:pPr>
        <w:ind w:left="660" w:hanging="4"/>
        <w:spacing w:after="0" w:line="269" w:lineRule="auto"/>
        <w:tabs>
          <w:tab w:leader="none" w:pos="999" w:val="left"/>
        </w:tabs>
        <w:numPr>
          <w:ilvl w:val="0"/>
          <w:numId w:val="98"/>
        </w:numPr>
        <w:rPr>
          <w:rFonts w:ascii="Arial" w:cs="Arial" w:eastAsia="Arial" w:hAnsi="Arial"/>
          <w:sz w:val="21"/>
          <w:szCs w:val="21"/>
          <w:color w:val="auto"/>
        </w:rPr>
      </w:pPr>
      <w:r>
        <w:rPr>
          <w:rFonts w:ascii="Arial" w:cs="Arial" w:eastAsia="Arial" w:hAnsi="Arial"/>
          <w:sz w:val="21"/>
          <w:szCs w:val="21"/>
          <w:color w:val="auto"/>
        </w:rPr>
        <w:t>of the definition of Excluded Taxes and Connection Income Taxes) on its loans, loan principal, letters of credit, commitments, or other obligations, or its deposits, reserves, other liabilities or capital attributable thereto;</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Issuing Bank or such other Recipient of participating in, issuing or maintaining any Letter of Credit (or of maintaining its obligation to participate in or to issue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7" w:right="339" w:bottom="1440" w:gutter="0" w:footer="0" w:header="0"/>
        </w:sectPr>
      </w:pPr>
    </w:p>
    <w:bookmarkStart w:id="137" w:name="page138"/>
    <w:bookmarkEnd w:id="137"/>
    <w:p>
      <w:pPr>
        <w:jc w:val="both"/>
        <w:ind w:firstLine="1304"/>
        <w:spacing w:after="0" w:line="289"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Issuing Bank’s holding company for any such reduction suffered.</w:t>
      </w:r>
    </w:p>
    <w:p>
      <w:pPr>
        <w:spacing w:after="0" w:line="156" w:lineRule="exact"/>
        <w:rPr>
          <w:rFonts w:ascii="Arial" w:cs="Arial" w:eastAsia="Arial" w:hAnsi="Arial"/>
          <w:sz w:val="19"/>
          <w:szCs w:val="19"/>
          <w:color w:val="auto"/>
        </w:rPr>
      </w:pPr>
    </w:p>
    <w:p>
      <w:pPr>
        <w:jc w:val="both"/>
        <w:ind w:firstLine="1304"/>
        <w:spacing w:after="0" w:line="302" w:lineRule="auto"/>
        <w:tabs>
          <w:tab w:leader="none" w:pos="193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 certificate of a Lender or the Issuing Bank setting forth the amount or amounts necessary to compensate such Lender or the Issuing Bank or its holding company, as the case may be, as specified in paragraph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delivered to the Company and shall be conclusive absent manifest error. The Borrowers shall pay such Lender or the Issuing Bank, as the case may be, the amount shown as due on any such certificate within 10 days after receipt thereof.</w:t>
      </w:r>
    </w:p>
    <w:p>
      <w:pPr>
        <w:spacing w:after="0" w:line="169" w:lineRule="exact"/>
        <w:rPr>
          <w:rFonts w:ascii="Arial" w:cs="Arial" w:eastAsia="Arial" w:hAnsi="Arial"/>
          <w:sz w:val="19"/>
          <w:szCs w:val="19"/>
          <w:color w:val="auto"/>
        </w:rPr>
      </w:pPr>
    </w:p>
    <w:p>
      <w:pPr>
        <w:jc w:val="both"/>
        <w:ind w:firstLine="1304"/>
        <w:spacing w:after="0" w:line="292" w:lineRule="auto"/>
        <w:tabs>
          <w:tab w:leader="none" w:pos="1944"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Company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the payment of any principal of any Eurocurrency Loan, CDOR Loan or EURIBOR Loan other than on the last day of an Interest Period applicable thereto (including as a result of an Event of Default or as a result of any prepayment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conversion of any Eurocurrency Loan denominated in U.S. Dollars or CDOR Loan other than on the last day of the Interest Period applicable thereto, the failure to borrow, convert, continue or prepay any Eurocurrency Loan, CDOR Loan or EURIBOR Loan on the date specified in any notice delivered pursuant hereto (regardless of whether such notice may be revoked under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and is revoked in accordance therewith), or the assignment of any Eurocurrency Loan, CDOR Loan or EURIBOR Loan other than on the last day of the Interest Period applicable thereto as a result of a request by the Company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then, in any such event, the Borrowers shall compensate each Lender for the loss, cost and expense attributable to such event. Such loss, cost or expense to any Lender shall be deemed to include an amount determined by such Lender to be the excess, if any, of the amount of interest which would have accrued on the principal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58" w:lineRule="auto"/>
        <w:rPr>
          <w:sz w:val="20"/>
          <w:szCs w:val="20"/>
          <w:color w:val="auto"/>
        </w:rPr>
      </w:pPr>
      <w:r>
        <w:rPr>
          <w:rFonts w:ascii="Arial" w:cs="Arial" w:eastAsia="Arial" w:hAnsi="Arial"/>
          <w:sz w:val="21"/>
          <w:szCs w:val="21"/>
          <w:color w:val="auto"/>
        </w:rPr>
        <w:t>Loan had such event not occurred, at the Adjusted LIBO Rate, Adjusted EURIBOR Rate, the Canadian Dealer Offered Rate or the EURIBOR Rate, as applicable, plus the Applicable Margin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London or European interbank market, or for Canadian Dollar deposits of a comparable amount and period to such CDOR Loan from other banks in the Canadian bankers’ acceptance market.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ten (10) days after receipt thereof.</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9" w:lineRule="auto"/>
        <w:tabs>
          <w:tab w:leader="none" w:pos="193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56"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Borrowers</w:t>
      </w:r>
      <w:r>
        <w:rPr>
          <w:rFonts w:ascii="Arial" w:cs="Arial" w:eastAsia="Arial" w:hAnsi="Arial"/>
          <w:sz w:val="22"/>
          <w:szCs w:val="22"/>
          <w:color w:val="auto"/>
        </w:rPr>
        <w:t>. The Credit Parties shall timely pay to the relevant Governmental Authority in accordance with applicable law, or at the option of the Administrative Agent timely reimburse it for, Other Taxes.</w:t>
      </w:r>
    </w:p>
    <w:p>
      <w:pPr>
        <w:spacing w:after="0" w:line="212"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As soon as practicable after any payment of Taxes by any Credit Party to a Governmental Authority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2" w:lineRule="exact"/>
        <w:rPr>
          <w:rFonts w:ascii="Arial" w:cs="Arial" w:eastAsia="Arial" w:hAnsi="Arial"/>
          <w:sz w:val="21"/>
          <w:szCs w:val="21"/>
          <w:color w:val="auto"/>
        </w:rPr>
      </w:pPr>
    </w:p>
    <w:p>
      <w:pPr>
        <w:jc w:val="both"/>
        <w:ind w:firstLine="1304"/>
        <w:spacing w:after="0" w:line="302" w:lineRule="auto"/>
        <w:tabs>
          <w:tab w:leader="none" w:pos="194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Borrowers</w:t>
      </w:r>
      <w:r>
        <w:rPr>
          <w:rFonts w:ascii="Arial" w:cs="Arial" w:eastAsia="Arial" w:hAnsi="Arial"/>
          <w:sz w:val="19"/>
          <w:szCs w:val="19"/>
          <w:color w:val="auto"/>
        </w:rPr>
        <w:t>. The Borrowers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7" w:right="339" w:bottom="1440" w:gutter="0" w:footer="0" w:header="0"/>
        </w:sectPr>
      </w:pPr>
    </w:p>
    <w:bookmarkStart w:id="139" w:name="page140"/>
    <w:bookmarkEnd w:id="139"/>
    <w:p>
      <w:pPr>
        <w:jc w:val="both"/>
        <w:spacing w:after="0" w:line="250" w:lineRule="auto"/>
        <w:rPr>
          <w:sz w:val="20"/>
          <w:szCs w:val="20"/>
          <w:color w:val="auto"/>
        </w:rPr>
      </w:pPr>
      <w:r>
        <w:rPr>
          <w:rFonts w:ascii="Arial" w:cs="Arial" w:eastAsia="Arial" w:hAnsi="Arial"/>
          <w:sz w:val="22"/>
          <w:szCs w:val="22"/>
          <w:color w:val="auto"/>
        </w:rPr>
        <w:t>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215" w:lineRule="exact"/>
        <w:rPr>
          <w:sz w:val="20"/>
          <w:szCs w:val="20"/>
          <w:color w:val="auto"/>
        </w:rPr>
      </w:pPr>
    </w:p>
    <w:p>
      <w:pPr>
        <w:jc w:val="both"/>
        <w:ind w:firstLine="1304"/>
        <w:spacing w:after="0" w:line="287" w:lineRule="auto"/>
        <w:tabs>
          <w:tab w:leader="none" w:pos="193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any Indemnified Taxes attributable to such Lender (but only to the extent that the Borrowers have not already indemnified the Administrative Agent for such Indemnified Taxes and without limiting the obligation of the Borrowers to do so), any Taxes attributable to such Lender’s failure to comply with the provisions of </w:t>
      </w:r>
      <w:r>
        <w:rPr>
          <w:rFonts w:ascii="Arial" w:cs="Arial" w:eastAsia="Arial" w:hAnsi="Arial"/>
          <w:sz w:val="19"/>
          <w:szCs w:val="19"/>
          <w:u w:val="single" w:color="auto"/>
          <w:color w:val="auto"/>
        </w:rPr>
        <w:t>Section 9.04(c)</w:t>
      </w:r>
      <w:r>
        <w:rPr>
          <w:rFonts w:ascii="Arial" w:cs="Arial" w:eastAsia="Arial" w:hAnsi="Arial"/>
          <w:sz w:val="19"/>
          <w:szCs w:val="19"/>
          <w:color w:val="auto"/>
        </w:rPr>
        <w:t xml:space="preserve"> relating to the maintenance of a Participant Register and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w:t>
      </w:r>
      <w:r>
        <w:rPr>
          <w:rFonts w:ascii="Arial" w:cs="Arial" w:eastAsia="Arial" w:hAnsi="Arial"/>
          <w:sz w:val="19"/>
          <w:szCs w:val="19"/>
          <w:u w:val="single" w:color="auto"/>
          <w:color w:val="auto"/>
        </w:rPr>
        <w:t>(e)</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ind w:left="1940" w:hanging="636"/>
        <w:spacing w:after="0"/>
        <w:tabs>
          <w:tab w:leader="none" w:pos="194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Status of the Lenders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60" w:firstLine="1182"/>
        <w:spacing w:after="0" w:line="257" w:lineRule="auto"/>
        <w:rPr>
          <w:rFonts w:ascii="Arial" w:cs="Arial" w:eastAsia="Arial" w:hAnsi="Arial"/>
          <w:sz w:val="22"/>
          <w:szCs w:val="22"/>
          <w:color w:val="auto"/>
        </w:rPr>
      </w:pPr>
      <w:r>
        <w:rPr>
          <w:rFonts w:ascii="Arial" w:cs="Arial" w:eastAsia="Arial" w:hAnsi="Arial"/>
          <w:sz w:val="21"/>
          <w:szCs w:val="21"/>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Borrower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21"/>
          <w:szCs w:val="21"/>
          <w:u w:val="single" w:color="auto"/>
          <w:color w:val="auto"/>
        </w:rPr>
        <w:t>Section 2.17(f)(ii)(A)</w:t>
      </w:r>
      <w:r>
        <w:rPr>
          <w:rFonts w:ascii="Arial" w:cs="Arial" w:eastAsia="Arial" w:hAnsi="Arial"/>
          <w:sz w:val="21"/>
          <w:szCs w:val="21"/>
          <w:color w:val="auto"/>
        </w:rPr>
        <w:t xml:space="preserve">, </w:t>
      </w:r>
      <w:r>
        <w:rPr>
          <w:rFonts w:ascii="Arial" w:cs="Arial" w:eastAsia="Arial" w:hAnsi="Arial"/>
          <w:sz w:val="21"/>
          <w:szCs w:val="21"/>
          <w:u w:val="single" w:color="auto"/>
          <w:color w:val="auto"/>
        </w:rPr>
        <w:t>(ii)(B)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(ii)(D)</w:t>
      </w:r>
      <w:r>
        <w:rPr>
          <w:rFonts w:ascii="Arial" w:cs="Arial" w:eastAsia="Arial" w:hAnsi="Arial"/>
          <w:sz w:val="21"/>
          <w:szCs w:val="2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29"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ii.Without limiting the generality of the foregoing, if any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7" w:right="339" w:bottom="1440" w:gutter="0" w:footer="0" w:header="0"/>
        </w:sectPr>
      </w:pPr>
    </w:p>
    <w:bookmarkStart w:id="140" w:name="page141"/>
    <w:bookmarkEnd w:id="140"/>
    <w:p>
      <w:pPr>
        <w:jc w:val="both"/>
        <w:ind w:left="840" w:firstLine="640"/>
        <w:spacing w:after="0" w:line="302" w:lineRule="auto"/>
        <w:tabs>
          <w:tab w:leader="none" w:pos="212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Lender that is a U.S. Person shall deliver to such Borrower and the Administrative Agent on or before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spacing w:after="0" w:line="142" w:lineRule="exact"/>
        <w:rPr>
          <w:rFonts w:ascii="Arial" w:cs="Arial" w:eastAsia="Arial" w:hAnsi="Arial"/>
          <w:sz w:val="19"/>
          <w:szCs w:val="19"/>
          <w:color w:val="auto"/>
        </w:rPr>
      </w:pPr>
    </w:p>
    <w:p>
      <w:pPr>
        <w:jc w:val="both"/>
        <w:ind w:left="840" w:firstLine="640"/>
        <w:spacing w:after="0" w:line="248" w:lineRule="auto"/>
        <w:tabs>
          <w:tab w:leader="none" w:pos="213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whichever of the following is applicable:</w:t>
      </w:r>
    </w:p>
    <w:p>
      <w:pPr>
        <w:spacing w:after="0" w:line="191" w:lineRule="exact"/>
        <w:rPr>
          <w:rFonts w:ascii="Arial" w:cs="Arial" w:eastAsia="Arial" w:hAnsi="Arial"/>
          <w:sz w:val="22"/>
          <w:szCs w:val="22"/>
          <w:color w:val="auto"/>
        </w:rPr>
      </w:pPr>
    </w:p>
    <w:p>
      <w:pPr>
        <w:jc w:val="both"/>
        <w:ind w:left="1480" w:firstLine="648"/>
        <w:spacing w:after="0" w:line="259" w:lineRule="auto"/>
        <w:tabs>
          <w:tab w:leader="none" w:pos="2776"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an executed copy of IRS Form W-8BEN or IRS Form W-8BEN-E (or applicable successor form) establishing an exemption from, or reduction of, U.S. Federal withholding Tax pursuant to the “interest” article of such tax treaty and (y) with respect to any other applicable payments under any Loan Document, IRS Form W-8BEN or IRS Form W-8BEN-E (or applicable successor form) establishing an exemption from, or reduction of, U.S. Federal withholding Tax pursuant to the “business profits” or “other income” article of such tax treaty;</w:t>
      </w:r>
    </w:p>
    <w:p>
      <w:pPr>
        <w:spacing w:after="0" w:line="183" w:lineRule="exact"/>
        <w:rPr>
          <w:rFonts w:ascii="Arial" w:cs="Arial" w:eastAsia="Arial" w:hAnsi="Arial"/>
          <w:sz w:val="21"/>
          <w:szCs w:val="21"/>
          <w:color w:val="auto"/>
        </w:rPr>
      </w:pPr>
    </w:p>
    <w:p>
      <w:pPr>
        <w:ind w:left="2780" w:hanging="652"/>
        <w:spacing w:after="0"/>
        <w:tabs>
          <w:tab w:leader="none" w:pos="27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 executed copy of IRS Form W-8ECI;</w:t>
      </w:r>
    </w:p>
    <w:p>
      <w:pPr>
        <w:spacing w:after="0" w:line="219" w:lineRule="exact"/>
        <w:rPr>
          <w:rFonts w:ascii="Arial" w:cs="Arial" w:eastAsia="Arial" w:hAnsi="Arial"/>
          <w:sz w:val="22"/>
          <w:szCs w:val="22"/>
          <w:color w:val="auto"/>
        </w:rPr>
      </w:pPr>
    </w:p>
    <w:p>
      <w:pPr>
        <w:jc w:val="both"/>
        <w:ind w:left="1480" w:firstLine="648"/>
        <w:spacing w:after="0" w:line="286" w:lineRule="auto"/>
        <w:tabs>
          <w:tab w:leader="none" w:pos="277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to the effect that such Foreign Lender is not a “bank” within the meaning of Section 881(c)(3)(A) of the Code, a “10 percent shareholder” of any Borrower within the meaning of Section 881(c)(3)</w:t>
      </w:r>
    </w:p>
    <w:p>
      <w:pPr>
        <w:spacing w:after="0" w:line="2" w:lineRule="exact"/>
        <w:rPr>
          <w:rFonts w:ascii="Arial" w:cs="Arial" w:eastAsia="Arial" w:hAnsi="Arial"/>
          <w:sz w:val="19"/>
          <w:szCs w:val="19"/>
          <w:color w:val="auto"/>
        </w:rPr>
      </w:pPr>
    </w:p>
    <w:p>
      <w:pPr>
        <w:jc w:val="both"/>
        <w:ind w:left="1480"/>
        <w:spacing w:after="0" w:line="245" w:lineRule="auto"/>
        <w:rPr>
          <w:rFonts w:ascii="Arial" w:cs="Arial" w:eastAsia="Arial" w:hAnsi="Arial"/>
          <w:sz w:val="19"/>
          <w:szCs w:val="19"/>
          <w:color w:val="auto"/>
        </w:rPr>
      </w:pPr>
      <w:r>
        <w:rPr>
          <w:rFonts w:ascii="Arial" w:cs="Arial" w:eastAsia="Arial" w:hAnsi="Arial"/>
          <w:sz w:val="22"/>
          <w:szCs w:val="22"/>
          <w:color w:val="auto"/>
        </w:rPr>
        <w:t>(B) of the Code, or a “controlled foreign corporation” described in Section 881(c)(3)(C) of the Code (a “</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and (y) executed originals of IRS Form W-8BEN or IRS Form W-8BEN-E (or applicable successor form); or</w:t>
      </w:r>
    </w:p>
    <w:p>
      <w:pPr>
        <w:spacing w:after="0" w:line="192" w:lineRule="exact"/>
        <w:rPr>
          <w:rFonts w:ascii="Arial" w:cs="Arial" w:eastAsia="Arial" w:hAnsi="Arial"/>
          <w:sz w:val="19"/>
          <w:szCs w:val="19"/>
          <w:color w:val="auto"/>
        </w:rPr>
      </w:pPr>
    </w:p>
    <w:p>
      <w:pPr>
        <w:jc w:val="both"/>
        <w:ind w:left="1480" w:firstLine="648"/>
        <w:spacing w:after="0" w:line="271" w:lineRule="auto"/>
        <w:tabs>
          <w:tab w:leader="none" w:pos="2776"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to the extent a Foreign Lender is not the beneficial owner, executed originals of IRS Form W-8IMY, accompanied by IRS Form W-8ECI, IRS Form W-8BEN or IRS Form W-8BEN-E (or applicable successor form), a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120"/>
          </w:cols>
          <w:pgMar w:left="1440" w:top="1427" w:right="339" w:bottom="1440" w:gutter="0" w:footer="0" w:header="0"/>
        </w:sectPr>
      </w:pPr>
    </w:p>
    <w:bookmarkStart w:id="141" w:name="page142"/>
    <w:bookmarkEnd w:id="141"/>
    <w:p>
      <w:pPr>
        <w:jc w:val="both"/>
        <w:ind w:left="2600"/>
        <w:spacing w:after="0" w:line="297" w:lineRule="auto"/>
        <w:rPr>
          <w:sz w:val="20"/>
          <w:szCs w:val="20"/>
          <w:color w:val="auto"/>
        </w:rPr>
      </w:pPr>
      <w:r>
        <w:rPr>
          <w:rFonts w:ascii="Arial" w:cs="Arial" w:eastAsia="Arial" w:hAnsi="Arial"/>
          <w:sz w:val="19"/>
          <w:szCs w:val="19"/>
          <w:color w:val="auto"/>
        </w:rPr>
        <w:t xml:space="preserve">substantially in the form of </w:t>
      </w:r>
      <w:r>
        <w:rPr>
          <w:rFonts w:ascii="Arial" w:cs="Arial" w:eastAsia="Arial" w:hAnsi="Arial"/>
          <w:sz w:val="19"/>
          <w:szCs w:val="19"/>
          <w:u w:val="single" w:color="auto"/>
          <w:color w:val="auto"/>
        </w:rPr>
        <w:t>Exhibit G-2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G-3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G-4</w:t>
      </w:r>
      <w:r>
        <w:rPr>
          <w:rFonts w:ascii="Arial" w:cs="Arial" w:eastAsia="Arial" w:hAnsi="Arial"/>
          <w:sz w:val="19"/>
          <w:szCs w:val="19"/>
          <w:color w:val="auto"/>
        </w:rPr>
        <w:t xml:space="preserve"> on behalf of each such direct and indirect partner;</w:t>
      </w:r>
    </w:p>
    <w:p>
      <w:pPr>
        <w:spacing w:after="0" w:line="147" w:lineRule="exact"/>
        <w:rPr>
          <w:sz w:val="20"/>
          <w:szCs w:val="20"/>
          <w:color w:val="auto"/>
        </w:rPr>
      </w:pPr>
    </w:p>
    <w:p>
      <w:pPr>
        <w:jc w:val="both"/>
        <w:ind w:left="1960" w:firstLine="640"/>
        <w:spacing w:after="0" w:line="290" w:lineRule="auto"/>
        <w:tabs>
          <w:tab w:leader="none" w:pos="3244"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such Borrower and the Administrative Agent (in such number of copies as shall be requested by the recipient) on or before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55" w:lineRule="exact"/>
        <w:rPr>
          <w:rFonts w:ascii="Arial" w:cs="Arial" w:eastAsia="Arial" w:hAnsi="Arial"/>
          <w:sz w:val="19"/>
          <w:szCs w:val="19"/>
          <w:color w:val="auto"/>
        </w:rPr>
      </w:pPr>
    </w:p>
    <w:p>
      <w:pPr>
        <w:jc w:val="both"/>
        <w:ind w:left="1960" w:firstLine="640"/>
        <w:spacing w:after="0" w:line="285" w:lineRule="auto"/>
        <w:tabs>
          <w:tab w:leader="none" w:pos="325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w:t>
      </w:r>
    </w:p>
    <w:p>
      <w:pPr>
        <w:jc w:val="both"/>
        <w:ind w:left="1960" w:hanging="8"/>
        <w:spacing w:after="0" w:line="244" w:lineRule="auto"/>
        <w:tabs>
          <w:tab w:leader="none" w:pos="227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2"/>
          <w:szCs w:val="22"/>
          <w:u w:val="single" w:color="auto"/>
          <w:color w:val="auto"/>
        </w:rPr>
        <w:t>clause (D)</w:t>
      </w:r>
      <w:r>
        <w:rPr>
          <w:rFonts w:ascii="Arial" w:cs="Arial" w:eastAsia="Arial" w:hAnsi="Arial"/>
          <w:sz w:val="22"/>
          <w:szCs w:val="22"/>
          <w:color w:val="auto"/>
        </w:rPr>
        <w:t>, “FATCA” shall include any amendments made to FATCA after the date of this Agreement.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85" w:lineRule="exact"/>
        <w:rPr>
          <w:sz w:val="20"/>
          <w:szCs w:val="20"/>
          <w:color w:val="auto"/>
        </w:rPr>
      </w:pPr>
    </w:p>
    <w:p>
      <w:pPr>
        <w:ind w:left="1960" w:hanging="656"/>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Additional United Kingdom Withholding Tax Matters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74</w:t>
      </w:r>
    </w:p>
    <w:p>
      <w:pPr>
        <w:sectPr>
          <w:pgSz w:w="11900" w:h="16838" w:orient="portrait"/>
          <w:cols w:equalWidth="0" w:num="1">
            <w:col w:w="11240"/>
          </w:cols>
          <w:pgMar w:left="320" w:top="1427" w:right="339" w:bottom="1440" w:gutter="0" w:footer="0" w:header="0"/>
        </w:sectPr>
      </w:pPr>
    </w:p>
    <w:bookmarkStart w:id="142" w:name="page143"/>
    <w:bookmarkEnd w:id="142"/>
    <w:p>
      <w:pPr>
        <w:jc w:val="both"/>
        <w:ind w:firstLine="1182"/>
        <w:spacing w:after="0" w:line="247" w:lineRule="auto"/>
        <w:rPr>
          <w:sz w:val="20"/>
          <w:szCs w:val="20"/>
          <w:color w:val="auto"/>
        </w:rPr>
      </w:pPr>
      <w:r>
        <w:rPr>
          <w:rFonts w:ascii="Arial" w:cs="Arial" w:eastAsia="Arial" w:hAnsi="Arial"/>
          <w:sz w:val="22"/>
          <w:szCs w:val="22"/>
          <w:color w:val="auto"/>
        </w:rPr>
        <w:t xml:space="preserve">i. Subject to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below, each Lender and each U.K. Borrower that makes a payment to such Lender shall cooperate in completing in a timely manner any procedural formalities necessary for such U.K. Borrower to obtain authorization to make such payment without withholding or deduction for Taxes imposed under the laws of the United Kingdom.</w:t>
      </w:r>
    </w:p>
    <w:p>
      <w:pPr>
        <w:spacing w:after="0" w:line="3" w:lineRule="exact"/>
        <w:rPr>
          <w:sz w:val="20"/>
          <w:szCs w:val="20"/>
          <w:color w:val="auto"/>
        </w:rPr>
      </w:pPr>
    </w:p>
    <w:p>
      <w:pPr>
        <w:jc w:val="both"/>
        <w:ind w:right="20" w:firstLine="1118"/>
        <w:spacing w:after="0" w:line="245" w:lineRule="auto"/>
        <w:tabs>
          <w:tab w:leader="none" w:pos="136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 A Lender on the Effective Date that holds a passport under the HMRC DT Treaty Passport scheme and wishes such scheme to apply to this Agreement, shall provide its scheme reference number and its jurisdiction of tax residence to each U.K. Borrower and the Administrative Agent; and</w:t>
      </w:r>
    </w:p>
    <w:p>
      <w:pPr>
        <w:spacing w:after="0" w:line="219" w:lineRule="exact"/>
        <w:rPr>
          <w:rFonts w:ascii="Arial" w:cs="Arial" w:eastAsia="Arial" w:hAnsi="Arial"/>
          <w:sz w:val="22"/>
          <w:szCs w:val="22"/>
          <w:color w:val="auto"/>
        </w:rPr>
      </w:pPr>
    </w:p>
    <w:p>
      <w:pPr>
        <w:jc w:val="both"/>
        <w:ind w:left="640" w:firstLine="652"/>
        <w:spacing w:after="0" w:line="250" w:lineRule="auto"/>
        <w:tabs>
          <w:tab w:leader="none" w:pos="164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a Lender that becomes a Lender hereunder after the Effective Date that (1) holds a passport under the HMRC DT Treaty Passport scheme and (2) wishes such scheme to apply to this Agreement, shall provide its scheme reference number and its jurisdiction of tax residence to each U.K. Borrower and the Administrative Agent, and</w:t>
      </w:r>
    </w:p>
    <w:p>
      <w:pPr>
        <w:spacing w:after="0" w:line="214" w:lineRule="exact"/>
        <w:rPr>
          <w:rFonts w:ascii="Arial" w:cs="Arial" w:eastAsia="Arial" w:hAnsi="Arial"/>
          <w:sz w:val="22"/>
          <w:szCs w:val="22"/>
          <w:color w:val="auto"/>
        </w:rPr>
      </w:pPr>
    </w:p>
    <w:p>
      <w:pPr>
        <w:ind w:left="640" w:firstLine="652"/>
        <w:spacing w:after="0" w:line="263" w:lineRule="auto"/>
        <w:tabs>
          <w:tab w:leader="none" w:pos="1652" w:val="left"/>
        </w:tabs>
        <w:numPr>
          <w:ilvl w:val="2"/>
          <w:numId w:val="106"/>
        </w:numPr>
        <w:rPr>
          <w:rFonts w:ascii="Arial" w:cs="Arial" w:eastAsia="Arial" w:hAnsi="Arial"/>
          <w:sz w:val="22"/>
          <w:szCs w:val="22"/>
          <w:color w:val="auto"/>
        </w:rPr>
      </w:pPr>
      <w:r>
        <w:rPr>
          <w:rFonts w:ascii="Arial" w:cs="Arial" w:eastAsia="Arial" w:hAnsi="Arial"/>
          <w:sz w:val="22"/>
          <w:szCs w:val="22"/>
          <w:color w:val="auto"/>
        </w:rPr>
        <w:t xml:space="preserve">upon satisfying either clause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such Lender shall have satisfied its obligation under paragraph </w:t>
      </w:r>
      <w:r>
        <w:rPr>
          <w:rFonts w:ascii="Arial" w:cs="Arial" w:eastAsia="Arial" w:hAnsi="Arial"/>
          <w:sz w:val="22"/>
          <w:szCs w:val="22"/>
          <w:u w:val="single" w:color="auto"/>
          <w:color w:val="auto"/>
        </w:rPr>
        <w:t>(g)(i)</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jc w:val="both"/>
        <w:ind w:firstLine="968"/>
        <w:spacing w:after="0" w:line="253" w:lineRule="auto"/>
        <w:tabs>
          <w:tab w:leader="none" w:pos="12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If a Lender has confirmed its scheme reference number and its jurisdiction of tax residence in accordance with paragraph </w:t>
      </w:r>
      <w:r>
        <w:rPr>
          <w:rFonts w:ascii="Arial" w:cs="Arial" w:eastAsia="Arial" w:hAnsi="Arial"/>
          <w:sz w:val="22"/>
          <w:szCs w:val="22"/>
          <w:u w:val="single" w:color="auto"/>
          <w:color w:val="auto"/>
        </w:rPr>
        <w:t>(g)(ii)</w:t>
      </w:r>
      <w:r>
        <w:rPr>
          <w:rFonts w:ascii="Arial" w:cs="Arial" w:eastAsia="Arial" w:hAnsi="Arial"/>
          <w:sz w:val="22"/>
          <w:szCs w:val="22"/>
          <w:color w:val="auto"/>
        </w:rPr>
        <w:t xml:space="preserve"> above, the U.K. Borrower(s) shall make a DTTP Filing with respect to such Lender, and shall promptly provide such Lender with a copy of such filing;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w:t>
      </w:r>
    </w:p>
    <w:p>
      <w:pPr>
        <w:spacing w:after="0" w:line="185" w:lineRule="exact"/>
        <w:rPr>
          <w:rFonts w:ascii="Arial" w:cs="Arial" w:eastAsia="Arial" w:hAnsi="Arial"/>
          <w:sz w:val="22"/>
          <w:szCs w:val="22"/>
          <w:color w:val="auto"/>
        </w:rPr>
      </w:pPr>
    </w:p>
    <w:p>
      <w:pPr>
        <w:ind w:left="1640" w:hanging="348"/>
        <w:spacing w:after="0"/>
        <w:tabs>
          <w:tab w:leader="none" w:pos="1640" w:val="left"/>
        </w:tabs>
        <w:numPr>
          <w:ilvl w:val="2"/>
          <w:numId w:val="107"/>
        </w:numPr>
        <w:rPr>
          <w:rFonts w:ascii="Arial" w:cs="Arial" w:eastAsia="Arial" w:hAnsi="Arial"/>
          <w:sz w:val="19"/>
          <w:szCs w:val="19"/>
          <w:color w:val="auto"/>
        </w:rPr>
      </w:pPr>
      <w:r>
        <w:rPr>
          <w:rFonts w:ascii="Arial" w:cs="Arial" w:eastAsia="Arial" w:hAnsi="Arial"/>
          <w:sz w:val="19"/>
          <w:szCs w:val="19"/>
          <w:color w:val="auto"/>
        </w:rPr>
        <w:t>each U.K. Borrower making a payment to such Lender has not made a DTTP Filing in respect of such</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Lender; or</w:t>
      </w:r>
    </w:p>
    <w:p>
      <w:pPr>
        <w:spacing w:after="0" w:line="201" w:lineRule="exact"/>
        <w:rPr>
          <w:rFonts w:ascii="Arial" w:cs="Arial" w:eastAsia="Arial" w:hAnsi="Arial"/>
          <w:sz w:val="19"/>
          <w:szCs w:val="19"/>
          <w:color w:val="auto"/>
        </w:rPr>
      </w:pPr>
    </w:p>
    <w:p>
      <w:pPr>
        <w:ind w:left="1640" w:hanging="348"/>
        <w:spacing w:after="0"/>
        <w:tabs>
          <w:tab w:leader="none" w:pos="1640" w:val="left"/>
        </w:tabs>
        <w:numPr>
          <w:ilvl w:val="2"/>
          <w:numId w:val="107"/>
        </w:numPr>
        <w:rPr>
          <w:rFonts w:ascii="Arial" w:cs="Arial" w:eastAsia="Arial" w:hAnsi="Arial"/>
          <w:sz w:val="19"/>
          <w:szCs w:val="19"/>
          <w:color w:val="auto"/>
        </w:rPr>
      </w:pPr>
      <w:r>
        <w:rPr>
          <w:rFonts w:ascii="Arial" w:cs="Arial" w:eastAsia="Arial" w:hAnsi="Arial"/>
          <w:sz w:val="19"/>
          <w:szCs w:val="19"/>
          <w:color w:val="auto"/>
        </w:rPr>
        <w:t>each U.K. Borrower making a payment to such Lender has made a DTTP Filing in respect of such</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Lender but:</w:t>
      </w:r>
    </w:p>
    <w:p>
      <w:pPr>
        <w:spacing w:after="0" w:line="242" w:lineRule="exact"/>
        <w:rPr>
          <w:rFonts w:ascii="Arial" w:cs="Arial" w:eastAsia="Arial" w:hAnsi="Arial"/>
          <w:sz w:val="19"/>
          <w:szCs w:val="19"/>
          <w:color w:val="auto"/>
        </w:rPr>
      </w:pPr>
    </w:p>
    <w:p>
      <w:pPr>
        <w:ind w:left="2900" w:hanging="312"/>
        <w:spacing w:after="0"/>
        <w:tabs>
          <w:tab w:leader="none" w:pos="2900" w:val="left"/>
        </w:tabs>
        <w:numPr>
          <w:ilvl w:val="3"/>
          <w:numId w:val="107"/>
        </w:numPr>
        <w:rPr>
          <w:rFonts w:ascii="Arial" w:cs="Arial" w:eastAsia="Arial" w:hAnsi="Arial"/>
          <w:sz w:val="22"/>
          <w:szCs w:val="22"/>
          <w:color w:val="auto"/>
        </w:rPr>
      </w:pPr>
      <w:r>
        <w:rPr>
          <w:rFonts w:ascii="Arial" w:cs="Arial" w:eastAsia="Arial" w:hAnsi="Arial"/>
          <w:sz w:val="22"/>
          <w:szCs w:val="22"/>
          <w:color w:val="auto"/>
        </w:rPr>
        <w:t>such DTTP Filing has been rejected by HM Revenue &amp; Customs; or</w:t>
      </w:r>
    </w:p>
    <w:p>
      <w:pPr>
        <w:spacing w:after="0" w:line="219" w:lineRule="exact"/>
        <w:rPr>
          <w:rFonts w:ascii="Arial" w:cs="Arial" w:eastAsia="Arial" w:hAnsi="Arial"/>
          <w:sz w:val="22"/>
          <w:szCs w:val="22"/>
          <w:color w:val="auto"/>
        </w:rPr>
      </w:pPr>
    </w:p>
    <w:p>
      <w:pPr>
        <w:ind w:left="1940" w:right="20" w:firstLine="648"/>
        <w:spacing w:after="0" w:line="343" w:lineRule="auto"/>
        <w:tabs>
          <w:tab w:leader="none" w:pos="2894" w:val="left"/>
        </w:tabs>
        <w:numPr>
          <w:ilvl w:val="3"/>
          <w:numId w:val="107"/>
        </w:numPr>
        <w:rPr>
          <w:rFonts w:ascii="Arial" w:cs="Arial" w:eastAsia="Arial" w:hAnsi="Arial"/>
          <w:sz w:val="19"/>
          <w:szCs w:val="19"/>
          <w:color w:val="auto"/>
        </w:rPr>
      </w:pPr>
      <w:r>
        <w:rPr>
          <w:rFonts w:ascii="Arial" w:cs="Arial" w:eastAsia="Arial" w:hAnsi="Arial"/>
          <w:sz w:val="19"/>
          <w:szCs w:val="19"/>
          <w:color w:val="auto"/>
        </w:rPr>
        <w:t>HM Revenue &amp; Customs has not given such U.K. Borrower authority to make payments to such Lender without a deduction for tax within 60 days of the date of such DTTP Filing;</w:t>
      </w:r>
    </w:p>
    <w:p>
      <w:pPr>
        <w:spacing w:after="0" w:line="131" w:lineRule="exact"/>
        <w:rPr>
          <w:sz w:val="20"/>
          <w:szCs w:val="20"/>
          <w:color w:val="auto"/>
        </w:rPr>
      </w:pPr>
    </w:p>
    <w:p>
      <w:pPr>
        <w:jc w:val="both"/>
        <w:ind w:left="640"/>
        <w:spacing w:after="0" w:line="265" w:lineRule="auto"/>
        <w:rPr>
          <w:sz w:val="20"/>
          <w:szCs w:val="20"/>
          <w:color w:val="auto"/>
        </w:rPr>
      </w:pPr>
      <w:r>
        <w:rPr>
          <w:rFonts w:ascii="Arial" w:cs="Arial" w:eastAsia="Arial" w:hAnsi="Arial"/>
          <w:sz w:val="21"/>
          <w:szCs w:val="21"/>
          <w:color w:val="auto"/>
        </w:rPr>
        <w:t xml:space="preserve">and in each case, such U.K. Borrower has notified that Lender in writing of either </w:t>
      </w:r>
      <w:r>
        <w:rPr>
          <w:rFonts w:ascii="Arial" w:cs="Arial" w:eastAsia="Arial" w:hAnsi="Arial"/>
          <w:sz w:val="21"/>
          <w:szCs w:val="21"/>
          <w:u w:val="single" w:color="auto"/>
          <w:color w:val="auto"/>
        </w:rPr>
        <w:t>(1)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w:t>
      </w:r>
      <w:r>
        <w:rPr>
          <w:rFonts w:ascii="Arial" w:cs="Arial" w:eastAsia="Arial" w:hAnsi="Arial"/>
          <w:sz w:val="21"/>
          <w:szCs w:val="21"/>
          <w:color w:val="auto"/>
        </w:rPr>
        <w:t xml:space="preserve"> above, then such Lender and such U.K. Borrower shall cooperate in completing in a timely manner any additional procedural formalities necessary for such U.K. Borrower to obtain authorization to make that payment without withholding or deduction for Taxes imposed under the laws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580"/>
          </w:cols>
          <w:pgMar w:left="980" w:top="1427" w:right="339" w:bottom="1440" w:gutter="0" w:footer="0" w:header="0"/>
        </w:sectPr>
      </w:pPr>
    </w:p>
    <w:bookmarkStart w:id="143" w:name="page144"/>
    <w:bookmarkEnd w:id="143"/>
    <w:p>
      <w:pPr>
        <w:jc w:val="both"/>
        <w:ind w:left="660" w:firstLine="644"/>
        <w:spacing w:after="0" w:line="250" w:lineRule="auto"/>
        <w:tabs>
          <w:tab w:leader="none" w:pos="157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paragraph </w:t>
      </w:r>
      <w:r>
        <w:rPr>
          <w:rFonts w:ascii="Arial" w:cs="Arial" w:eastAsia="Arial" w:hAnsi="Arial"/>
          <w:sz w:val="22"/>
          <w:szCs w:val="22"/>
          <w:u w:val="single" w:color="auto"/>
          <w:color w:val="auto"/>
        </w:rPr>
        <w:t>(g)(ii)</w:t>
      </w:r>
      <w:r>
        <w:rPr>
          <w:rFonts w:ascii="Arial" w:cs="Arial" w:eastAsia="Arial" w:hAnsi="Arial"/>
          <w:sz w:val="22"/>
          <w:szCs w:val="22"/>
          <w:color w:val="auto"/>
        </w:rPr>
        <w:t xml:space="preserve"> above, no U.K. Borrower shall make a DTTP Filing or file any other form relating to the HMRC DT Treaty Passport scheme in respect of that Lender’s Revolving Commitment(s) or its participation in any Loan unless the Lender otherwise agrees.</w:t>
      </w:r>
    </w:p>
    <w:p>
      <w:pPr>
        <w:spacing w:after="0" w:line="187" w:lineRule="exact"/>
        <w:rPr>
          <w:rFonts w:ascii="Arial" w:cs="Arial" w:eastAsia="Arial" w:hAnsi="Arial"/>
          <w:sz w:val="22"/>
          <w:szCs w:val="22"/>
          <w:color w:val="auto"/>
        </w:rPr>
      </w:pPr>
    </w:p>
    <w:p>
      <w:pPr>
        <w:ind w:left="660" w:right="20" w:firstLine="644"/>
        <w:spacing w:after="0" w:line="263" w:lineRule="auto"/>
        <w:tabs>
          <w:tab w:leader="none" w:pos="153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U.K. Borrower shall, promptly on making a DTTP Filing, deliver a copy of such DTTP Filing to the Administrative Agent for delivery to the relevant Lender.</w:t>
      </w:r>
    </w:p>
    <w:p>
      <w:pPr>
        <w:spacing w:after="0" w:line="201" w:lineRule="exact"/>
        <w:rPr>
          <w:rFonts w:ascii="Arial" w:cs="Arial" w:eastAsia="Arial" w:hAnsi="Arial"/>
          <w:sz w:val="22"/>
          <w:szCs w:val="22"/>
          <w:color w:val="auto"/>
        </w:rPr>
      </w:pPr>
    </w:p>
    <w:p>
      <w:pPr>
        <w:jc w:val="both"/>
        <w:ind w:left="660" w:firstLine="644"/>
        <w:spacing w:after="0" w:line="253" w:lineRule="auto"/>
        <w:tabs>
          <w:tab w:leader="none" w:pos="158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Lender shall notify promptly the Company and Administrative Agent if it determines in its sole discretion that it is ceases to be entitled to claim the benefits of an income tax treaty to which the United Kingdom is a party with respect to payments made by any U.K. Borrower hereunder.</w:t>
      </w:r>
    </w:p>
    <w:p>
      <w:pPr>
        <w:spacing w:after="0" w:line="212" w:lineRule="exact"/>
        <w:rPr>
          <w:sz w:val="20"/>
          <w:szCs w:val="20"/>
          <w:color w:val="auto"/>
        </w:rPr>
      </w:pPr>
    </w:p>
    <w:p>
      <w:pPr>
        <w:jc w:val="both"/>
        <w:ind w:firstLine="1304"/>
        <w:spacing w:after="0" w:line="286" w:lineRule="auto"/>
        <w:tabs>
          <w:tab w:leader="none" w:pos="194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in no event will the indemnified party be required to pay any amount to an indemnifying party pursuant to this paragraph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8" w:lineRule="exact"/>
        <w:rPr>
          <w:rFonts w:ascii="Arial" w:cs="Arial" w:eastAsia="Arial" w:hAnsi="Arial"/>
          <w:sz w:val="19"/>
          <w:szCs w:val="19"/>
          <w:color w:val="auto"/>
        </w:rPr>
      </w:pPr>
    </w:p>
    <w:p>
      <w:pPr>
        <w:jc w:val="both"/>
        <w:ind w:firstLine="1304"/>
        <w:spacing w:after="0" w:line="271" w:lineRule="auto"/>
        <w:tabs>
          <w:tab w:leader="none" w:pos="1936"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Each party’s obligations under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spacing w:after="0" w:line="194" w:lineRule="exact"/>
        <w:rPr>
          <w:rFonts w:ascii="Arial" w:cs="Arial" w:eastAsia="Arial" w:hAnsi="Arial"/>
          <w:sz w:val="21"/>
          <w:szCs w:val="21"/>
          <w:color w:val="auto"/>
        </w:rPr>
      </w:pPr>
    </w:p>
    <w:p>
      <w:pPr>
        <w:ind w:right="20" w:firstLine="1304"/>
        <w:spacing w:after="0" w:line="263" w:lineRule="auto"/>
        <w:tabs>
          <w:tab w:leader="none" w:pos="193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2.17</w:t>
      </w:r>
      <w:r>
        <w:rPr>
          <w:rFonts w:ascii="Arial" w:cs="Arial" w:eastAsia="Arial" w:hAnsi="Arial"/>
          <w:sz w:val="22"/>
          <w:szCs w:val="22"/>
          <w:color w:val="auto"/>
        </w:rPr>
        <w:t>, the term “Lender” includes the Issuing Bank and the term “applicable law” includes FATCA.</w:t>
      </w:r>
    </w:p>
    <w:p>
      <w:pPr>
        <w:spacing w:after="0" w:line="215" w:lineRule="exact"/>
        <w:rPr>
          <w:rFonts w:ascii="Arial" w:cs="Arial" w:eastAsia="Arial" w:hAnsi="Arial"/>
          <w:sz w:val="22"/>
          <w:szCs w:val="22"/>
          <w:color w:val="auto"/>
        </w:rPr>
      </w:pPr>
    </w:p>
    <w:p>
      <w:pPr>
        <w:ind w:firstLine="1304"/>
        <w:spacing w:after="0" w:line="263" w:lineRule="auto"/>
        <w:tabs>
          <w:tab w:leader="none" w:pos="194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Grandfathered Obligation Status</w:t>
      </w:r>
      <w:r>
        <w:rPr>
          <w:rFonts w:ascii="Arial" w:cs="Arial" w:eastAsia="Arial" w:hAnsi="Arial"/>
          <w:sz w:val="22"/>
          <w:szCs w:val="22"/>
          <w:color w:val="auto"/>
        </w:rPr>
        <w:t>. For purposes of determining withholding Taxes imposed under FATCA, from and after the Effective Date, the Borrowers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7" w:right="339" w:bottom="1440" w:gutter="0" w:footer="0" w:header="0"/>
        </w:sectPr>
      </w:pPr>
    </w:p>
    <w:bookmarkStart w:id="144" w:name="page145"/>
    <w:bookmarkEnd w:id="144"/>
    <w:p>
      <w:pPr>
        <w:spacing w:after="0" w:line="287" w:lineRule="auto"/>
        <w:rPr>
          <w:sz w:val="20"/>
          <w:szCs w:val="20"/>
          <w:color w:val="auto"/>
        </w:rPr>
      </w:pPr>
      <w:r>
        <w:rPr>
          <w:rFonts w:ascii="Arial" w:cs="Arial" w:eastAsia="Arial" w:hAnsi="Arial"/>
          <w:sz w:val="21"/>
          <w:szCs w:val="21"/>
          <w:color w:val="auto"/>
        </w:rPr>
        <w:t>the Administrative Agent shall treat (and the Lenders hereby authorize the Administrative Agent to treat) this Agreement as not qualifying as a “grandfathered obligation” within the meaning of Treasury Regulation Section 1.1471-2(b)(2)(i).</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6" w:lineRule="auto"/>
        <w:tabs>
          <w:tab w:leader="none" w:pos="193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Borrowers shall make each payment or prepayment required to be made by the Borrowers hereunder (whether of principal, interest, fees or reimbursement of LC Disbursements,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otherwise) prior to 12:00 noon, Local Time, on the date when due, in immediately available funds, without set 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account as the Administrative Agent shall from time to time specify in a notice delivered to the Company, except payments to be made directly to the Issuing Bank or Swingline Lender as expressly provided herein and except that payments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and, if not otherwise specified, in U.S. Dollars.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47"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at any time insufficient funds are received by and available to the Administrative Agent to pay fully all amounts of principal, unreimbursed LC Disbursements, interest and fees then due hereunder, such funds shall be applied first, towards payment of interest and fees then due hereunder, ratably among the parties entitled thereto in accordance with the amounts of interest and fees then due to such parties, and second, towards payment of principal and unreimbursed LC Disbursements then due hereunder, ratably among the parties entitled thereto in accordance with the amounts of principal and unreimbursed LC Disbursements then due to such parties.</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3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If any Lender shall, by exercising any right of set 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the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89" w:lineRule="auto"/>
        <w:rPr>
          <w:sz w:val="20"/>
          <w:szCs w:val="20"/>
          <w:color w:val="auto"/>
        </w:rPr>
      </w:pPr>
      <w:r>
        <w:rPr>
          <w:rFonts w:ascii="Arial" w:cs="Arial" w:eastAsia="Arial" w:hAnsi="Arial"/>
          <w:sz w:val="19"/>
          <w:szCs w:val="19"/>
          <w:color w:val="auto"/>
        </w:rPr>
        <w:t>participations are purchased and all or any portion of the payment giving rise thereto is recovered, such participations shall be rescinded and the purchase price restored to the extent of such recovery, without interest, and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84" w:lineRule="exact"/>
        <w:rPr>
          <w:sz w:val="20"/>
          <w:szCs w:val="20"/>
          <w:color w:val="auto"/>
        </w:rPr>
      </w:pPr>
    </w:p>
    <w:p>
      <w:pPr>
        <w:jc w:val="both"/>
        <w:ind w:firstLine="1304"/>
        <w:spacing w:after="0" w:line="288" w:lineRule="auto"/>
        <w:tabs>
          <w:tab w:leader="none" w:pos="194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any Borrower prior to the date on which any payment is due to the Administrative Agent for the account of the Lenders or the Issuing Bank hereunder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greater of the NYFRB and a rate determined by the Administrative Agent in accordance with banking industry rules on interbank compensation (including without limitation the Overnight Foreign Currency Rate in the case of Loans denominated in Foreign Currencies).</w:t>
      </w:r>
    </w:p>
    <w:p>
      <w:pPr>
        <w:spacing w:after="0" w:line="186" w:lineRule="exact"/>
        <w:rPr>
          <w:rFonts w:ascii="Arial" w:cs="Arial" w:eastAsia="Arial" w:hAnsi="Arial"/>
          <w:sz w:val="19"/>
          <w:szCs w:val="19"/>
          <w:color w:val="auto"/>
        </w:rPr>
      </w:pPr>
    </w:p>
    <w:p>
      <w:pPr>
        <w:jc w:val="both"/>
        <w:ind w:firstLine="1304"/>
        <w:spacing w:after="0" w:line="265" w:lineRule="auto"/>
        <w:tabs>
          <w:tab w:leader="none" w:pos="193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If any Lender shall fail to make any payment required to be made by it pursuant to </w:t>
      </w:r>
      <w:r>
        <w:rPr>
          <w:rFonts w:ascii="Arial" w:cs="Arial" w:eastAsia="Arial" w:hAnsi="Arial"/>
          <w:sz w:val="21"/>
          <w:szCs w:val="21"/>
          <w:u w:val="single" w:color="auto"/>
          <w:color w:val="auto"/>
        </w:rPr>
        <w:t>Section 2.05(c)</w:t>
      </w:r>
      <w:r>
        <w:rPr>
          <w:rFonts w:ascii="Arial" w:cs="Arial" w:eastAsia="Arial" w:hAnsi="Arial"/>
          <w:sz w:val="21"/>
          <w:szCs w:val="21"/>
          <w:color w:val="auto"/>
        </w:rPr>
        <w:t xml:space="preserve">, </w:t>
      </w:r>
      <w:r>
        <w:rPr>
          <w:rFonts w:ascii="Arial" w:cs="Arial" w:eastAsia="Arial" w:hAnsi="Arial"/>
          <w:sz w:val="21"/>
          <w:szCs w:val="21"/>
          <w:u w:val="single" w:color="auto"/>
          <w:color w:val="auto"/>
        </w:rPr>
        <w:t>2.06(d)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2.07(b)</w:t>
      </w:r>
      <w:r>
        <w:rPr>
          <w:rFonts w:ascii="Arial" w:cs="Arial" w:eastAsia="Arial" w:hAnsi="Arial"/>
          <w:sz w:val="21"/>
          <w:szCs w:val="21"/>
          <w:color w:val="auto"/>
        </w:rPr>
        <w:t xml:space="preserve">, </w:t>
      </w:r>
      <w:r>
        <w:rPr>
          <w:rFonts w:ascii="Arial" w:cs="Arial" w:eastAsia="Arial" w:hAnsi="Arial"/>
          <w:sz w:val="21"/>
          <w:szCs w:val="21"/>
          <w:u w:val="single" w:color="auto"/>
          <w:color w:val="auto"/>
        </w:rPr>
        <w:t>2.18(d)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9.03(c)</w:t>
      </w:r>
      <w:r>
        <w:rPr>
          <w:rFonts w:ascii="Arial" w:cs="Arial" w:eastAsia="Arial" w:hAnsi="Arial"/>
          <w:sz w:val="21"/>
          <w:szCs w:val="21"/>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202" w:lineRule="exact"/>
        <w:rPr>
          <w:rFonts w:ascii="Arial" w:cs="Arial" w:eastAsia="Arial" w:hAnsi="Arial"/>
          <w:sz w:val="21"/>
          <w:szCs w:val="21"/>
          <w:color w:val="auto"/>
        </w:rPr>
      </w:pPr>
    </w:p>
    <w:p>
      <w:pPr>
        <w:jc w:val="both"/>
        <w:ind w:right="20" w:firstLine="1304"/>
        <w:spacing w:after="0" w:line="253" w:lineRule="auto"/>
        <w:tabs>
          <w:tab w:leader="none" w:pos="193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Notwithstanding the foregoing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or anything else to the contrary in this Agreement, amounts received from any Credit Party that is not a Qualified ECP Guarantor shall not be applied to any Excluded Swap Obligation of such Credit Party.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Mitigation Obligations; Replacement of the Lenders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5" w:lineRule="auto"/>
        <w:tabs>
          <w:tab w:leader="none" w:pos="193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If any Lender requests compensation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then such Lender shall use reasonable efforts to designate a different lending office for funding or booking its Loans hereunder or to assign its rights and obligations hereunder to another of its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302" w:lineRule="auto"/>
        <w:rPr>
          <w:sz w:val="20"/>
          <w:szCs w:val="20"/>
          <w:color w:val="auto"/>
        </w:rPr>
      </w:pPr>
      <w:r>
        <w:rPr>
          <w:rFonts w:ascii="Arial" w:cs="Arial" w:eastAsia="Arial" w:hAnsi="Arial"/>
          <w:sz w:val="19"/>
          <w:szCs w:val="19"/>
          <w:color w:val="auto"/>
        </w:rPr>
        <w:t xml:space="preserve">branches or affiliates, if, in the judgment of such Lender, such designation or assignment would eliminate or reduce amounts payable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as the case may be, in the future and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42" w:lineRule="exact"/>
        <w:rPr>
          <w:sz w:val="20"/>
          <w:szCs w:val="20"/>
          <w:color w:val="auto"/>
        </w:rPr>
      </w:pPr>
    </w:p>
    <w:p>
      <w:pPr>
        <w:jc w:val="both"/>
        <w:ind w:firstLine="1304"/>
        <w:spacing w:after="0" w:line="284"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have received the prior written consent of the Administrative Agent (and if a Revolving Commitment is being assigned, the Issuing Bank and the Swingline Lender), which consent shall not unreasonably be withheld,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in the case of any such assignment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documents shall be without recourse to or warranty by the parties thereto.</w:t>
      </w:r>
    </w:p>
    <w:p>
      <w:pPr>
        <w:spacing w:after="0" w:line="200" w:lineRule="exact"/>
        <w:rPr>
          <w:sz w:val="20"/>
          <w:szCs w:val="20"/>
          <w:color w:val="auto"/>
        </w:rPr>
      </w:pPr>
    </w:p>
    <w:p>
      <w:pPr>
        <w:spacing w:after="0" w:line="25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04" w:lineRule="exact"/>
        <w:rPr>
          <w:sz w:val="20"/>
          <w:szCs w:val="20"/>
          <w:color w:val="auto"/>
        </w:rPr>
      </w:pPr>
    </w:p>
    <w:p>
      <w:pPr>
        <w:ind w:right="20" w:firstLine="1304"/>
        <w:spacing w:after="0" w:line="263" w:lineRule="auto"/>
        <w:tabs>
          <w:tab w:leader="none" w:pos="193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Unused Fees shall cease to accrue on the unfunded portion of the Revolving Commitment of such Defaulting Lender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7" w:right="339" w:bottom="1440" w:gutter="0" w:footer="0" w:header="0"/>
        </w:sectPr>
      </w:pPr>
    </w:p>
    <w:bookmarkStart w:id="147" w:name="page148"/>
    <w:bookmarkEnd w:id="147"/>
    <w:p>
      <w:pPr>
        <w:jc w:val="both"/>
        <w:ind w:firstLine="1304"/>
        <w:spacing w:after="0" w:line="284" w:lineRule="auto"/>
        <w:tabs>
          <w:tab w:leader="none" w:pos="194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or received by the Administrative Agent from a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or Swingline Lender hereunder; third, to cash collateralize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 or Swingline Lenders as a result of any judgment of a court of competent jurisdiction obtained by any Lender, the Issuing Bank or Swingline Lenders against such Defaulting Lender as a result of such Defaulting Lender’s breach of its obligations under this Agreement or under any other Loan Document;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1304"/>
        <w:spacing w:after="0" w:line="265" w:lineRule="auto"/>
        <w:tabs>
          <w:tab w:leader="none" w:pos="193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Revolving Commitment and Revolving Credit Exposure of such Defaulting Lender shall not be included in determining whether all the Lenders or the Required Lenders have taken or may take any action hereunder (including any consent to any amendment or waiver pursuant to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waiver, amendment or modification requiring the consent of all the Lenders or each affected Lender which affects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Lender differently than other affected the Lenders shall require the consent of such Defaulting Lender;</w:t>
      </w:r>
    </w:p>
    <w:p>
      <w:pPr>
        <w:spacing w:after="0" w:line="247" w:lineRule="exact"/>
        <w:rPr>
          <w:sz w:val="20"/>
          <w:szCs w:val="20"/>
          <w:color w:val="auto"/>
        </w:rPr>
      </w:pPr>
    </w:p>
    <w:p>
      <w:pPr>
        <w:ind w:left="1960" w:hanging="656"/>
        <w:spacing w:after="0"/>
        <w:tabs>
          <w:tab w:leader="none" w:pos="19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a Lender becomes a Defaulting Lender then:</w:t>
      </w:r>
    </w:p>
    <w:p>
      <w:pPr>
        <w:spacing w:after="0" w:line="281" w:lineRule="exact"/>
        <w:rPr>
          <w:rFonts w:ascii="Arial" w:cs="Arial" w:eastAsia="Arial" w:hAnsi="Arial"/>
          <w:sz w:val="19"/>
          <w:szCs w:val="19"/>
          <w:color w:val="auto"/>
        </w:rPr>
      </w:pPr>
    </w:p>
    <w:p>
      <w:pPr>
        <w:jc w:val="both"/>
        <w:ind w:left="660" w:firstLine="1178"/>
        <w:spacing w:after="0" w:line="288" w:lineRule="auto"/>
        <w:tabs>
          <w:tab w:leader="none" w:pos="2010" w:val="left"/>
        </w:tabs>
        <w:numPr>
          <w:ilvl w:val="2"/>
          <w:numId w:val="116"/>
        </w:numPr>
        <w:rPr>
          <w:rFonts w:ascii="Arial" w:cs="Arial" w:eastAsia="Arial" w:hAnsi="Arial"/>
          <w:sz w:val="19"/>
          <w:szCs w:val="19"/>
          <w:color w:val="auto"/>
        </w:rPr>
      </w:pPr>
      <w:r>
        <w:rPr>
          <w:rFonts w:ascii="Arial" w:cs="Arial" w:eastAsia="Arial" w:hAnsi="Arial"/>
          <w:sz w:val="19"/>
          <w:szCs w:val="19"/>
          <w:color w:val="auto"/>
        </w:rPr>
        <w:t xml:space="preserve">all or any part of such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cause the sum of all non-Defaulting Lenders’ Revolving Credit Exposures to exceed the total of all non-Defaulting Lenders’ Revolving Commitments or any non-Defaulting Revolving Credit Exposure to exceed such non-Defaulting Lender’s Revolving Commitment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9.19</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6" w:lineRule="exact"/>
        <w:rPr>
          <w:rFonts w:ascii="Arial" w:cs="Arial" w:eastAsia="Arial" w:hAnsi="Arial"/>
          <w:sz w:val="19"/>
          <w:szCs w:val="19"/>
          <w:color w:val="auto"/>
        </w:rPr>
      </w:pPr>
    </w:p>
    <w:p>
      <w:pPr>
        <w:jc w:val="both"/>
        <w:ind w:left="660" w:firstLine="1118"/>
        <w:spacing w:after="0" w:line="302" w:lineRule="auto"/>
        <w:tabs>
          <w:tab w:leader="none" w:pos="2023" w:val="left"/>
        </w:tabs>
        <w:numPr>
          <w:ilvl w:val="2"/>
          <w:numId w:val="116"/>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cannot, or can only partially, be effected, the Borrowers shall within one Business Day following notice by the Administrative Agent (x) first, prepay such Swingline Exposure and (y) second, cash collateralize such Defaulting Lender’s LC Exposure (after giving effect to any partial reallocation pursuant to clause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 in accordance with the procedures set forth in </w:t>
      </w:r>
      <w:r>
        <w:rPr>
          <w:rFonts w:ascii="Arial" w:cs="Arial" w:eastAsia="Arial" w:hAnsi="Arial"/>
          <w:sz w:val="19"/>
          <w:szCs w:val="19"/>
          <w:u w:val="single" w:color="auto"/>
          <w:color w:val="auto"/>
        </w:rPr>
        <w:t>Section 2.06(k)</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jc w:val="both"/>
        <w:ind w:left="660" w:firstLine="1058"/>
        <w:spacing w:after="0" w:line="250" w:lineRule="auto"/>
        <w:tabs>
          <w:tab w:leader="none" w:pos="2037" w:val="left"/>
        </w:tabs>
        <w:numPr>
          <w:ilvl w:val="2"/>
          <w:numId w:val="116"/>
        </w:numPr>
        <w:rPr>
          <w:rFonts w:ascii="Arial" w:cs="Arial" w:eastAsia="Arial" w:hAnsi="Arial"/>
          <w:sz w:val="22"/>
          <w:szCs w:val="22"/>
          <w:color w:val="auto"/>
        </w:rPr>
      </w:pPr>
      <w:r>
        <w:rPr>
          <w:rFonts w:ascii="Arial" w:cs="Arial" w:eastAsia="Arial" w:hAnsi="Arial"/>
          <w:sz w:val="22"/>
          <w:szCs w:val="22"/>
          <w:color w:val="auto"/>
        </w:rPr>
        <w:t xml:space="preserve">if the Borrowers cash collateralize any portion of such Defaulting Lender’s LC Exposure pursuant to clause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the Borrowers shall not be required to pay any fees to such Defaulting Lender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2.12(b)</w:t>
      </w:r>
      <w:r>
        <w:rPr>
          <w:rFonts w:ascii="Arial" w:cs="Arial" w:eastAsia="Arial" w:hAnsi="Arial"/>
          <w:sz w:val="22"/>
          <w:szCs w:val="22"/>
          <w:color w:val="auto"/>
        </w:rPr>
        <w:t xml:space="preserve"> with respect to such Defaulting Lender’s LC Exposure during the period such Defaulting Lender’s LC Exposure is cash collateralized;</w:t>
      </w:r>
    </w:p>
    <w:p>
      <w:pPr>
        <w:spacing w:after="0" w:line="214" w:lineRule="exact"/>
        <w:rPr>
          <w:rFonts w:ascii="Arial" w:cs="Arial" w:eastAsia="Arial" w:hAnsi="Arial"/>
          <w:sz w:val="22"/>
          <w:szCs w:val="22"/>
          <w:color w:val="auto"/>
        </w:rPr>
      </w:pPr>
    </w:p>
    <w:p>
      <w:pPr>
        <w:jc w:val="both"/>
        <w:ind w:left="660" w:firstLine="1070"/>
        <w:spacing w:after="0" w:line="253" w:lineRule="auto"/>
        <w:tabs>
          <w:tab w:leader="none" w:pos="199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if the LC Exposure of the non-Defaulting Lenders is reallocated pursuant to clause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above, then the fees payable to the Lenders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adjusted in accordance with such non-Defaulting Lenders’ Applicable Percentages;</w:t>
      </w:r>
    </w:p>
    <w:p>
      <w:pPr>
        <w:spacing w:after="0" w:line="212" w:lineRule="exact"/>
        <w:rPr>
          <w:rFonts w:ascii="Arial" w:cs="Arial" w:eastAsia="Arial" w:hAnsi="Arial"/>
          <w:sz w:val="22"/>
          <w:szCs w:val="22"/>
          <w:color w:val="auto"/>
        </w:rPr>
      </w:pPr>
    </w:p>
    <w:p>
      <w:pPr>
        <w:jc w:val="both"/>
        <w:ind w:left="660" w:firstLine="1130"/>
        <w:spacing w:after="0" w:line="248" w:lineRule="auto"/>
        <w:tabs>
          <w:tab w:leader="none" w:pos="199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if any Defaulting Lender’s LC Exposure is neither cash collateralized nor reallocated pursuant to clause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then, without prejudice to any rights or remedies of the Issuing Bank or any Lender hereunder, all Unused Fees that otherwise would have been payable to such Defaulting Lender (solely with respect to the portion of such Defaulting Lender’s Commitment that was utilized by such LC Exposure) and Letter of Credit fees payable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2.12(b)</w:t>
      </w:r>
      <w:r>
        <w:rPr>
          <w:rFonts w:ascii="Arial" w:cs="Arial" w:eastAsia="Arial" w:hAnsi="Arial"/>
          <w:sz w:val="22"/>
          <w:szCs w:val="22"/>
          <w:color w:val="auto"/>
        </w:rPr>
        <w:t xml:space="preserve"> with respect to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7" w:right="339" w:bottom="1440" w:gutter="0" w:footer="0" w:header="0"/>
        </w:sectPr>
      </w:pPr>
    </w:p>
    <w:bookmarkStart w:id="149" w:name="page150"/>
    <w:bookmarkEnd w:id="149"/>
    <w:p>
      <w:pPr>
        <w:ind w:left="660" w:right="20"/>
        <w:spacing w:after="0" w:line="263" w:lineRule="auto"/>
        <w:rPr>
          <w:sz w:val="20"/>
          <w:szCs w:val="20"/>
          <w:color w:val="auto"/>
        </w:rPr>
      </w:pPr>
      <w:r>
        <w:rPr>
          <w:rFonts w:ascii="Arial" w:cs="Arial" w:eastAsia="Arial" w:hAnsi="Arial"/>
          <w:sz w:val="22"/>
          <w:szCs w:val="22"/>
          <w:color w:val="auto"/>
        </w:rPr>
        <w:t>Lender’s LC Exposure shall be payable to the Issuing Bank until such LC Exposure is cash collateralized and/or reallocated; and</w:t>
      </w:r>
    </w:p>
    <w:p>
      <w:pPr>
        <w:spacing w:after="0" w:line="202" w:lineRule="exact"/>
        <w:rPr>
          <w:sz w:val="20"/>
          <w:szCs w:val="20"/>
          <w:color w:val="auto"/>
        </w:rPr>
      </w:pPr>
    </w:p>
    <w:p>
      <w:pPr>
        <w:jc w:val="both"/>
        <w:ind w:firstLine="1304"/>
        <w:spacing w:after="0" w:line="246" w:lineRule="auto"/>
        <w:tabs>
          <w:tab w:leader="none" w:pos="193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so long as any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2.20(d)</w:t>
      </w:r>
      <w:r>
        <w:rPr>
          <w:rFonts w:ascii="Arial" w:cs="Arial" w:eastAsia="Arial" w:hAnsi="Arial"/>
          <w:sz w:val="22"/>
          <w:szCs w:val="22"/>
          <w:color w:val="auto"/>
        </w:rPr>
        <w:t xml:space="preserve">, and participating interests in any such newly issued or increased Letter of Credit or newly made Swingline Loan shall be allocated among non-Defaulting Lenders in a manner consistent with </w:t>
      </w:r>
      <w:r>
        <w:rPr>
          <w:rFonts w:ascii="Arial" w:cs="Arial" w:eastAsia="Arial" w:hAnsi="Arial"/>
          <w:sz w:val="22"/>
          <w:szCs w:val="22"/>
          <w:u w:val="single" w:color="auto"/>
          <w:color w:val="auto"/>
        </w:rPr>
        <w:t>Section 2.20(d)(i)</w:t>
      </w:r>
      <w:r>
        <w:rPr>
          <w:rFonts w:ascii="Arial" w:cs="Arial" w:eastAsia="Arial" w:hAnsi="Arial"/>
          <w:sz w:val="22"/>
          <w:szCs w:val="22"/>
          <w:color w:val="auto"/>
        </w:rPr>
        <w:t xml:space="preserve"> (and Defaulting Lenders shall not participate therein); and</w:t>
      </w:r>
    </w:p>
    <w:p>
      <w:pPr>
        <w:spacing w:after="0" w:line="196" w:lineRule="exact"/>
        <w:rPr>
          <w:rFonts w:ascii="Arial" w:cs="Arial" w:eastAsia="Arial" w:hAnsi="Arial"/>
          <w:sz w:val="22"/>
          <w:szCs w:val="22"/>
          <w:color w:val="auto"/>
        </w:rPr>
      </w:pPr>
    </w:p>
    <w:p>
      <w:pPr>
        <w:jc w:val="both"/>
        <w:ind w:firstLine="1304"/>
        <w:spacing w:after="0" w:line="284" w:lineRule="auto"/>
        <w:tabs>
          <w:tab w:leader="none" w:pos="193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9.09</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pro rata basis of any amounts owing by such Defaulting Lender to the Issuing Bank or the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be held as cash collateral for such Defaulting Lender’s LC Exposure other than any portion of such LC Exposure that has been reallocated to other Lenders or cash collateralized in accordance with the terms hereof;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future funding obligations of such Defaulting Lender of any participation in any Letter of Credit or Swingline Loan;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48" w:lineRule="auto"/>
        <w:rPr>
          <w:sz w:val="20"/>
          <w:szCs w:val="20"/>
          <w:color w:val="auto"/>
        </w:rPr>
      </w:pPr>
      <w:r>
        <w:rPr>
          <w:rFonts w:ascii="Arial" w:cs="Arial" w:eastAsia="Arial" w:hAnsi="Arial"/>
          <w:sz w:val="22"/>
          <w:szCs w:val="22"/>
          <w:color w:val="auto"/>
        </w:rPr>
        <w:t xml:space="preserve">unfunded participations in LC Disbursements and Swingline Loans are held by the Lenders pro rata in accordance with the Revolving Commitments hereunder without giving effect to </w:t>
      </w:r>
      <w:r>
        <w:rPr>
          <w:rFonts w:ascii="Arial" w:cs="Arial" w:eastAsia="Arial" w:hAnsi="Arial"/>
          <w:sz w:val="22"/>
          <w:szCs w:val="22"/>
          <w:u w:val="single" w:color="auto"/>
          <w:color w:val="auto"/>
        </w:rPr>
        <w:t>(d)(i)</w:t>
      </w:r>
      <w:r>
        <w:rPr>
          <w:rFonts w:ascii="Arial" w:cs="Arial" w:eastAsia="Arial" w:hAnsi="Arial"/>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22"/>
          <w:szCs w:val="22"/>
          <w:u w:val="single" w:color="auto"/>
          <w:color w:val="auto"/>
        </w:rPr>
        <w:t>Section 2.20(f)</w:t>
      </w:r>
      <w:r>
        <w:rPr>
          <w:rFonts w:ascii="Arial" w:cs="Arial" w:eastAsia="Arial" w:hAnsi="Arial"/>
          <w:sz w:val="22"/>
          <w:szCs w:val="22"/>
          <w:color w:val="auto"/>
        </w:rPr>
        <w:t xml:space="preserve"> shall be deemed paid to and redirected by such Defaulting Lender, and each Lender irrevocably consents hereto.</w:t>
      </w:r>
    </w:p>
    <w:p>
      <w:pPr>
        <w:spacing w:after="0" w:line="219" w:lineRule="exact"/>
        <w:rPr>
          <w:sz w:val="20"/>
          <w:szCs w:val="20"/>
          <w:color w:val="auto"/>
        </w:rPr>
      </w:pPr>
    </w:p>
    <w:p>
      <w:pPr>
        <w:jc w:val="both"/>
        <w:ind w:firstLine="1304"/>
        <w:spacing w:after="0" w:line="247" w:lineRule="auto"/>
        <w:tabs>
          <w:tab w:leader="none" w:pos="19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the event that the Administrative Agent, the Company, the Issuing Bank and the Swingline Lender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Loans of the other the Lenders (other than Swingline Loans) as the Administrative Agent shall determine may be necessary in order for such Lender to hold such Loans in accordance with its Applicable Percentage.</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u w:val="single" w:color="auto"/>
          <w:color w:val="auto"/>
        </w:rPr>
        <w:t>Illegality</w:t>
      </w:r>
      <w:r>
        <w:rPr>
          <w:rFonts w:ascii="Arial" w:cs="Arial" w:eastAsia="Arial" w:hAnsi="Arial"/>
          <w:sz w:val="19"/>
          <w:szCs w:val="19"/>
          <w:color w:val="auto"/>
        </w:rPr>
        <w:t>. If, in any applicable jurisdiction, the Administrative Agent, the Issuing Bank or any Lender determines that any law has made it unlawful, or that any Governmental Authority has asserted that it is unlawful, for the Administrative Agent, the Issuing Bank or any Lender to perform any of its obligations hereunder or under any other Loan Document, to fund or maintain its participation in any Loan or issue, make, maintain, fund or charge interest or fees with respect to any Loan or Letter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Company shall, or shall cause the applicable Foreign Borrower to,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to the extent applicable to the Issuing Bank, cash collateralize that portion of the LC Exposure comprised of the aggregate undrawn amount of Letters of Credit to the extent not otherwise cash collateralized and take all reasonable actions requested by such Person to mitigate or avoid such illegality.</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Borrower Representative</w:t>
      </w:r>
      <w:r>
        <w:rPr>
          <w:rFonts w:ascii="Arial" w:cs="Arial" w:eastAsia="Arial" w:hAnsi="Arial"/>
          <w:sz w:val="22"/>
          <w:szCs w:val="22"/>
          <w:color w:val="auto"/>
        </w:rPr>
        <w:t>. The Company is hereby appointed by each Foreign Borrower as its contractual representative hereunder and under each other Loan Document, and each of the Foreign Borrowers irrevocably authorizes the Company to act as the contractual representative of such Foreign Borrower in regard to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Borrowers represent and warrant to the Administrative Agent and Lenders that: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Each of the Company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each Credit Party’s corporate powers and have been duly authorized by all necessary corporate and, if required, stockholder action. This Agreement and the other Loan Documents have been duly executed and delivered by each Credit Party that is a party thereto and constitute the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Transactions do not require any consent or approval of, registration or filing with, or any other action by, any Governmental Authority, except for the filing of a description of the entry into a material definitive agreement on either a Current Report on Form 8-K or Quarterly Report on Form 10-Q with the SEC and except such as have been obtained or made and are in full force and effect, will not violate any applicable law or regulation or the charter, by-laws or other organizational documents of the Company or any of its Subsidiaries or any order of any Governmental Authority, will not violate or result in a default under any indenture, agreement or other instrument binding upon the Company or any of its Subsidiaries or its assets, or give rise to a right thereunder to require any payment to be made by the Company or any of its Subsidiaries, and will not result in the creation or imposition of any Lien on any asset of the Company or any of its Subsidiaries other than those Liens which are created or imposed hereunder or pursuant to the Collateral Documents.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 Absence of Default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8" w:lineRule="auto"/>
        <w:tabs>
          <w:tab w:leader="none" w:pos="193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Company has heretofore furnished to the Lenders its consolidated balance sheet and statements of income, stockholders equity and cash flows as of and for the fiscal year ended June 30, 2020, reported on by Deloitte &amp; Touche LLP, independent registered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91" w:lineRule="exact"/>
        <w:rPr>
          <w:rFonts w:ascii="Arial" w:cs="Arial" w:eastAsia="Arial" w:hAnsi="Arial"/>
          <w:sz w:val="22"/>
          <w:szCs w:val="22"/>
          <w:color w:val="auto"/>
        </w:rPr>
      </w:pPr>
    </w:p>
    <w:p>
      <w:pPr>
        <w:ind w:firstLine="1304"/>
        <w:spacing w:after="0" w:line="263" w:lineRule="auto"/>
        <w:tabs>
          <w:tab w:leader="none" w:pos="19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Since June 30, 2020, there has been no adverse change in the business, assets, operations, prospects or condition, financial or otherwise, of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1" w:right="3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Subsidiaries, taken as a whole, that could reasonably be expected to have a Material Adverse Effect.</w:t>
      </w:r>
    </w:p>
    <w:p>
      <w:pPr>
        <w:spacing w:after="0" w:line="247" w:lineRule="exact"/>
        <w:rPr>
          <w:sz w:val="20"/>
          <w:szCs w:val="20"/>
          <w:color w:val="auto"/>
        </w:rPr>
      </w:pPr>
    </w:p>
    <w:p>
      <w:pPr>
        <w:ind w:left="660" w:right="5580" w:firstLine="644"/>
        <w:spacing w:after="0" w:line="461"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No Default has occurred and is continuing. SECTION 3.05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jc w:val="both"/>
        <w:ind w:firstLine="1304"/>
        <w:spacing w:after="0" w:line="271" w:lineRule="auto"/>
        <w:tabs>
          <w:tab w:leader="none" w:pos="193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of the Company and the other Credit Parties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67" w:lineRule="exact"/>
        <w:rPr>
          <w:rFonts w:ascii="Arial" w:cs="Arial" w:eastAsia="Arial" w:hAnsi="Arial"/>
          <w:sz w:val="21"/>
          <w:szCs w:val="21"/>
          <w:color w:val="auto"/>
        </w:rPr>
      </w:pPr>
    </w:p>
    <w:p>
      <w:pPr>
        <w:jc w:val="both"/>
        <w:ind w:firstLine="1304"/>
        <w:spacing w:after="0" w:line="302"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of the Company and the other Credit Parties owns, or is licensed to use, all trademarks, tradenames, copyrights, patents and other intellectual property material to its business, and the use thereof by the Company and the other Credit Parties does not infringe upon the rights of any other Person, except for any such infringements that, individually or in the aggregate, could not reasonably be expected to result in a Material Adverse Effect.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Litigation and Environmental Matters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02" w:lineRule="auto"/>
        <w:tabs>
          <w:tab w:leader="none" w:pos="19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There are no actions, suits or proceedings by or before any arbitrator or Governmental Authority pending against or, to the knowledge of the Company, threatened against or affecting the Company or any of its Subsidiaries as to which there is a reasonable possibility of an adverse determination and that, if adversely determined, could reasonably be expected, individually or in the aggregate, to result in a Material Adverse Effect or that involve this Agreement or the Transactions.</w:t>
      </w:r>
    </w:p>
    <w:p>
      <w:pPr>
        <w:spacing w:after="0" w:line="142" w:lineRule="exact"/>
        <w:rPr>
          <w:rFonts w:ascii="Arial" w:cs="Arial" w:eastAsia="Arial" w:hAnsi="Arial"/>
          <w:sz w:val="19"/>
          <w:szCs w:val="19"/>
          <w:color w:val="auto"/>
        </w:rPr>
      </w:pPr>
    </w:p>
    <w:p>
      <w:pPr>
        <w:jc w:val="both"/>
        <w:ind w:firstLine="1304"/>
        <w:spacing w:after="0" w:line="287" w:lineRule="auto"/>
        <w:tabs>
          <w:tab w:leader="none" w:pos="19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ordinary course of its business the officers of the Company consider the effect of Environmental Laws on the business of the Company and its Subsidiaries, in the course of which they identify and evaluate potential risks and liabilities to which the Company or its Subsidiaries may be subject due to Environmental Laws. On the basis of this consideration, except with respect to matters that, individually or in the aggregate, could not reasonably be expected to result in a Material Adverse Effect, neither the Company nor any of its Subsidiaries has failed to comply with any Environmental Law or to obtain, maintain or comply with any permit, license or other approval required under any Environmental Law, has become subject to any Environmental Liability, has received notice of any claim with respect to any Environmental Liability or knows of any basis for any Environmental Liability. Neither the Company nor any Subsidiary has received any notice to the effect that its operations are not in material compliance with any of the requirements of applicable Environmental Laws or are the subject of any federal, state, provincial or territorial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153" w:name="page154"/>
    <w:bookmarkEnd w:id="153"/>
    <w:p>
      <w:pPr>
        <w:jc w:val="both"/>
        <w:ind w:firstLine="648"/>
        <w:spacing w:after="0" w:line="250"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Neither the Company nor any of its Subsidiaries is an “investment company” as defined in, or subject to regulation under, the Investment Company Act of 1940.</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Taxes</w:t>
      </w:r>
      <w:r>
        <w:rPr>
          <w:rFonts w:ascii="Arial" w:cs="Arial" w:eastAsia="Arial" w:hAnsi="Arial"/>
          <w:sz w:val="21"/>
          <w:szCs w:val="21"/>
          <w:color w:val="auto"/>
        </w:rPr>
        <w:t>. Each of the Company and its Subsidiaries has timely filed or caused to be filed all Tax returns and reports required to have been filed and has paid or caused to be paid all Taxes required to have been paid by it, except Taxes that are being contested in good faith by appropriate proceedings and for which the Company or such Subsidiary, as applicable, has set aside on its books adequate reserves in accordance with Agreement Accounting Principles and as to which no Lien exists or to the extent that the failure to do so could not reasonably be expected to result in a Material Adverse Effect. The charges, accruals and reserves on the books of the Company and its Subsidiaries in respect of any Taxes or other governmental charges are adequate. Each of the Company and its Subsidiaries has withheld all employee withholdings and has made all employer contributions to be withheld and made by it pursuant to applicable law on account of employment insurance and employee income taxes.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ERISA; Canadian Pension and Benefit Plans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5" w:lineRule="auto"/>
        <w:tabs>
          <w:tab w:leader="none" w:pos="193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No ERISA Event has occurred or is reasonably expected to occur that, when taken together with all other such ERISA Events for which liability is reasonably expected to occur, could reasonably be expected to result in a Material Adverse Effect and neither the Company nor any other member of the Controlled Group has incurred, or is reasonably expected to incur, any Withdrawal Liability to Multiemployer Plans in excess of $1,000,000 in the aggregate.</w:t>
      </w:r>
    </w:p>
    <w:p>
      <w:pPr>
        <w:spacing w:after="0" w:line="175" w:lineRule="exact"/>
        <w:rPr>
          <w:rFonts w:ascii="Arial" w:cs="Arial" w:eastAsia="Arial" w:hAnsi="Arial"/>
          <w:sz w:val="21"/>
          <w:szCs w:val="21"/>
          <w:color w:val="auto"/>
        </w:rPr>
      </w:pPr>
    </w:p>
    <w:p>
      <w:pPr>
        <w:ind w:left="1960" w:hanging="656"/>
        <w:spacing w:after="0"/>
        <w:tabs>
          <w:tab w:leader="none" w:pos="19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None of the Company or any of its Subsidiaries has any Canadian Pension Plan.</w:t>
      </w:r>
    </w:p>
    <w:p>
      <w:pPr>
        <w:spacing w:after="0" w:line="246" w:lineRule="exact"/>
        <w:rPr>
          <w:rFonts w:ascii="Arial" w:cs="Arial" w:eastAsia="Arial" w:hAnsi="Arial"/>
          <w:sz w:val="22"/>
          <w:szCs w:val="22"/>
          <w:color w:val="auto"/>
        </w:rPr>
      </w:pPr>
    </w:p>
    <w:p>
      <w:pPr>
        <w:jc w:val="both"/>
        <w:ind w:firstLine="1304"/>
        <w:spacing w:after="0" w:line="258" w:lineRule="auto"/>
        <w:tabs>
          <w:tab w:leader="none" w:pos="193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Except where the failure to perform any obligation or make any withholding, collection or payment, as applicable, could not reasonably be expected, individually or in the aggregate, to result in a Material Adverse Effect: all obligations of the Company and its Subsidiaries (including fiduciary, funding, investment, administration and reporting obligations) required to be performed by them in connection with the Canadian Benefit Plans and the funding agreements therefor have been performed all contributions or premiums required to be made or paid by the Company and its Subsidiaries to the Canadian Benefit Plans have been made or paid in a timely fashion in accordance with the terms of such plans and all applicable laws, and all employee contributions to the Canadian Benefit Plans by way of authorized payroll deduction or otherwise have been properly withheld or collected by the Company and its Subsidiaries and have been fully paid into those plans in compliance with the plans and applicable laws. There have been no improper withdrawals or applications of the assets of the Canadian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46" w:lineRule="auto"/>
        <w:rPr>
          <w:sz w:val="20"/>
          <w:szCs w:val="20"/>
          <w:color w:val="auto"/>
        </w:rPr>
      </w:pPr>
      <w:r>
        <w:rPr>
          <w:rFonts w:ascii="Arial" w:cs="Arial" w:eastAsia="Arial" w:hAnsi="Arial"/>
          <w:sz w:val="22"/>
          <w:szCs w:val="22"/>
          <w:color w:val="auto"/>
        </w:rPr>
        <w:t>except where any such withdrawals or applications could not reasonably be expected, individually or in the aggregate, to result in a Material Adverse Effect. There is no proceeding, action, suit or claim (other than routine claims for benefits) pending or threatened involving the Canadian Benefit Plans, and no facts exist which could reasonably be expected to give rise to that type of proceeding, action, suit or claim, except where the outcome thereof could not reasonably be expected, individually or in the aggregate, to result in a Material Adverse Effect. No promises of benefit improvements under the Canadian Benefit Plans by the Company or any of its Subsidiaries have been made except where improvement could not reasonably be expected to have a Material Adverse Effect.</w:t>
      </w:r>
    </w:p>
    <w:p>
      <w:pPr>
        <w:spacing w:after="0" w:line="22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Plan Assets; Prohibited Transactions; ERISA</w:t>
      </w:r>
      <w:r>
        <w:rPr>
          <w:rFonts w:ascii="Arial" w:cs="Arial" w:eastAsia="Arial" w:hAnsi="Arial"/>
          <w:sz w:val="22"/>
          <w:szCs w:val="22"/>
          <w:color w:val="auto"/>
        </w:rPr>
        <w:t>. Except as to salary deferrals before they are put into trust, no Borrower is an entity deemed to hold “plan assets” within the meaning of 29 C.F.R. § 2510.3-101 of an “employee benefit plan” (as defined in Section 3(3) of ERISA) which is subject to Title I of ERISA or any “plan” (within the meaning of Section 4975 of the Code). Neither the execution of this Agreement nor the extending of Loans or issuance of Letters of Credit hereunder gives rise to a “prohibited transaction” within the meaning of Section 406 of ERISA or Section 4975 of the Code or results in or causes an ERISA Event.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Disclosure</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9" w:lineRule="auto"/>
        <w:tabs>
          <w:tab w:leader="none" w:pos="193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and other information furnished by or on behalf of the Company to the Administrative Agent or any Lender in connection with the negotiation of this Agreement or delivered hereunder (as modified or supplemented by other information so furnished), when taken as a whole, do not contain any material misstatement of fact or omit to state any material fact necessary to make the statements therein, in the light of the circumstances under which they were made, not misleading; provided that, with respect to projected financial information, the Company represents only that such information was prepared in good faith based upon assumptions believed to be reasonable at the time.</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As of the Effective Date, to the best knowledge of the Company, the information included in any Beneficial Ownership Certificate provided on or prior to the Effective Date to any Lender in connection with this Agreement is true and correct in all respects.</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3.13</w:t>
      </w:r>
      <w:r>
        <w:rPr>
          <w:rFonts w:ascii="Arial" w:cs="Arial" w:eastAsia="Arial" w:hAnsi="Arial"/>
          <w:sz w:val="22"/>
          <w:szCs w:val="22"/>
          <w:color w:val="auto"/>
        </w:rPr>
        <w:t xml:space="preserve"> contains an accurate list of and other information regarding all Subsidiaries of the Company as of the Effective Date, setting forth their respective jurisdictions of organization, the percentage of their respective Equity Interests owned by the Company and/or other Subsidiaries and whether the Subsidiaries are required to be Subsidiary Guarantors pursuant to </w:t>
      </w:r>
      <w:r>
        <w:rPr>
          <w:rFonts w:ascii="Arial" w:cs="Arial" w:eastAsia="Arial" w:hAnsi="Arial"/>
          <w:sz w:val="22"/>
          <w:szCs w:val="22"/>
          <w:u w:val="single" w:color="auto"/>
          <w:color w:val="auto"/>
        </w:rPr>
        <w:t>Section 5.09</w:t>
      </w:r>
      <w:r>
        <w:rPr>
          <w:rFonts w:ascii="Arial" w:cs="Arial" w:eastAsia="Arial" w:hAnsi="Arial"/>
          <w:sz w:val="22"/>
          <w:szCs w:val="22"/>
          <w:color w:val="auto"/>
        </w:rPr>
        <w:t>. Deliberately omitted from Schedule 3.13 are Matrix Service, Inc., Panama (formed in Panama) and San Luis Tank S.A. de C.V. (formed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155" w:name="page156"/>
    <w:bookmarkEnd w:id="155"/>
    <w:p>
      <w:pPr>
        <w:jc w:val="both"/>
        <w:spacing w:after="0" w:line="248" w:lineRule="auto"/>
        <w:rPr>
          <w:sz w:val="20"/>
          <w:szCs w:val="20"/>
          <w:color w:val="auto"/>
        </w:rPr>
      </w:pPr>
      <w:r>
        <w:rPr>
          <w:rFonts w:ascii="Arial" w:cs="Arial" w:eastAsia="Arial" w:hAnsi="Arial"/>
          <w:sz w:val="22"/>
          <w:szCs w:val="22"/>
          <w:color w:val="auto"/>
        </w:rPr>
        <w:t>Mexico), both of which the Company has represented and does hereby represent to the Administrative Agent and the Lenders are now dormant and neither of which the Company has any plan or intention to revive or utilize in any way or has any assets or operations whatsoever. All of the issued and outstanding shares of capital stock or other ownership interests of all Subsidiaries have been (to the extent such concepts are relevant with respect to such ownership interests) duly authorized and issued and are fully paid and non-assessable.</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3.14 </w:t>
      </w:r>
      <w:r>
        <w:rPr>
          <w:rFonts w:ascii="Arial" w:cs="Arial" w:eastAsia="Arial" w:hAnsi="Arial"/>
          <w:sz w:val="19"/>
          <w:szCs w:val="19"/>
          <w:u w:val="single" w:color="auto"/>
          <w:color w:val="auto"/>
        </w:rPr>
        <w:t>Material Agreements</w:t>
      </w:r>
      <w:r>
        <w:rPr>
          <w:rFonts w:ascii="Arial" w:cs="Arial" w:eastAsia="Arial" w:hAnsi="Arial"/>
          <w:sz w:val="19"/>
          <w:szCs w:val="19"/>
          <w:color w:val="auto"/>
        </w:rPr>
        <w:t>. Neither the Company nor any Subsidiary is subject to any charter or other corporate restriction which could reasonably be expected to have a Material Adverse Effect. Neither the Company nor any Subsidiary is in default in the performance, observance or fulfillment of any of the obligations, covenants or conditions contained in any agreement to which it is a party, which default could reasonably be expected to have a Material Adverse Effect or any agreement or instrument evidencing or governing Indebtedness, including but not limited to any of the Loan Documents.</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Post-Retirement Benefits</w:t>
      </w:r>
      <w:r>
        <w:rPr>
          <w:rFonts w:ascii="Arial" w:cs="Arial" w:eastAsia="Arial" w:hAnsi="Arial"/>
          <w:sz w:val="22"/>
          <w:szCs w:val="22"/>
          <w:color w:val="auto"/>
        </w:rPr>
        <w:t>. The present value of the expected cost of post-retirement medical (excluding the cost of continuation coverage as required by §4980(B) of the Code or by similar, applicable state insurance laws) and insurance benefits payable by the Company and its Subsidiaries to its employees and former employees, as estimated by the Company in accordance with procedures and assumptions deemed reasonable by the Required Lenders, does not exceed $500,000.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Solvency</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3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Immediately after the consummation of the transactions to occur on the date hereof and immediately following the making of each Loan, if any, made on the date hereof, after giving effect to the application of the proceeds of such Loans, the fair value of the assets of the Company and its Subsidiaries on a consolidated basis, at a fair valuation, will exceed the debts and liabilities, subordinated, contingent or otherwise, of the Company and its Subsidiaries on a consolidated basis; the present fair saleable value of the property of the Company and its Subsidiaries on a consolidated basis will be greater than the amount that will be required to pay the probable liability of the Company and its Subsidiaries on a consolidated basis on their debts and other liabilities, subordinated, contingent or otherwise, as such debts and other liabilities become absolute and matured; the Company and its Subsidiaries on a consolidated basis will be able to pay their debts and liabilities, subordinated, contingent or otherwise, as such debts and liabilities become absolute and matured; and the Company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163"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Company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8" w:right="339" w:bottom="1440" w:gutter="0" w:footer="0" w:header="0"/>
        </w:sectPr>
      </w:pPr>
    </w:p>
    <w:bookmarkStart w:id="156" w:name="page157"/>
    <w:bookmarkEnd w:id="156"/>
    <w:p>
      <w:pPr>
        <w:jc w:val="both"/>
        <w:ind w:firstLine="648"/>
        <w:spacing w:after="0" w:line="250"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Payment and Performance Bonds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3.17</w:t>
      </w:r>
      <w:r>
        <w:rPr>
          <w:rFonts w:ascii="Arial" w:cs="Arial" w:eastAsia="Arial" w:hAnsi="Arial"/>
          <w:sz w:val="22"/>
          <w:szCs w:val="22"/>
          <w:color w:val="auto"/>
        </w:rPr>
        <w:t xml:space="preserve"> sets forth an accurate list and brief description of all payment and performance bonds to which the Company or any of its Subsidiaries is a party as of September 30, 2020. No such bonds (or any application or related documents) currently evidence any collateral or security of any kind or nature in favor of the Surety thereunder other than Permitted Encumbrances.</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Commercial Tort Claims</w:t>
      </w:r>
      <w:r>
        <w:rPr>
          <w:rFonts w:ascii="Arial" w:cs="Arial" w:eastAsia="Arial" w:hAnsi="Arial"/>
          <w:sz w:val="19"/>
          <w:szCs w:val="19"/>
          <w:color w:val="auto"/>
        </w:rPr>
        <w:t>. As of the Effective Date, neither the Company nor any of the Subsidiaries owns or has any interest in any “commercial tort claim” (as that term is defined in 12A Okla. Stat. §1-9-102(a)(13) as of the Effective Date) that has not been specifically described in a Security Agreement as part of the collateral thereunder.</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Company has implemented and maintains in effect policies and procedures designed to ensure compliance by the Company, its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the Borrowers, any Subsidiary or to the knowledge of the Borrowers, any of their respective directors, officers or employees, or to the knowledge of the Borrowers,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or applicable Sanctions.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No Credit Party is an Affected Financial Institution.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Plan Assets</w:t>
      </w:r>
      <w:r>
        <w:rPr>
          <w:rFonts w:ascii="Arial" w:cs="Arial" w:eastAsia="Arial" w:hAnsi="Arial"/>
          <w:sz w:val="19"/>
          <w:szCs w:val="19"/>
          <w:color w:val="auto"/>
        </w:rPr>
        <w:t>. None of the Company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The obligations of the Lenders to make Loans and of the Issuing Bank to issue Letters of Credit hereunder shall not become effective until the date on which each of the following conditions is satisfied to the satisfaction of each Lender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312" w:lineRule="auto"/>
        <w:tabs>
          <w:tab w:leader="none" w:pos="193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each party hereto a counterpart of this Agreement signed on behalf of such party (which may include any Electronic Signatures transmitted by fax, emailed .pdf or any other electronic means that reproduces an image of an actual executed signature page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1304"/>
        <w:spacing w:after="0" w:line="290" w:lineRule="auto"/>
        <w:tabs>
          <w:tab w:leader="none" w:pos="194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good standing (to the extent applicable in the relevant jurisdiction) of any of the Credit Parties, the authorization of the Transactions and any other legal matters relating to the Borrowers, the Credit Parties, this Agreement or the Transactions and a certificate of incumbency which identifies by name and title and bears the signatures of the Authorized Officers of each Credit Party authorized to sign the Loan Documents to which it is a party and, in the case of the Company, the Authorized Officers of the Company authorized to submit Borrowing Requests, upon which certificate the Administrative Agent shall be entitled to rely until informed of any change in writing by an Authorized Officer, all in form and substance satisfactory to the Administrative Agent and its counsel.</w:t>
      </w:r>
    </w:p>
    <w:p>
      <w:pPr>
        <w:spacing w:after="0" w:line="182" w:lineRule="exact"/>
        <w:rPr>
          <w:rFonts w:ascii="Arial" w:cs="Arial" w:eastAsia="Arial" w:hAnsi="Arial"/>
          <w:sz w:val="19"/>
          <w:szCs w:val="19"/>
          <w:color w:val="auto"/>
        </w:rPr>
      </w:pPr>
    </w:p>
    <w:p>
      <w:pPr>
        <w:jc w:val="both"/>
        <w:ind w:firstLine="1304"/>
        <w:spacing w:after="0" w:line="248" w:lineRule="auto"/>
        <w:tabs>
          <w:tab w:leader="none" w:pos="19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signed by an Authorized Officer of the Company, stating that, as of the Effective Date no Default or Event of Default has occurred and is continuing, the representations and warranties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are true and correct in all material respects, and there has been no material adverse change in the business, assets, operations, or condition of the Company and its Subsidiaries, taken as a whole, since June 30, 2020.</w:t>
      </w:r>
    </w:p>
    <w:p>
      <w:pPr>
        <w:spacing w:after="0" w:line="218" w:lineRule="exact"/>
        <w:rPr>
          <w:rFonts w:ascii="Arial" w:cs="Arial" w:eastAsia="Arial" w:hAnsi="Arial"/>
          <w:sz w:val="22"/>
          <w:szCs w:val="22"/>
          <w:color w:val="auto"/>
        </w:rPr>
      </w:pPr>
    </w:p>
    <w:p>
      <w:pPr>
        <w:ind w:firstLine="1304"/>
        <w:spacing w:after="0" w:line="263"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Administrative Agent shall have received a Borrowing Request with respect to any Revolving Loans to be made on the Effective Date.</w:t>
      </w:r>
    </w:p>
    <w:p>
      <w:pPr>
        <w:spacing w:after="0" w:line="201" w:lineRule="exact"/>
        <w:rPr>
          <w:rFonts w:ascii="Arial" w:cs="Arial" w:eastAsia="Arial" w:hAnsi="Arial"/>
          <w:sz w:val="22"/>
          <w:szCs w:val="22"/>
          <w:color w:val="auto"/>
        </w:rPr>
      </w:pPr>
    </w:p>
    <w:p>
      <w:pPr>
        <w:ind w:left="1940" w:hanging="636"/>
        <w:spacing w:after="0"/>
        <w:tabs>
          <w:tab w:leader="none" w:pos="19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Administrative Agent shall have received Notes payable to the order of the appropriate Lenders.</w:t>
      </w:r>
    </w:p>
    <w:p>
      <w:pPr>
        <w:spacing w:after="0" w:line="294" w:lineRule="exact"/>
        <w:rPr>
          <w:rFonts w:ascii="Arial" w:cs="Arial" w:eastAsia="Arial" w:hAnsi="Arial"/>
          <w:sz w:val="19"/>
          <w:szCs w:val="19"/>
          <w:color w:val="auto"/>
        </w:rPr>
      </w:pPr>
    </w:p>
    <w:p>
      <w:pPr>
        <w:jc w:val="both"/>
        <w:ind w:firstLine="1304"/>
        <w:spacing w:after="0" w:line="248" w:lineRule="auto"/>
        <w:tabs>
          <w:tab w:leader="none" w:pos="193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Administrative Agent shall have received all Collateral Documents (or amendments, supplements or ratifications thereof) that may be required by the Administrative Agent and any other documents, agreements, instruments or certificates as the Administrative Agent may require in order to evidence the grant to the Administrative Agent of a Lien against any property of the Company or any other Credit Party desired by the Administrative Agent or to perfect any such Lien, all of which shall be Collateral Documents hereunder.</w:t>
      </w:r>
    </w:p>
    <w:p>
      <w:pPr>
        <w:spacing w:after="0" w:line="218" w:lineRule="exact"/>
        <w:rPr>
          <w:rFonts w:ascii="Arial" w:cs="Arial" w:eastAsia="Arial" w:hAnsi="Arial"/>
          <w:sz w:val="22"/>
          <w:szCs w:val="22"/>
          <w:color w:val="auto"/>
        </w:rPr>
      </w:pPr>
    </w:p>
    <w:p>
      <w:pPr>
        <w:ind w:left="1960" w:hanging="656"/>
        <w:spacing w:after="0"/>
        <w:tabs>
          <w:tab w:leader="none" w:pos="19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Administrative Agent shall have received the Subsidiary Guaranties duly executed by each Subsidiary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Guarantor.</w:t>
      </w:r>
    </w:p>
    <w:p>
      <w:pPr>
        <w:spacing w:after="0" w:line="228" w:lineRule="exact"/>
        <w:rPr>
          <w:rFonts w:ascii="Arial" w:cs="Arial" w:eastAsia="Arial" w:hAnsi="Arial"/>
          <w:sz w:val="19"/>
          <w:szCs w:val="19"/>
          <w:color w:val="auto"/>
        </w:rPr>
      </w:pPr>
    </w:p>
    <w:p>
      <w:pPr>
        <w:ind w:firstLine="1304"/>
        <w:spacing w:after="0" w:line="263" w:lineRule="auto"/>
        <w:tabs>
          <w:tab w:leader="none" w:pos="19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Administrative Agent shall have received a completed and appropriately executed Perfection Certificate in form acceptable to the Administrative Agent.</w:t>
      </w:r>
    </w:p>
    <w:p>
      <w:pPr>
        <w:spacing w:after="0" w:line="201" w:lineRule="exact"/>
        <w:rPr>
          <w:rFonts w:ascii="Arial" w:cs="Arial" w:eastAsia="Arial" w:hAnsi="Arial"/>
          <w:sz w:val="22"/>
          <w:szCs w:val="22"/>
          <w:color w:val="auto"/>
        </w:rPr>
      </w:pPr>
    </w:p>
    <w:p>
      <w:pPr>
        <w:jc w:val="both"/>
        <w:ind w:firstLine="1304"/>
        <w:spacing w:after="0" w:line="247" w:lineRule="auto"/>
        <w:tabs>
          <w:tab w:leader="none" w:pos="193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Except as contemplated by </w:t>
      </w:r>
      <w:r>
        <w:rPr>
          <w:rFonts w:ascii="Arial" w:cs="Arial" w:eastAsia="Arial" w:hAnsi="Arial"/>
          <w:sz w:val="22"/>
          <w:szCs w:val="22"/>
          <w:u w:val="single" w:color="auto"/>
          <w:color w:val="auto"/>
        </w:rPr>
        <w:t>Section 5.13</w:t>
      </w:r>
      <w:r>
        <w:rPr>
          <w:rFonts w:ascii="Arial" w:cs="Arial" w:eastAsia="Arial" w:hAnsi="Arial"/>
          <w:sz w:val="22"/>
          <w:szCs w:val="22"/>
          <w:color w:val="auto"/>
        </w:rPr>
        <w:t>, the Administrative Agent shall have received a favorable written opinion (addressed to the Administrative Agent and the Lenders and dated the Effective Date) of Conner &amp; Winters, LLP, counsel for the Company, Baker &amp; McKenzie LLP (Toronto office), counsel for Matrix North American Construction Ltd., an Ontario corporation, Baker &amp; McKenzie LLP (London office), counsel for the Euro/Sterling Borrower, Baker &amp; McKenzie LLP (Sydney office), counsel for the Australian Borrower, Lawson &amp; Lundell LLP, counsel for Matrix Service Canada ULC, an Alberta unlimited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8" w:right="339" w:bottom="1440" w:gutter="0" w:footer="0" w:header="0"/>
        </w:sectPr>
      </w:pPr>
    </w:p>
    <w:bookmarkStart w:id="158" w:name="page159"/>
    <w:bookmarkEnd w:id="158"/>
    <w:p>
      <w:pPr>
        <w:jc w:val="both"/>
        <w:spacing w:after="0" w:line="253" w:lineRule="auto"/>
        <w:rPr>
          <w:sz w:val="20"/>
          <w:szCs w:val="20"/>
          <w:color w:val="auto"/>
        </w:rPr>
      </w:pPr>
      <w:r>
        <w:rPr>
          <w:rFonts w:ascii="Arial" w:cs="Arial" w:eastAsia="Arial" w:hAnsi="Arial"/>
          <w:sz w:val="22"/>
          <w:szCs w:val="22"/>
          <w:color w:val="auto"/>
        </w:rPr>
        <w:t>company and Stewart McKelvey, counsel for Matrix SME Canada ULC, a Nova Scotia unlimited liability company, in each case, in form and substance satisfactory to the Administrative Agent. The Company hereby requests such counsel to deliver such opinion.</w:t>
      </w:r>
    </w:p>
    <w:p>
      <w:pPr>
        <w:spacing w:after="0" w:line="212" w:lineRule="exact"/>
        <w:rPr>
          <w:sz w:val="20"/>
          <w:szCs w:val="20"/>
          <w:color w:val="auto"/>
        </w:rPr>
      </w:pPr>
    </w:p>
    <w:p>
      <w:pPr>
        <w:jc w:val="both"/>
        <w:ind w:firstLine="1304"/>
        <w:spacing w:after="0" w:line="263" w:lineRule="auto"/>
        <w:tabs>
          <w:tab w:leader="none" w:pos="193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Administrative Agent shall have received all fees and other amounts due and payable on or prior to the Effective Date, including but not limited to to the extent invoiced, reimbursement or payment of all out-of-pocket expenses required to be reimbursed or paid by the Borrowers hereunder, all fees previously agreed to be paid to the Administrative Agent, to any of the Lenders and to JPMorgan Chase as Sole Bookrunner and Sole Lead Arranger prior to or on the Effective Date and all fees due and payable to the lenders under the Existing Credit Agreement.</w:t>
      </w:r>
    </w:p>
    <w:p>
      <w:pPr>
        <w:spacing w:after="0" w:line="202" w:lineRule="exact"/>
        <w:rPr>
          <w:rFonts w:ascii="Arial" w:cs="Arial" w:eastAsia="Arial" w:hAnsi="Arial"/>
          <w:sz w:val="21"/>
          <w:szCs w:val="21"/>
          <w:color w:val="auto"/>
        </w:rPr>
      </w:pPr>
    </w:p>
    <w:p>
      <w:pPr>
        <w:ind w:firstLine="1304"/>
        <w:spacing w:after="0" w:line="263" w:lineRule="auto"/>
        <w:tabs>
          <w:tab w:leader="none" w:pos="19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Administrative Agent shall have received payment of all accrued and unpaid interest on the loans outstanding under the Existing Credit Agreement up to the Effective Date.</w:t>
      </w:r>
    </w:p>
    <w:p>
      <w:pPr>
        <w:spacing w:after="0" w:line="201" w:lineRule="exact"/>
        <w:rPr>
          <w:rFonts w:ascii="Arial" w:cs="Arial" w:eastAsia="Arial" w:hAnsi="Arial"/>
          <w:sz w:val="22"/>
          <w:szCs w:val="22"/>
          <w:color w:val="auto"/>
        </w:rPr>
      </w:pPr>
    </w:p>
    <w:p>
      <w:pPr>
        <w:jc w:val="both"/>
        <w:ind w:firstLine="1304"/>
        <w:spacing w:after="0" w:line="259" w:lineRule="auto"/>
        <w:tabs>
          <w:tab w:leader="none" w:pos="193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 The Administrative Agent shall have received all documentation and other information required by regulatory authorities under applicable “know your customer” rules and regulations, including the Patriot Act, that has been reasonably requested in writing at least three (3) Business Days prior to the Effective Date by the Lenders and (ii) to the extent a Borrower qualifies as a “legal entity customer” under the Beneficial Ownership Regulation, at least five days prior to the Effective Date, any Lender that has requested, in a written notice to the Company at least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223" w:lineRule="exact"/>
        <w:rPr>
          <w:rFonts w:ascii="Arial" w:cs="Arial" w:eastAsia="Arial" w:hAnsi="Arial"/>
          <w:sz w:val="21"/>
          <w:szCs w:val="21"/>
          <w:color w:val="auto"/>
        </w:rPr>
      </w:pPr>
    </w:p>
    <w:p>
      <w:pPr>
        <w:jc w:val="both"/>
        <w:ind w:firstLine="1304"/>
        <w:spacing w:after="0" w:line="253" w:lineRule="auto"/>
        <w:tabs>
          <w:tab w:leader="none" w:pos="193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All consents, authorizations and approvals of, and filings and registrations with, and all other actions in respect of, any Governmental Authority or other Person required in connection with the making of the Loans or the conduct of the Borrowers’ business shall have been obtained and shall be in full force and effect.</w:t>
      </w:r>
    </w:p>
    <w:p>
      <w:pPr>
        <w:spacing w:after="0" w:line="212" w:lineRule="exact"/>
        <w:rPr>
          <w:rFonts w:ascii="Arial" w:cs="Arial" w:eastAsia="Arial" w:hAnsi="Arial"/>
          <w:sz w:val="22"/>
          <w:szCs w:val="22"/>
          <w:color w:val="auto"/>
        </w:rPr>
      </w:pPr>
    </w:p>
    <w:p>
      <w:pPr>
        <w:ind w:left="1960" w:hanging="656"/>
        <w:spacing w:after="0"/>
        <w:tabs>
          <w:tab w:leader="none" w:pos="19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other documents and instruments as it or its counsel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have requested.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Revolving Loan on the occasion of any Revolving Borrowing, and of the Issuing Bank to issue, amend, renew or extend any Letter of Credit, is subject to the satisfaction of the following conditions:</w:t>
      </w:r>
    </w:p>
    <w:p>
      <w:pPr>
        <w:spacing w:after="0" w:line="185" w:lineRule="exact"/>
        <w:rPr>
          <w:sz w:val="20"/>
          <w:szCs w:val="20"/>
          <w:color w:val="auto"/>
        </w:rPr>
      </w:pPr>
    </w:p>
    <w:p>
      <w:pPr>
        <w:jc w:val="both"/>
        <w:ind w:firstLine="1304"/>
        <w:spacing w:after="0" w:line="250" w:lineRule="auto"/>
        <w:tabs>
          <w:tab w:leader="none" w:pos="19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Borrowers set forth in this Agreement shall be true and correct in all material respects on and as of the date of such Revolving Borrowing or the date of issuance, amendment, renewal or extension of such Letter of Credit, as applicable, except to the extent limited to a specific prior date or incorrect as a result of transactions permitted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8" w:right="339" w:bottom="1440" w:gutter="0" w:footer="0" w:header="0"/>
        </w:sectPr>
      </w:pPr>
    </w:p>
    <w:bookmarkStart w:id="159" w:name="page160"/>
    <w:bookmarkEnd w:id="159"/>
    <w:p>
      <w:pPr>
        <w:ind w:firstLine="1304"/>
        <w:spacing w:after="0" w:line="343" w:lineRule="auto"/>
        <w:tabs>
          <w:tab w:leader="none" w:pos="194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Revolving Borrowing or the issuance, amendment, renewal or extension of such Letter of Credit, as applicable, no Default shall have occurred and be continuing.</w:t>
      </w:r>
    </w:p>
    <w:p>
      <w:pPr>
        <w:spacing w:after="0" w:line="131" w:lineRule="exact"/>
        <w:rPr>
          <w:rFonts w:ascii="Arial" w:cs="Arial" w:eastAsia="Arial" w:hAnsi="Arial"/>
          <w:sz w:val="19"/>
          <w:szCs w:val="19"/>
          <w:color w:val="auto"/>
        </w:rPr>
      </w:pPr>
    </w:p>
    <w:p>
      <w:pPr>
        <w:jc w:val="both"/>
        <w:ind w:firstLine="1304"/>
        <w:spacing w:after="0" w:line="294" w:lineRule="auto"/>
        <w:tabs>
          <w:tab w:leader="none" w:pos="193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With respect to any Borrowing Request for a Revolving Loan submitted after the delivery by the Borrowers to the Administrative Agent of a Compliance Certificate in which the Fixed Charge Coverage Ratio was calculated giving effect to the first part of clause (b) of the numerator thereof because no Loans were outstanding on the last day of the applicable four fiscal quarters, the Company shall deliver a certificate of a Financial Officer setting forth the calculation of the Fixed Charge Coverage Ratio for the same period as the period of calculation used in such Compliance Certificate, pro forma as if Loans had been outstanding on the last day of such period and reflecting compliance with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for such period.</w:t>
      </w:r>
    </w:p>
    <w:p>
      <w:pPr>
        <w:spacing w:after="0" w:line="176" w:lineRule="exact"/>
        <w:rPr>
          <w:rFonts w:ascii="Arial" w:cs="Arial" w:eastAsia="Arial" w:hAnsi="Arial"/>
          <w:sz w:val="19"/>
          <w:szCs w:val="19"/>
          <w:color w:val="auto"/>
        </w:rPr>
      </w:pPr>
    </w:p>
    <w:p>
      <w:pPr>
        <w:jc w:val="both"/>
        <w:ind w:firstLine="1304"/>
        <w:spacing w:after="0" w:line="294" w:lineRule="auto"/>
        <w:tabs>
          <w:tab w:leader="none" w:pos="194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During the Covenant Relief Period, with respect to any issuance of a Letter of Credit or any amendment of a Letter of Credit that increases the face amount thereof, (i) if the aggregate LC Exposure as of the date of such issuance or amendment is less than $100,000,000, the Company shall have delivered cash collateral in U.S. Dollars to the Administrative Agent in an amount equal to 50% of the face amount of such Letter of Credit and (ii) if the aggregate LC Exposure as of such date is equal to or greater than $100,000,000, the Company shall have delivered cash collateral in U.S. Dollars to the Administrative Agent in an amount equal to 105% of the face amount of such Letter of Credit.</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Each Revolving Borrowing and each issuance, amendment, renewal or extension of a Letter of Credit shall be deemed to constitute a representation and warranty by the Borrowers on the date thereof as to the matters specified in paragraphs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w:t>
      </w:r>
    </w:p>
    <w:p>
      <w:pPr>
        <w:spacing w:after="0" w:line="1" w:lineRule="exact"/>
        <w:rPr>
          <w:sz w:val="20"/>
          <w:szCs w:val="20"/>
          <w:color w:val="auto"/>
        </w:rPr>
      </w:pPr>
    </w:p>
    <w:p>
      <w:pPr>
        <w:ind w:left="320" w:hanging="312"/>
        <w:spacing w:after="0"/>
        <w:tabs>
          <w:tab w:leader="none" w:pos="320" w:val="left"/>
        </w:tabs>
        <w:numPr>
          <w:ilvl w:val="0"/>
          <w:numId w:val="131"/>
        </w:numPr>
        <w:rPr>
          <w:rFonts w:ascii="Arial" w:cs="Arial" w:eastAsia="Arial" w:hAnsi="Arial"/>
          <w:sz w:val="22"/>
          <w:szCs w:val="22"/>
          <w:u w:val="single" w:color="auto"/>
          <w:color w:val="auto"/>
        </w:rPr>
      </w:pPr>
      <w:r>
        <w:rPr>
          <w:rFonts w:ascii="Arial" w:cs="Arial" w:eastAsia="Arial" w:hAnsi="Arial"/>
          <w:sz w:val="22"/>
          <w:szCs w:val="22"/>
          <w:color w:val="auto"/>
        </w:rPr>
        <w:t>of this Section.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Until the Revolving Commitments have expired or been terminated and the principal of and interest on each Loan and all fees payable hereunder shall have been paid in full and all Letters of Credit shall have expired or terminated and all LC Disbursements shall have been reimbursed, each Borrower covenants and agrees with the Lenders that: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Other Information</w:t>
      </w:r>
      <w:r>
        <w:rPr>
          <w:rFonts w:ascii="Arial" w:cs="Arial" w:eastAsia="Arial" w:hAnsi="Arial"/>
          <w:sz w:val="19"/>
          <w:szCs w:val="19"/>
          <w:color w:val="auto"/>
        </w:rPr>
        <w:t>. The Company will furnish to the Administrative Agent and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jc w:val="both"/>
        <w:ind w:firstLine="1304"/>
        <w:spacing w:after="0" w:line="294" w:lineRule="auto"/>
        <w:tabs>
          <w:tab w:leader="none" w:pos="193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Within ninety (90) days after the close of each of its fiscal years, copies of the audited consolidated balance sheets of the Company and its Subsidiaries as at the end of such fiscal year, together with the related audited consolidated statements of income and statements of comprehensive income, statements of cash flows and statements of changes in stockholders’ equity for such fiscal year, and the notes thereto, all in reasonable detail, setting forth in each case in comparative form the audited consolidated figures as of the end of and for the previous fiscal year, in reasonable detail and prepared in accordance with Agreement Accounting Principles, and accompanied by a report and opinion of an independent certified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59" w:lineRule="auto"/>
        <w:rPr>
          <w:sz w:val="20"/>
          <w:szCs w:val="20"/>
          <w:color w:val="auto"/>
        </w:rPr>
      </w:pPr>
      <w:r>
        <w:rPr>
          <w:rFonts w:ascii="Arial" w:cs="Arial" w:eastAsia="Arial" w:hAnsi="Arial"/>
          <w:sz w:val="21"/>
          <w:szCs w:val="21"/>
          <w:color w:val="auto"/>
        </w:rPr>
        <w:t>accountant reasonably acceptable to the Lenders which report and opinion shall be prepared in accordance with generally accepted auditing standards and shall be unqualified (except for qualifications relating to changes in accounting principles or practices reflecting changes in generally accepted accounting principles and required or approved by the Company’s independent certified public accountants) and not subject to any “going concern” or like qualification or exception and shall state that such consolidated financial statements present fairly, in all material respects, the consolidated financial position of the Company and Subsidiaries as at the end of such fiscal year and their consolidated results of operations and cash flows for such fiscal year in conformity with Agreement Accounting Principles (or words substantially similar to the foregoing) and that the examination by such accountants in connection with such consolidated financial statements has been made in accordance with generally accepted auditing standards.</w:t>
      </w:r>
    </w:p>
    <w:p>
      <w:pPr>
        <w:spacing w:after="0" w:line="179" w:lineRule="exact"/>
        <w:rPr>
          <w:sz w:val="20"/>
          <w:szCs w:val="20"/>
          <w:color w:val="auto"/>
        </w:rPr>
      </w:pPr>
    </w:p>
    <w:p>
      <w:pPr>
        <w:jc w:val="both"/>
        <w:ind w:firstLine="1304"/>
        <w:spacing w:after="0" w:line="257" w:lineRule="auto"/>
        <w:tabs>
          <w:tab w:leader="none" w:pos="194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Within forty-five (45) days after the end of the first three fiscal quarters of the Company’s fiscal year, condensed consolidated balance sheets of the Company and Subsidiaries as at the end of such fiscal quarter, the related condensed consolidated statements of income and the related condensed consolidated statements of comprehensive income, each for such fiscal quarter and for the portion of the fiscal year then ended and each setting forth in comparative form the consolidated figures for the corresponding fiscal quarter of the previous fiscal year and the corresponding portion of the previous fiscal year, and the related condensed consolidated statements of cash flows for the portion of the Company’s fiscal year then ended and the related condensed consolidated statements of changes in stockholders’ equity for the portion of the Company’s fiscal year then ended and in each case setting forth in comparative form the consolidated figures for the corresponding portion of the previous fiscal year, all in reasonable detail and certified by a Financial Officer of the Company as fairly presenting the financial condition, results of operations, cash flows and changes in stockholders’ equity of the Company and its Subsidiaries in accordance with Agreement Accounting Principles, subject only to normal year-end audit adjustments and the absence of footnotes.</w:t>
      </w:r>
    </w:p>
    <w:p>
      <w:pPr>
        <w:spacing w:after="0" w:line="217" w:lineRule="exact"/>
        <w:rPr>
          <w:rFonts w:ascii="Arial" w:cs="Arial" w:eastAsia="Arial" w:hAnsi="Arial"/>
          <w:sz w:val="21"/>
          <w:szCs w:val="21"/>
          <w:color w:val="auto"/>
        </w:rPr>
      </w:pPr>
    </w:p>
    <w:p>
      <w:pPr>
        <w:jc w:val="both"/>
        <w:ind w:firstLine="1304"/>
        <w:spacing w:after="0" w:line="297" w:lineRule="auto"/>
        <w:tabs>
          <w:tab w:leader="none" w:pos="193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Together with the financial statements required under </w:t>
      </w:r>
      <w:r>
        <w:rPr>
          <w:rFonts w:ascii="Arial" w:cs="Arial" w:eastAsia="Arial" w:hAnsi="Arial"/>
          <w:sz w:val="19"/>
          <w:szCs w:val="19"/>
          <w:u w:val="single" w:color="auto"/>
          <w:color w:val="auto"/>
        </w:rPr>
        <w:t>Sections 5.01(a)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 compliance certificate in substantially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signed by its chief financial officer showing the calculations necessary to determine compliance with this Agreement (including without limitation all the calculations specified in </w:t>
      </w:r>
      <w:r>
        <w:rPr>
          <w:rFonts w:ascii="Arial" w:cs="Arial" w:eastAsia="Arial" w:hAnsi="Arial"/>
          <w:sz w:val="19"/>
          <w:szCs w:val="19"/>
          <w:u w:val="single" w:color="auto"/>
          <w:color w:val="auto"/>
        </w:rPr>
        <w:t>Exhibit H</w:t>
      </w:r>
      <w:r>
        <w:rPr>
          <w:rFonts w:ascii="Arial" w:cs="Arial" w:eastAsia="Arial" w:hAnsi="Arial"/>
          <w:sz w:val="19"/>
          <w:szCs w:val="19"/>
          <w:color w:val="auto"/>
        </w:rPr>
        <w:t>) and stating that no Default or Event of Default exists, or if any Default or Event of Default exists, stating the nature and status thereof and the action the Company has taken, is taking, or proposes to take in respect thereto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As soon as possible and in any event within ten (10) days after receipt by the Company, a copy of any notice or claim to the effect that the Company or any of its Subsidiaries is or may be liable to any Person as a result of the release by the Company, any of its Subsidiaries, or any other Person of any Hazardous Material into the environment, and any notice alleging any violation of any Environmental Law by the Company or any of its Subsidiaries which, in either case,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161" w:name="page162"/>
    <w:bookmarkEnd w:id="161"/>
    <w:p>
      <w:pPr>
        <w:ind w:firstLine="1304"/>
        <w:spacing w:after="0" w:line="263" w:lineRule="auto"/>
        <w:tabs>
          <w:tab w:leader="none" w:pos="193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Promptly upon the furnishing thereof to the shareholders of the Company, copies of all financial statements, reports and proxy statements so furnished, if not previously delivered to the Administrative Agent.</w:t>
      </w:r>
    </w:p>
    <w:p>
      <w:pPr>
        <w:spacing w:after="0" w:line="201" w:lineRule="exact"/>
        <w:rPr>
          <w:rFonts w:ascii="Arial" w:cs="Arial" w:eastAsia="Arial" w:hAnsi="Arial"/>
          <w:sz w:val="22"/>
          <w:szCs w:val="22"/>
          <w:color w:val="auto"/>
        </w:rPr>
      </w:pPr>
    </w:p>
    <w:p>
      <w:pPr>
        <w:ind w:firstLine="1304"/>
        <w:spacing w:after="0" w:line="287" w:lineRule="auto"/>
        <w:tabs>
          <w:tab w:leader="none" w:pos="1935" w:val="left"/>
        </w:tabs>
        <w:numPr>
          <w:ilvl w:val="1"/>
          <w:numId w:val="134"/>
        </w:numPr>
        <w:rPr>
          <w:rFonts w:ascii="Arial" w:cs="Arial" w:eastAsia="Arial" w:hAnsi="Arial"/>
          <w:sz w:val="21"/>
          <w:szCs w:val="21"/>
          <w:color w:val="auto"/>
        </w:rPr>
      </w:pPr>
      <w:r>
        <w:rPr>
          <w:rFonts w:ascii="Arial" w:cs="Arial" w:eastAsia="Arial" w:hAnsi="Arial"/>
          <w:sz w:val="21"/>
          <w:szCs w:val="21"/>
          <w:color w:val="auto"/>
        </w:rPr>
        <w:t>Promptly upon the filing thereof, copies of all annual, quarterly, monthly or other regular reports which the Company or any of its Subsidiaries files with the SEC, if not previously delivered to the Administrative Agent.</w:t>
      </w:r>
    </w:p>
    <w:p>
      <w:pPr>
        <w:spacing w:after="0" w:line="178" w:lineRule="exact"/>
        <w:rPr>
          <w:rFonts w:ascii="Arial" w:cs="Arial" w:eastAsia="Arial" w:hAnsi="Arial"/>
          <w:sz w:val="21"/>
          <w:szCs w:val="21"/>
          <w:color w:val="auto"/>
        </w:rPr>
      </w:pPr>
    </w:p>
    <w:p>
      <w:pPr>
        <w:jc w:val="both"/>
        <w:ind w:firstLine="1304"/>
        <w:spacing w:after="0" w:line="248" w:lineRule="auto"/>
        <w:tabs>
          <w:tab w:leader="none" w:pos="194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Promptly following any request therefor, a bonding report as of a date no earlier than the last day of the fiscal quarter showing, as to all bonds to which the Company or any Subsidiary is a party, the following: the identity of the principal, the identity of the obligee, a description of the applicable project, the type of bond, the amount of the bond, the premium paid for the bond, and the effective date and expiration date of the bond, and such other information regarding such bonds as reasonably requested by the Administrative Agent or any Lender.</w:t>
      </w:r>
    </w:p>
    <w:p>
      <w:pPr>
        <w:spacing w:after="0" w:line="218" w:lineRule="exact"/>
        <w:rPr>
          <w:rFonts w:ascii="Arial" w:cs="Arial" w:eastAsia="Arial" w:hAnsi="Arial"/>
          <w:sz w:val="22"/>
          <w:szCs w:val="22"/>
          <w:color w:val="auto"/>
        </w:rPr>
      </w:pPr>
    </w:p>
    <w:p>
      <w:pPr>
        <w:ind w:firstLine="1304"/>
        <w:spacing w:after="0" w:line="263" w:lineRule="auto"/>
        <w:tabs>
          <w:tab w:leader="none" w:pos="194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Within ninety (90) days after the end of the Company’s fiscal year, financial projections for the Company and the Subsidiaries on a consolidated basis, for the next fiscal year.</w:t>
      </w:r>
    </w:p>
    <w:p>
      <w:pPr>
        <w:spacing w:after="0" w:line="215" w:lineRule="exact"/>
        <w:rPr>
          <w:rFonts w:ascii="Arial" w:cs="Arial" w:eastAsia="Arial" w:hAnsi="Arial"/>
          <w:sz w:val="22"/>
          <w:szCs w:val="22"/>
          <w:color w:val="auto"/>
        </w:rPr>
      </w:pPr>
    </w:p>
    <w:p>
      <w:pPr>
        <w:jc w:val="both"/>
        <w:ind w:firstLine="1304"/>
        <w:spacing w:after="0" w:line="283" w:lineRule="auto"/>
        <w:tabs>
          <w:tab w:leader="none" w:pos="1936"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During the Covenant Relief Period, (i) as soon as possible and in any event within thirty (30) days after the end of each calendar month, commencing with the calendar month ending May 31, 2021, condensed consolidated balance sheets of the Company and Subsidiaries as at the end of such calendar month, the related condensed consolidated statements of income and the related condensed consolidated statements of comprehensive income, each for such calendar month and for the portion of the fiscal year then ended and each setting forth in comparative form the consolidated figures for the corresponding calendar month of the previous fiscal year and the corresponding portion of the previous fiscal year, the related condensed consolidated statements of cash flows for the portion of the Company’s fiscal year then ended and the related condensed consolidated statements of changes in stockholders’ equity for the portion of the Company’s fiscal year then ended and in each case setting forth in comparative form the consolidated figures for the corresponding portion of the previous fiscal year, all in reasonable detail and certified by a Financial Officer of the Company as fairly presenting the financial condition, results of operations, cash flows and changes in stockholders’ equity of the Company and its Subsidiaries in accordance with Agreement Accounting Principles, subject only to normal year-end audit adjustments and the absence of footnotes and (D) a summary backlog report as of the end of such calendar month specifying descriptions (including sizes) of projects, projected margins and such other information as may be reasonably requested by the Administrative Agent, all in reasonable detail and certified by a Financial Officer of the Company as true and correct in all material respects and (ii) as soon as possible and in any event within forty-five</w:t>
      </w:r>
    </w:p>
    <w:p>
      <w:pPr>
        <w:jc w:val="both"/>
        <w:ind w:firstLine="8"/>
        <w:spacing w:after="0" w:line="245" w:lineRule="auto"/>
        <w:tabs>
          <w:tab w:leader="none" w:pos="42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days after the end of each fiscal quarter, commencing with the fiscal quarter ending June 30, 2021, financial projections for the Company and the Subsidiaries on a consolidated basis, for the next four fiscal quarters, including balance sheet, income statement and cash flow statement, all in reasonable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162" w:name="page163"/>
    <w:bookmarkEnd w:id="162"/>
    <w:p>
      <w:pPr>
        <w:jc w:val="both"/>
        <w:ind w:firstLine="1304"/>
        <w:spacing w:after="0" w:line="297" w:lineRule="auto"/>
        <w:tabs>
          <w:tab w:leader="none" w:pos="193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Promptly following any request therefor, (x) such other information regarding the operations, business affairs and financial condition of the Company or any Subsidiary, or compliance with the terms of this Agreement, as the Administrative Agent or any Lender may reasonably request and (y) information and documentation reasonably requested by Administrative Agent or any Lender for purpose of compliance with applicable “know your customer” and anti-money laundering rules and regulations, including the Patriot Act and the Beneficial Ownership Regulation.</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on which the Company posts such documents, or provides a link thereto on the Company’s website on the Internet at http://matrixservice.com/InvestorSECFiling.asp; or on which such documents are posted on the Company’s behalf on the SEC’s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Company shall deliver paper copies of such documents to the Administrative Agent or any Lender that requests the Company to deliver such paper copies and (y) the Company shall notify (which may be by facsimile or electronic mail) the Administrative Agent (and the Administrative Agent shall promptly notify the Lenders thereof) of the posting of any such documents and provide to the Administrative Agent (and the Administrative Agent shall promptly provide such documents to the Lenders) by electronic mail electronic versions (i.e., soft copies) of such documents.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Company will furnish to the Administrative Agent and each Lender prompt written notice of the following:</w:t>
      </w:r>
    </w:p>
    <w:p>
      <w:pPr>
        <w:spacing w:after="0" w:line="175" w:lineRule="exact"/>
        <w:rPr>
          <w:sz w:val="20"/>
          <w:szCs w:val="20"/>
          <w:color w:val="auto"/>
        </w:rPr>
      </w:pPr>
    </w:p>
    <w:p>
      <w:pPr>
        <w:ind w:left="1940" w:hanging="636"/>
        <w:spacing w:after="0"/>
        <w:tabs>
          <w:tab w:leader="none" w:pos="19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212" w:lineRule="exact"/>
        <w:rPr>
          <w:rFonts w:ascii="Arial" w:cs="Arial" w:eastAsia="Arial" w:hAnsi="Arial"/>
          <w:sz w:val="22"/>
          <w:szCs w:val="22"/>
          <w:color w:val="auto"/>
        </w:rPr>
      </w:pPr>
    </w:p>
    <w:p>
      <w:pPr>
        <w:ind w:firstLine="1304"/>
        <w:spacing w:after="0" w:line="263" w:lineRule="auto"/>
        <w:tabs>
          <w:tab w:leader="none" w:pos="193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delivered to such Lender that would result in a change to the list of beneficial owners identified in such certification;</w:t>
      </w:r>
    </w:p>
    <w:p>
      <w:pPr>
        <w:spacing w:after="0" w:line="201" w:lineRule="exact"/>
        <w:rPr>
          <w:rFonts w:ascii="Arial" w:cs="Arial" w:eastAsia="Arial" w:hAnsi="Arial"/>
          <w:sz w:val="22"/>
          <w:szCs w:val="22"/>
          <w:color w:val="auto"/>
        </w:rPr>
      </w:pPr>
    </w:p>
    <w:p>
      <w:pPr>
        <w:ind w:firstLine="1304"/>
        <w:spacing w:after="0" w:line="263" w:lineRule="auto"/>
        <w:tabs>
          <w:tab w:leader="none" w:pos="194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a Material Adverse Effect; and</w:t>
      </w:r>
    </w:p>
    <w:p>
      <w:pPr>
        <w:spacing w:after="0" w:line="215" w:lineRule="exact"/>
        <w:rPr>
          <w:rFonts w:ascii="Arial" w:cs="Arial" w:eastAsia="Arial" w:hAnsi="Arial"/>
          <w:sz w:val="22"/>
          <w:szCs w:val="22"/>
          <w:color w:val="auto"/>
        </w:rPr>
      </w:pPr>
    </w:p>
    <w:p>
      <w:pPr>
        <w:ind w:left="1940" w:hanging="636"/>
        <w:spacing w:after="0"/>
        <w:tabs>
          <w:tab w:leader="none" w:pos="19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253" w:lineRule="auto"/>
        <w:rPr>
          <w:sz w:val="20"/>
          <w:szCs w:val="20"/>
          <w:color w:val="auto"/>
        </w:rPr>
      </w:pPr>
      <w:r>
        <w:rPr>
          <w:rFonts w:ascii="Arial" w:cs="Arial" w:eastAsia="Arial" w:hAnsi="Arial"/>
          <w:sz w:val="22"/>
          <w:szCs w:val="22"/>
          <w:color w:val="auto"/>
        </w:rPr>
        <w:t>Each notice delivered under this Section shall be in writing and shall be accompanied by a statement of a Financial Officer or other Authorized Officer of the Company setting forth the details of the event or development requiring such notice and any action taken or proposed to be taken with respect thereto.</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w:t>
      </w:r>
      <w:r>
        <w:rPr>
          <w:rFonts w:ascii="Arial" w:cs="Arial" w:eastAsia="Arial" w:hAnsi="Arial"/>
          <w:sz w:val="21"/>
          <w:szCs w:val="21"/>
          <w:u w:val="single" w:color="auto"/>
          <w:color w:val="auto"/>
        </w:rPr>
        <w:t>Section 6.03</w:t>
      </w:r>
      <w:r>
        <w:rPr>
          <w:rFonts w:ascii="Arial" w:cs="Arial" w:eastAsia="Arial" w:hAnsi="Arial"/>
          <w:sz w:val="21"/>
          <w:szCs w:val="21"/>
          <w:color w:val="auto"/>
        </w:rPr>
        <w:t>.</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The Company will, and will cause each of its Subsidiaries to, pay its obligations, including Tax liabilities, that, if not paid, could result in a Material Adverse Effect before the same shall become delinquent or in default, except where the validity or amount thereof is being contested in good faith by appropriate proceedings, the Company or such Subsidiary has set aside on its books adequate reserves with respect thereto in accordance with Agreement Accounting Principles and the failure to make payment pending such contest could not reasonably be expected to result in a Material Adverse Effect.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Maintenance of Properties; Insurance</w:t>
      </w:r>
      <w:r>
        <w:rPr>
          <w:rFonts w:ascii="Arial" w:cs="Arial" w:eastAsia="Arial" w:hAnsi="Arial"/>
          <w:sz w:val="21"/>
          <w:szCs w:val="21"/>
          <w:color w:val="auto"/>
        </w:rPr>
        <w:t xml:space="preserve">. The Company will, and will cause each of its Subsidiaries to, keep and maintain all property material to the conduct of its business in good working order and condition, ordinary wear and tear excepted, and maintain, with financially sound and reputable insurance companies, insurance in such amounts and against such risks as are customarily maintained by companies engaged in the same or similar businesses operating in the same or similar locations, and the Company will furnish to any Lender upon request full information as to all insurance carried. </w:t>
      </w:r>
      <w:r>
        <w:rPr>
          <w:rFonts w:ascii="Arial" w:cs="Arial" w:eastAsia="Arial" w:hAnsi="Arial"/>
          <w:sz w:val="18"/>
          <w:szCs w:val="18"/>
          <w:color w:val="auto"/>
        </w:rPr>
        <w:t>With respect to</w:t>
      </w:r>
      <w:r>
        <w:rPr>
          <w:rFonts w:ascii="Arial" w:cs="Arial" w:eastAsia="Arial" w:hAnsi="Arial"/>
          <w:sz w:val="21"/>
          <w:szCs w:val="21"/>
          <w:color w:val="auto"/>
        </w:rPr>
        <w:t xml:space="preserve"> </w:t>
      </w:r>
      <w:r>
        <w:rPr>
          <w:rFonts w:ascii="Arial" w:cs="Arial" w:eastAsia="Arial" w:hAnsi="Arial"/>
          <w:sz w:val="18"/>
          <w:szCs w:val="18"/>
          <w:color w:val="auto"/>
        </w:rPr>
        <w:t xml:space="preserve">each Mortgaged Property that is located in an area identified by the Federal Emergency Management Agency (or any successor agency) as a “special flood hazard area” with respect to which flood </w:t>
      </w:r>
      <w:r>
        <w:rPr>
          <w:rFonts w:ascii="Arial" w:cs="Arial" w:eastAsia="Arial" w:hAnsi="Arial"/>
          <w:sz w:val="20"/>
          <w:szCs w:val="20"/>
          <w:color w:val="auto"/>
        </w:rPr>
        <w:t>insurance has been made available under Flood Insurance Laws, the Company</w:t>
      </w:r>
      <w:r>
        <w:rPr>
          <w:rFonts w:ascii="Arial" w:cs="Arial" w:eastAsia="Arial" w:hAnsi="Arial"/>
          <w:sz w:val="18"/>
          <w:szCs w:val="18"/>
          <w:color w:val="auto"/>
        </w:rPr>
        <w:t xml:space="preserve"> </w:t>
      </w:r>
      <w:r>
        <w:rPr>
          <w:rFonts w:ascii="Arial" w:cs="Arial" w:eastAsia="Arial" w:hAnsi="Arial"/>
          <w:sz w:val="20"/>
          <w:szCs w:val="20"/>
          <w:color w:val="auto"/>
        </w:rPr>
        <w:t>or its applicable Subsidiary has obtained and will maintain, with financially sound and reputable insurance companies (except to the extent that any insurance company insuring the Mortgaged Property ceases to be financially sound and reputable, in which case, the Company shall (or shall cause its applicable to Subsidiary) to promptly replace such insurance company with a financially sound and reputable insurance company), such flood insurance in such reasonable total amount as the Administrative Agent and the Impacted Lender may from time to time reasonably require, and otherwise sufficient to comply with all applicable rules and regulations promulgated pursuant to the Flood Insurance Laws and promptly upon request of the Administrative Agent or the Impacted Lender, will deliver to the Administrative Agent or the Impacted Lender, as applicable, evidence of such compliance in form and substance reasonably acceptable to the Administrative Agent and the Impacted Lender, including, without limitation, evidence of annual renewals of such insurance.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164" w:name="page165"/>
    <w:bookmarkEnd w:id="164"/>
    <w:p>
      <w:pPr>
        <w:jc w:val="both"/>
        <w:spacing w:after="0" w:line="263" w:lineRule="auto"/>
        <w:rPr>
          <w:sz w:val="20"/>
          <w:szCs w:val="20"/>
          <w:color w:val="auto"/>
        </w:rPr>
      </w:pPr>
      <w:r>
        <w:rPr>
          <w:rFonts w:ascii="Arial" w:cs="Arial" w:eastAsia="Arial" w:hAnsi="Arial"/>
          <w:sz w:val="21"/>
          <w:szCs w:val="21"/>
          <w:color w:val="auto"/>
        </w:rPr>
        <w:t>designated by the Administrative Agent or any Lender, upon reasonable prior notice, to audit, visit and inspect its properties, to examine and make extracts from its books and records, and to discuss its affairs, finances and condition with its officers and independent accountants, all at such reasonable times and as often as reasonably requested. The Company will, and will cause each of its Subsidiaries to, maintain at all times books and records pertaining to the Collateral in such detail, form and scope as the Administrative Agent or any Lender shall reasonably require.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Proceeds and Letters of Credit</w:t>
      </w:r>
      <w:r>
        <w:rPr>
          <w:rFonts w:ascii="Arial" w:cs="Arial" w:eastAsia="Arial" w:hAnsi="Arial"/>
          <w:sz w:val="19"/>
          <w:szCs w:val="19"/>
          <w:color w:val="auto"/>
        </w:rPr>
        <w:t>. The proceeds of the Loans will be used only to fund working capital needs, Capital Expenditures, Acquisitions, issuance of letters of credit and for general corporate purposes of the Company and its Subsidiaries in the ordinary course of business. No part of the proceeds of any Loan will be used, whether directly or indirectly, for any purpose that entails a violation of any of the Regulations of the Federal Reserve Board, including Regulations T, U and X. Letters of Credit will be issued only to support the working capital needs and general corporate obligations of the Company and its Subsidiaries. The Borrowers will not request any Borrowing or Letter of Credit, and each Borrower shall not use, and shall ensure that its Subsidiaries and its and their respective directors, officers, employees and agents shall not use, the proceeds of any Borrowing or Letter of Credit in furtherance of an offer, payment, promise to pay, or authorization of the payment or giving of money, or anything else of value, to any Person in violation of any Anti-Corruption Laws, for the purpose of funding, financing or facilitating any activities, business or transaction of or with any Sanctioned Person, or in any Sanctioned Country, or in any manner that would result in the violation of any Sanctions applicable to any party hereto.</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Additional Subsidiaries; Subsidiary Guarantors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4" w:lineRule="auto"/>
        <w:tabs>
          <w:tab w:leader="none" w:pos="193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Within thirty (30) days after the date that any Person becomes a Subsidiary, the Company shall provide notice to the Administrative Agent, which notice shall be accompanied by a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prepared by the Company and containing the information necessary to cause the representations and warranties of the Company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of this Agreement to be true and correct in all material respects on and as of the date of delivery thereof to the Administrative Agent.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shall be replaced by any such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and this Agreement shall be amended accordingly, upon approval of such revised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by the Administrative Agent, notwithstanding any contrary provision of this Agreement.</w:t>
      </w:r>
    </w:p>
    <w:p>
      <w:pPr>
        <w:spacing w:after="0" w:line="149" w:lineRule="exact"/>
        <w:rPr>
          <w:rFonts w:ascii="Arial" w:cs="Arial" w:eastAsia="Arial" w:hAnsi="Arial"/>
          <w:sz w:val="19"/>
          <w:szCs w:val="19"/>
          <w:color w:val="auto"/>
        </w:rPr>
      </w:pPr>
    </w:p>
    <w:p>
      <w:pPr>
        <w:ind w:firstLine="1304"/>
        <w:spacing w:after="0" w:line="263" w:lineRule="auto"/>
        <w:tabs>
          <w:tab w:leader="none" w:pos="194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Subject to the time periods set forth below, the Company shall at all times cause all Material Subsidiaries to be Subsidiary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165" w:name="page166"/>
    <w:bookmarkEnd w:id="165"/>
    <w:p>
      <w:pPr>
        <w:ind w:left="1940" w:hanging="636"/>
        <w:spacing w:after="0"/>
        <w:tabs>
          <w:tab w:leader="none" w:pos="194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Within forty-five (45) days (or such later period as may be agreed by the Administrative Agent up to thirty</w:t>
      </w:r>
    </w:p>
    <w:p>
      <w:pPr>
        <w:spacing w:after="0" w:line="55" w:lineRule="exact"/>
        <w:rPr>
          <w:rFonts w:ascii="Arial" w:cs="Arial" w:eastAsia="Arial" w:hAnsi="Arial"/>
          <w:sz w:val="19"/>
          <w:szCs w:val="19"/>
          <w:color w:val="auto"/>
        </w:rPr>
      </w:pPr>
    </w:p>
    <w:p>
      <w:pPr>
        <w:jc w:val="both"/>
        <w:ind w:firstLine="8"/>
        <w:spacing w:after="0" w:line="256" w:lineRule="auto"/>
        <w:tabs>
          <w:tab w:leader="none" w:pos="421"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days after the end of such forty-five (45) day period) after the Company acquires or creates a new Subsidiary, to the extent that such Subsidiary is a Material Subsidiary, or any Subsidiary ceases to be an Immaterial Subsidiary, the Company shall cause such Subsidiary to become a Subsidiary Guarantor by delivering a duly executed supplement to the applicable Subsidiary Guaranty or such other document as the Administrative Agent shall deem appropriate for such purpose, grant a security interest in all Collateral (subject to the exceptions set forth in the applicable Collateral Documents) owned by such Subsidiary by delivering to the Administrative Agent a duly executed supplement to the applicable Collateral Documents or such other document as the Administrative Agent shall deem appropriate for such purpose and comply with the terms of each applicable Collateral Document, deliver to the Administrative Agent such documents and certificates referred to in </w:t>
      </w:r>
      <w:r>
        <w:rPr>
          <w:rFonts w:ascii="Arial" w:cs="Arial" w:eastAsia="Arial" w:hAnsi="Arial"/>
          <w:sz w:val="21"/>
          <w:szCs w:val="21"/>
          <w:u w:val="single" w:color="auto"/>
          <w:color w:val="auto"/>
        </w:rPr>
        <w:t>Section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(l)</w:t>
      </w:r>
      <w:r>
        <w:rPr>
          <w:rFonts w:ascii="Arial" w:cs="Arial" w:eastAsia="Arial" w:hAnsi="Arial"/>
          <w:sz w:val="21"/>
          <w:szCs w:val="21"/>
          <w:color w:val="auto"/>
        </w:rPr>
        <w:t>, in each case, as may be reasonably requested by the Administrative Agent, to the extent its parent entity is a Credit Party and its Equity Interests are certificated, deliver to the Administrative Agent such original certificated Equity Interests and stock or other transfer power in respect of such Equity Interests and deliver to the Administrative Agent such other documents as may be reasonably requested by the Administrative Agent, all in form, content and scope reasonably satisfactory to the Administrative Agent.</w:t>
      </w:r>
    </w:p>
    <w:p>
      <w:pPr>
        <w:spacing w:after="0" w:line="210" w:lineRule="exact"/>
        <w:rPr>
          <w:rFonts w:ascii="Arial" w:cs="Arial" w:eastAsia="Arial" w:hAnsi="Arial"/>
          <w:sz w:val="21"/>
          <w:szCs w:val="21"/>
          <w:color w:val="auto"/>
        </w:rPr>
      </w:pPr>
    </w:p>
    <w:p>
      <w:pPr>
        <w:jc w:val="both"/>
        <w:ind w:firstLine="1304"/>
        <w:spacing w:after="0" w:line="284" w:lineRule="auto"/>
        <w:tabs>
          <w:tab w:leader="none" w:pos="194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If as of the end of any fiscal quarter, the total assets of the Immaterial Subsidiaries that are not Subsidiary Guarantors exceed 10% of the consolidated total assets of the Company and all of its Subsidiaries as of the end of such fiscal quarter or the consolidated revenues of the Immaterial Subsidiaries that are not Subsidiary Guarantors for the three months ending on the last day of such fiscal quarter exceed 10% of the consolidated total revenues of the Company and all of its Subsidiaries for the same period, the Company shall provide notice to the Administrative Agent concurrently with the delivery of the financial statements and Compliance Certificate for such fiscal quarter and, within forty-five (45) days after such notice, cause one or more Immaterial Subsidiaries to become Subsidiary Guarantors and comply with the other provisions of paragraph</w:t>
      </w:r>
    </w:p>
    <w:p>
      <w:pPr>
        <w:spacing w:after="0" w:line="3"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xml:space="preserve"> above such that, after giving effect thereto, both the total assets and consolidated revenues of all remaining Immaterial Subsidiaries that are not Subsidiary Guarantors are less than 10% of the consolidated total assets and consolidated total revenues (calculated as of the end of, and for the three months ending on, the last day of such fiscal quarter), respectively, of the Company and all of its Subsidiaries.</w:t>
      </w:r>
    </w:p>
    <w:p>
      <w:pPr>
        <w:spacing w:after="0" w:line="22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Collateral Records</w:t>
      </w:r>
      <w:r>
        <w:rPr>
          <w:rFonts w:ascii="Arial" w:cs="Arial" w:eastAsia="Arial" w:hAnsi="Arial"/>
          <w:sz w:val="19"/>
          <w:szCs w:val="19"/>
          <w:color w:val="auto"/>
        </w:rPr>
        <w:t>. The Company agrees to execute and deliver promptly, and to cause each other Credit Party to execute and deliver promptly, to the Administrative Agent, from time to time, solely for the Administrative Agent’s convenience in maintaining a record of the Collateral, such written statements and schedules as the Administrative Agent may reasonably require designating, identifying or describing the Collateral. The failure by the Company or any other Credit Party, however, to promptly give the Administrative Agent such statements or schedules shall not affect, diminish, modify or otherwise limit the Liens on the Collateral granted pursuant to the Collateral Documents.</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Security Interests</w:t>
      </w:r>
      <w:r>
        <w:rPr>
          <w:rFonts w:ascii="Arial" w:cs="Arial" w:eastAsia="Arial" w:hAnsi="Arial"/>
          <w:sz w:val="22"/>
          <w:szCs w:val="22"/>
          <w:color w:val="auto"/>
        </w:rPr>
        <w:t>. The Company shall, and shall cause each other Credit Party to, defend the Collateral against all claims and demands of all Persons at any time claiming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8" w:right="339" w:bottom="1440" w:gutter="0" w:footer="0" w:header="0"/>
        </w:sectPr>
      </w:pPr>
    </w:p>
    <w:bookmarkStart w:id="166" w:name="page167"/>
    <w:bookmarkEnd w:id="166"/>
    <w:p>
      <w:pPr>
        <w:jc w:val="both"/>
        <w:spacing w:after="0" w:line="284" w:lineRule="auto"/>
        <w:rPr>
          <w:sz w:val="20"/>
          <w:szCs w:val="20"/>
          <w:color w:val="auto"/>
        </w:rPr>
      </w:pPr>
      <w:r>
        <w:rPr>
          <w:rFonts w:ascii="Arial" w:cs="Arial" w:eastAsia="Arial" w:hAnsi="Arial"/>
          <w:sz w:val="19"/>
          <w:szCs w:val="19"/>
          <w:color w:val="auto"/>
        </w:rPr>
        <w:t>the same or any interest therein. The Company shall, and shall cause each other Credit Party to, comply with the requirements of all state and federal laws in order to grant to the Administrative Agent valid and perfected first priority security interests in the Collateral, with perfection, in the case of any investment property or deposit account, being effected by giving the Administrative Agent control of such investment property or deposit account, rather than by the filing of a financing statement (under the UCC or PPSA) with respect to such investment property. The Administrative Agent is hereby authorized by the Company to file any financing statements (under the UCC or PPSA) covering the Collateral, including any financing statement describing the collateral as “all of the Debtor’s personal property” or “all of the Debtor’s assets”, notwithstanding that such wording may be broader in scope than the Collateral described in the applicable Collateral Documents. The Company shall, and shall cause each other Credit Party to, do whatever the Administrative Agent may reasonably request, from time to time, to effect the purposes of this Agreement and the other Loan Documents, including filing notices of liens, financing statements (under the UCC or PPSA), fixture filings and amendments, renewals and continuations thereof; cooperating with the Administrative Agent’s representatives; keeping stock records; obtaining waivers from landlords and mortgagees and from warehousemen and their landlords and mortgagees; and, paying claims which might, if unpaid, become a Lien on any of the Collateral. Without limitation of the foregoing, after the Effective Date the Company shall, and shall cause each other Credit Party to, execute and deliver such modifications to the Mortgages, and control agreements covering any demand, time, savings, passbook, or other similar deposit account maintained by the Company or any other Credit Party with any bank or other financial institution, countersigned by such bank or financial institution, in each case, as required by the Administrative Agent and in form acceptable to the Administrative Agent. Notwithstanding the foregoing, the Administrative Agent shall not enter into any Mortgage in respect of any real property acquired by the Company or any of its Subsidiaries until the Administrative Agent has received written confirmation from the Impacted Lender that flood insurance due diligence and flood insurance compliance has been completed by the Impacted Lender (such written confirmation not to be unreasonably conditioned, withheld or delayed). If the Impacted Lender has not informed the Administrative Agent and the Company of any outstanding flood diligence requirements by the date that is thirty (30) days after the date on which the Administrative Agent made available to the Lenders (which may be delivered electronically) the following documents in respect of such real property: a completed flood hazard determination from a third party vendor; if such real property is located in a “special flood hazard area”, a notification to the Company of that fact and (if applicable) notification to the Company that flood insurance coverage is not available and evidence of the receipt by the Company of such notice; and if such notice is required to be provided to the Company and flood insurance is available in the community in which such real property is located, evidence of required flood insurance with respect to any such Mortgage, Impacted Lender will be deemed to have completed its flood insurance due diligence and flood insurance compliance and to have consented to such Mortgage.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Canadian Benefit Plans</w:t>
      </w:r>
      <w:r>
        <w:rPr>
          <w:rFonts w:ascii="Arial" w:cs="Arial" w:eastAsia="Arial" w:hAnsi="Arial"/>
          <w:sz w:val="19"/>
          <w:szCs w:val="19"/>
          <w:color w:val="auto"/>
        </w:rPr>
        <w:t>. The Company shall perform, and shall cause its Subsidiaries to perform, all obligations (including fiduciary, funding, investment and administration obligations) required to be performed in connection with each Canadian Benefit Plan and the funding media therefor; make, and cause its Subsidiaries to make, all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8" w:right="339" w:bottom="1440" w:gutter="0" w:footer="0" w:header="0"/>
        </w:sectPr>
      </w:pPr>
    </w:p>
    <w:bookmarkStart w:id="167" w:name="page168"/>
    <w:bookmarkEnd w:id="167"/>
    <w:p>
      <w:pPr>
        <w:jc w:val="both"/>
        <w:spacing w:after="0" w:line="250" w:lineRule="auto"/>
        <w:rPr>
          <w:sz w:val="20"/>
          <w:szCs w:val="20"/>
          <w:color w:val="auto"/>
        </w:rPr>
      </w:pPr>
      <w:r>
        <w:rPr>
          <w:rFonts w:ascii="Arial" w:cs="Arial" w:eastAsia="Arial" w:hAnsi="Arial"/>
          <w:sz w:val="22"/>
          <w:szCs w:val="22"/>
          <w:color w:val="auto"/>
        </w:rPr>
        <w:t>and pay, and cause its Subsidiaries to pay, all premiums required to be made or paid by it or them in accordance with the terms of the plan and all applicable laws; and withhold, and cause its Subsidiaries to withhold, by way of authorized payroll deductions or otherwise collect and pay into the plan all employee contributions required to be withheld or collected in accordance with the terms of the plan and all applicable laws.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Post-Closing Obligations</w:t>
      </w:r>
      <w:r>
        <w:rPr>
          <w:rFonts w:ascii="Arial" w:cs="Arial" w:eastAsia="Arial" w:hAnsi="Arial"/>
          <w:sz w:val="22"/>
          <w:szCs w:val="22"/>
          <w:color w:val="auto"/>
        </w:rPr>
        <w:t xml:space="preserve">. The Company shall deliver or cause to be delivered to the Administrative Agent each of the agreements, documents, instruments or certificates described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all in form and substance satisfactory to the Administrative Agent; perform each of the actions described on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in a manner reasonably satisfactory to the Administrative Agent and cause all such matters described in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to be completed within the time periods set forth opposite each such item or action on such </w:t>
      </w:r>
      <w:r>
        <w:rPr>
          <w:rFonts w:ascii="Arial" w:cs="Arial" w:eastAsia="Arial" w:hAnsi="Arial"/>
          <w:sz w:val="22"/>
          <w:szCs w:val="22"/>
          <w:u w:val="single" w:color="auto"/>
          <w:color w:val="auto"/>
        </w:rPr>
        <w:t>Schedule 5.13</w:t>
      </w:r>
      <w:r>
        <w:rPr>
          <w:rFonts w:ascii="Arial" w:cs="Arial" w:eastAsia="Arial" w:hAnsi="Arial"/>
          <w:sz w:val="22"/>
          <w:szCs w:val="22"/>
          <w:color w:val="auto"/>
        </w:rPr>
        <w:t xml:space="preserve"> (in each case, unless otherwise agreed by the Administrative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Appraisals of Mortgaged Property</w:t>
      </w:r>
      <w:r>
        <w:rPr>
          <w:rFonts w:ascii="Arial" w:cs="Arial" w:eastAsia="Arial" w:hAnsi="Arial"/>
          <w:sz w:val="21"/>
          <w:szCs w:val="21"/>
          <w:color w:val="auto"/>
        </w:rPr>
        <w:t xml:space="preserve">. At any time that the Administrative Agent requests, the Company will provide the Administrative Agent and/or an appraiser selected and engaged by the Administrative Agent with such information relating to the Mortgaged Properties (including access thereto) necessary for the preparation and delivery to the Administrative Agent of appraisals or updates thereof of the Mortgaged Properties, prepared on a basis satisfactory to the Administrative Agent, such appraisals and updates to include, without limitation, information required by any applicable laws and regulations;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no Event of Default has occurred and is continuing, one such appraisal per calendar year shall be at the sole expense of the Company; it being understood that any such appraisal required during the occurrence of an Event of Default shall be at the sole expense of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Until the Revolving Commitments have expired or terminated and the principal of and interest on each Loan and all fees payable hereunder have been paid in full and all Letters of Credit have expired or terminated and all LC Disbursements shall have been reimbursed, each Borrower covenants and agrees with the Lenders that: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Company will not, and will not permit any Subsidiary to, create, incur, assume or permit to exist any Indebtedness, except:</w:t>
      </w:r>
    </w:p>
    <w:p>
      <w:pPr>
        <w:spacing w:after="0" w:line="175" w:lineRule="exact"/>
        <w:rPr>
          <w:sz w:val="20"/>
          <w:szCs w:val="20"/>
          <w:color w:val="auto"/>
        </w:rPr>
      </w:pPr>
    </w:p>
    <w:p>
      <w:pPr>
        <w:ind w:left="1940" w:hanging="636"/>
        <w:spacing w:after="0"/>
        <w:tabs>
          <w:tab w:leader="none" w:pos="19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19" w:lineRule="exact"/>
        <w:rPr>
          <w:rFonts w:ascii="Arial" w:cs="Arial" w:eastAsia="Arial" w:hAnsi="Arial"/>
          <w:sz w:val="22"/>
          <w:szCs w:val="22"/>
          <w:color w:val="auto"/>
        </w:rPr>
      </w:pPr>
    </w:p>
    <w:p>
      <w:pPr>
        <w:ind w:firstLine="1304"/>
        <w:spacing w:after="0" w:line="343" w:lineRule="auto"/>
        <w:tabs>
          <w:tab w:leader="none" w:pos="19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Indebtedness existing on the First Amendment Effective Date and set forth in </w:t>
      </w:r>
      <w:r>
        <w:rPr>
          <w:rFonts w:ascii="Arial" w:cs="Arial" w:eastAsia="Arial" w:hAnsi="Arial"/>
          <w:sz w:val="19"/>
          <w:szCs w:val="19"/>
          <w:u w:val="single" w:color="auto"/>
          <w:color w:val="auto"/>
        </w:rPr>
        <w:t>Schedule 6.01</w:t>
      </w:r>
      <w:r>
        <w:rPr>
          <w:rFonts w:ascii="Arial" w:cs="Arial" w:eastAsia="Arial" w:hAnsi="Arial"/>
          <w:sz w:val="19"/>
          <w:szCs w:val="19"/>
          <w:color w:val="auto"/>
        </w:rPr>
        <w:t>, and extensions, renewals and replacements of any such Indebtedness that do not increase the outstanding principal amount thereof;</w:t>
      </w:r>
    </w:p>
    <w:p>
      <w:pPr>
        <w:spacing w:after="0" w:line="131" w:lineRule="exact"/>
        <w:rPr>
          <w:rFonts w:ascii="Arial" w:cs="Arial" w:eastAsia="Arial" w:hAnsi="Arial"/>
          <w:sz w:val="19"/>
          <w:szCs w:val="19"/>
          <w:color w:val="auto"/>
        </w:rPr>
      </w:pPr>
    </w:p>
    <w:p>
      <w:pPr>
        <w:ind w:left="1940" w:hanging="636"/>
        <w:spacing w:after="0"/>
        <w:tabs>
          <w:tab w:leader="none" w:pos="194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Indebtedness of the Company to any Subsidiary and of any Subsidiary to the Company or any other</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8" w:right="339" w:bottom="1440" w:gutter="0" w:footer="0" w:header="0"/>
        </w:sectPr>
      </w:pPr>
    </w:p>
    <w:bookmarkStart w:id="168" w:name="page169"/>
    <w:bookmarkEnd w:id="168"/>
    <w:p>
      <w:pPr>
        <w:ind w:left="1960" w:hanging="656"/>
        <w:spacing w:after="0"/>
        <w:tabs>
          <w:tab w:leader="none" w:pos="19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Capital Lease Obligations;</w:t>
      </w:r>
    </w:p>
    <w:p>
      <w:pPr>
        <w:spacing w:after="0" w:line="246" w:lineRule="exact"/>
        <w:rPr>
          <w:rFonts w:ascii="Arial" w:cs="Arial" w:eastAsia="Arial" w:hAnsi="Arial"/>
          <w:sz w:val="22"/>
          <w:szCs w:val="22"/>
          <w:color w:val="auto"/>
        </w:rPr>
      </w:pPr>
    </w:p>
    <w:p>
      <w:pPr>
        <w:jc w:val="both"/>
        <w:ind w:firstLine="1304"/>
        <w:spacing w:after="0" w:line="246" w:lineRule="auto"/>
        <w:tabs>
          <w:tab w:leader="none" w:pos="193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Indebtedness incurred to finance the acquisition, construction or improvement of any fixed or capital assets other than Capital Lease Obligations, and including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incurred or assumed prior to, contemporaneously with or within ninety (90) days after such acquisition or the completion of such construction or improvement and the aggregate principal amount of Indebtedness permitted by this clause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shall not exceed $2,500,000 at any time outstanding;</w:t>
      </w:r>
    </w:p>
    <w:p>
      <w:pPr>
        <w:spacing w:after="0" w:line="223" w:lineRule="exact"/>
        <w:rPr>
          <w:rFonts w:ascii="Arial" w:cs="Arial" w:eastAsia="Arial" w:hAnsi="Arial"/>
          <w:sz w:val="22"/>
          <w:szCs w:val="22"/>
          <w:color w:val="auto"/>
        </w:rPr>
      </w:pPr>
    </w:p>
    <w:p>
      <w:pPr>
        <w:jc w:val="both"/>
        <w:ind w:firstLine="1304"/>
        <w:spacing w:after="0" w:line="253" w:lineRule="auto"/>
        <w:tabs>
          <w:tab w:leader="none" w:pos="193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Indebtedness incurred by the Company or any Subsidiary denominated in Korean Won in an aggregate principal amount not exceeding $5,000,000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entire outstanding principal amount of such Indebtedness is supported by one or more Letters of Credit at all times;</w:t>
      </w:r>
    </w:p>
    <w:p>
      <w:pPr>
        <w:spacing w:after="0" w:line="212" w:lineRule="exact"/>
        <w:rPr>
          <w:rFonts w:ascii="Arial" w:cs="Arial" w:eastAsia="Arial" w:hAnsi="Arial"/>
          <w:sz w:val="22"/>
          <w:szCs w:val="22"/>
          <w:color w:val="auto"/>
        </w:rPr>
      </w:pPr>
    </w:p>
    <w:p>
      <w:pPr>
        <w:jc w:val="both"/>
        <w:ind w:firstLine="1304"/>
        <w:spacing w:after="0" w:line="302" w:lineRule="auto"/>
        <w:tabs>
          <w:tab w:leader="none" w:pos="194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Indebtedness incurred by the Company that is subordinate in writing to the Obligations on terms and conditions satisfactory to the Administrative Agent or that is convertible into common stock of the Company, in each case, so long as, at the time of and after giving effect thereto, no Default or Event of Default shall have occurred and be continuing and the Company shall be in pro forma compliance with the Leverage Ratio and the Fixed Charge Coverage Ratio;</w:t>
      </w:r>
    </w:p>
    <w:p>
      <w:pPr>
        <w:spacing w:after="0" w:line="182"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other Indebtedness not described in subsections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above incurred by one or more Foreign Borrowers or Foreign Subsidiaries in an aggregate principal amount not exceeding $5,000,000 at any time outstanding, and incurred by the Company or any Subsidiary in an aggregate principal amount not exceeding $5,000,000 at any time outstanding (excluding any Indebtedness permitted by </w:t>
      </w:r>
      <w:r>
        <w:rPr>
          <w:rFonts w:ascii="Arial" w:cs="Arial" w:eastAsia="Arial" w:hAnsi="Arial"/>
          <w:sz w:val="22"/>
          <w:szCs w:val="22"/>
          <w:u w:val="single" w:color="auto"/>
          <w:color w:val="auto"/>
        </w:rPr>
        <w:t>Section 6.01(h)(i)</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left="1940" w:hanging="636"/>
        <w:spacing w:after="0"/>
        <w:tabs>
          <w:tab w:leader="none" w:pos="19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of the Company or any Subsidiary in respect of Bonding Obligations;</w:t>
      </w:r>
    </w:p>
    <w:p>
      <w:pPr>
        <w:spacing w:after="0" w:line="246" w:lineRule="exact"/>
        <w:rPr>
          <w:rFonts w:ascii="Arial" w:cs="Arial" w:eastAsia="Arial" w:hAnsi="Arial"/>
          <w:sz w:val="22"/>
          <w:szCs w:val="22"/>
          <w:color w:val="auto"/>
        </w:rPr>
      </w:pPr>
    </w:p>
    <w:p>
      <w:pPr>
        <w:ind w:firstLine="1304"/>
        <w:spacing w:after="0" w:line="263" w:lineRule="auto"/>
        <w:tabs>
          <w:tab w:leader="none" w:pos="193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Guarantees of the Company or any Subsidiary in respect of Indebtedness of the Company or any Subsidiary that is otherwise permitted under this Agreement;</w:t>
      </w:r>
    </w:p>
    <w:p>
      <w:pPr>
        <w:spacing w:after="0" w:line="201"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Indebtedness owed in respect of any overdrafts and related liabilities arising from treasury, depository and cash management and other bank product services (including purchase card services) or in connection with any automated clearing-house transfers of funds;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be repaid in full within five (5) Business Days of the incurrence thereof; and</w:t>
      </w:r>
    </w:p>
    <w:p>
      <w:pPr>
        <w:spacing w:after="0" w:line="214" w:lineRule="exact"/>
        <w:rPr>
          <w:rFonts w:ascii="Arial" w:cs="Arial" w:eastAsia="Arial" w:hAnsi="Arial"/>
          <w:sz w:val="22"/>
          <w:szCs w:val="22"/>
          <w:color w:val="auto"/>
        </w:rPr>
      </w:pPr>
    </w:p>
    <w:p>
      <w:pPr>
        <w:jc w:val="both"/>
        <w:ind w:right="20" w:firstLine="1304"/>
        <w:spacing w:after="0" w:line="253" w:lineRule="auto"/>
        <w:tabs>
          <w:tab w:leader="none" w:pos="193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Indebtedness of a Person existing on the date such Person becomes a Subsidiary pursuant to a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was not incurred in connection with, or in contemplation of, such Person becoming a Subsidiary, neither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-974090</wp:posOffset>
            </wp:positionV>
            <wp:extent cx="47148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48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28" w:right="339" w:bottom="1440" w:gutter="0" w:footer="0" w:header="0"/>
        </w:sectPr>
      </w:pPr>
    </w:p>
    <w:bookmarkStart w:id="169" w:name="page170"/>
    <w:bookmarkEnd w:id="169"/>
    <w:p>
      <w:pPr>
        <w:jc w:val="both"/>
        <w:spacing w:after="0" w:line="312" w:lineRule="auto"/>
        <w:rPr>
          <w:sz w:val="20"/>
          <w:szCs w:val="20"/>
          <w:color w:val="auto"/>
        </w:rPr>
      </w:pPr>
      <w:r>
        <w:rPr>
          <w:rFonts w:ascii="Arial" w:cs="Arial" w:eastAsia="Arial" w:hAnsi="Arial"/>
          <w:sz w:val="19"/>
          <w:szCs w:val="19"/>
          <w:color w:val="auto"/>
        </w:rPr>
        <w:t xml:space="preserve">the Company nor any other Subsidiary (other than such Person or such other Person that such Person merges with or acquires the assets of such Person) shall have any liability or other obligation with respect to such Indebtedness and the aggregate principal amount of Indebtedness permitted by this clause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shall not exceed $5,000,000 at any time outstanding.</w:t>
      </w:r>
    </w:p>
    <w:p>
      <w:pPr>
        <w:spacing w:after="0" w:line="16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 xml:space="preserve">Notwithstanding the foregoing or anything else to the contrary contained herein, Indebtedness described in clauses (d), (e), (f), (g), (h) and (l)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shall not be permitted during the Covenant Relief Period.</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5" w:lineRule="exact"/>
        <w:rPr>
          <w:sz w:val="20"/>
          <w:szCs w:val="20"/>
          <w:color w:val="auto"/>
        </w:rPr>
      </w:pPr>
    </w:p>
    <w:p>
      <w:pPr>
        <w:ind w:left="1940" w:hanging="636"/>
        <w:spacing w:after="0"/>
        <w:tabs>
          <w:tab w:leader="none" w:pos="19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19" w:lineRule="exact"/>
        <w:rPr>
          <w:rFonts w:ascii="Arial" w:cs="Arial" w:eastAsia="Arial" w:hAnsi="Arial"/>
          <w:sz w:val="22"/>
          <w:szCs w:val="22"/>
          <w:color w:val="auto"/>
        </w:rPr>
      </w:pPr>
    </w:p>
    <w:p>
      <w:pPr>
        <w:jc w:val="both"/>
        <w:ind w:firstLine="1304"/>
        <w:spacing w:after="0" w:line="302" w:lineRule="auto"/>
        <w:tabs>
          <w:tab w:leader="none" w:pos="19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Company or any Subsidiary existing on the First Amendment Effective Date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 shall not apply to any other property or asset of the Company or any Subsidiary and such Lien shall secure only those obligations which it secures on the First Amendment Effective Date and extensions, renewals and replacements thereof that do not increase the outstanding principal amount thereof;</w:t>
      </w:r>
    </w:p>
    <w:p>
      <w:pPr>
        <w:spacing w:after="0" w:line="169" w:lineRule="exact"/>
        <w:rPr>
          <w:rFonts w:ascii="Arial" w:cs="Arial" w:eastAsia="Arial" w:hAnsi="Arial"/>
          <w:sz w:val="19"/>
          <w:szCs w:val="19"/>
          <w:color w:val="auto"/>
        </w:rPr>
      </w:pPr>
    </w:p>
    <w:p>
      <w:pPr>
        <w:jc w:val="both"/>
        <w:ind w:firstLine="1304"/>
        <w:spacing w:after="0" w:line="247" w:lineRule="auto"/>
        <w:tabs>
          <w:tab w:leader="none" w:pos="193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Liens on fixed or capital assets acquired, constructed or improved by the Company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secure Indebtedness permitted by clause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6.01</w:t>
      </w:r>
      <w:r>
        <w:rPr>
          <w:rFonts w:ascii="Arial" w:cs="Arial" w:eastAsia="Arial" w:hAnsi="Arial"/>
          <w:sz w:val="22"/>
          <w:szCs w:val="22"/>
          <w:color w:val="auto"/>
        </w:rPr>
        <w:t>, such Liens and the Indebtedness secured thereby are incurred prior to or within ninety (90) days after such acquisition or the completion of such construction or improvement, the Indebtedness secured thereby does not exceed one hundred percent (100%) of the cost of acquiring, constructing or improving such fixed or capital assets and (iv) such Liens shall not apply to any other property or assets of the Company or any Subsidiary;</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Liens relating to Capital Lease Obligations permitted by clause (d) of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50" w:lineRule="auto"/>
        <w:tabs>
          <w:tab w:leader="none" w:pos="193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in the case of any Subsidiary that is not a Wholly-Owned Subsidiary, any purchase options, calls or similar rights set forth in its organizational documents or any related joint venture or similar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such case such purchase options, calls or similar rights are subordinated to any Lien in favor of the Administrative Agent in a manner reasonably satisfactory to the Administrative Agent;</w:t>
      </w:r>
    </w:p>
    <w:p>
      <w:pPr>
        <w:spacing w:after="0" w:line="214" w:lineRule="exact"/>
        <w:rPr>
          <w:rFonts w:ascii="Arial" w:cs="Arial" w:eastAsia="Arial" w:hAnsi="Arial"/>
          <w:sz w:val="22"/>
          <w:szCs w:val="22"/>
          <w:color w:val="auto"/>
        </w:rPr>
      </w:pPr>
    </w:p>
    <w:p>
      <w:pPr>
        <w:ind w:left="1940" w:hanging="636"/>
        <w:spacing w:after="0"/>
        <w:tabs>
          <w:tab w:leader="none" w:pos="19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by </w:t>
      </w:r>
      <w:r>
        <w:rPr>
          <w:rFonts w:ascii="Arial" w:cs="Arial" w:eastAsia="Arial" w:hAnsi="Arial"/>
          <w:sz w:val="22"/>
          <w:szCs w:val="22"/>
          <w:u w:val="single" w:color="auto"/>
          <w:color w:val="auto"/>
        </w:rPr>
        <w:t>Section 6.01(h)</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hanging="656"/>
        <w:spacing w:after="0"/>
        <w:tabs>
          <w:tab w:leader="none" w:pos="19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Liens securing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8" w:right="339" w:bottom="1440" w:gutter="0" w:footer="0" w:header="0"/>
        </w:sectPr>
      </w:pPr>
    </w:p>
    <w:bookmarkStart w:id="170" w:name="page171"/>
    <w:bookmarkEnd w:id="170"/>
    <w:p>
      <w:pPr>
        <w:ind w:firstLine="1304"/>
        <w:spacing w:after="0" w:line="263" w:lineRule="auto"/>
        <w:tabs>
          <w:tab w:leader="none" w:pos="194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Liens on any account receivable or its proceeds in favor of that account receivable’s purchaser pursuant to a sale or disposition permitted by </w:t>
      </w:r>
      <w:r>
        <w:rPr>
          <w:rFonts w:ascii="Arial" w:cs="Arial" w:eastAsia="Arial" w:hAnsi="Arial"/>
          <w:sz w:val="22"/>
          <w:szCs w:val="22"/>
          <w:u w:val="single" w:color="auto"/>
          <w:color w:val="auto"/>
        </w:rPr>
        <w:t>Section 6.10</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jc w:val="both"/>
        <w:ind w:firstLine="1304"/>
        <w:spacing w:after="0" w:line="248" w:lineRule="auto"/>
        <w:tabs>
          <w:tab w:leader="none" w:pos="193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Liens on the property of any Subsidiary that are in existence at the time such Subsidiary is acquired pursuant to a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secure Indebtedness permitted by </w:t>
      </w:r>
      <w:r>
        <w:rPr>
          <w:rFonts w:ascii="Arial" w:cs="Arial" w:eastAsia="Arial" w:hAnsi="Arial"/>
          <w:sz w:val="22"/>
          <w:szCs w:val="22"/>
          <w:u w:val="single" w:color="auto"/>
          <w:color w:val="auto"/>
        </w:rPr>
        <w:t>Section 6.01(l)</w:t>
      </w:r>
      <w:r>
        <w:rPr>
          <w:rFonts w:ascii="Arial" w:cs="Arial" w:eastAsia="Arial" w:hAnsi="Arial"/>
          <w:sz w:val="22"/>
          <w:szCs w:val="22"/>
          <w:color w:val="auto"/>
        </w:rPr>
        <w:t>, such Liens are not incurred in connection with, or in anticipation of, such Permitted Acquisition, such Liens do not apply to any property of the Company or any other Subsidiary and such Liens secure only those obligation which they secure on the date of such Permitted Acquisition.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Fundamental Changes</w:t>
      </w:r>
      <w:r>
        <w:rPr>
          <w:rFonts w:ascii="Arial" w:cs="Arial" w:eastAsia="Arial" w:hAnsi="Arial"/>
          <w:sz w:val="22"/>
          <w:szCs w:val="22"/>
          <w:color w:val="auto"/>
        </w:rPr>
        <w:t>.</w:t>
      </w:r>
    </w:p>
    <w:p>
      <w:pPr>
        <w:spacing w:after="0" w:line="220" w:lineRule="exact"/>
        <w:rPr>
          <w:sz w:val="20"/>
          <w:szCs w:val="20"/>
          <w:color w:val="auto"/>
        </w:rPr>
      </w:pPr>
    </w:p>
    <w:p>
      <w:pPr>
        <w:ind w:firstLine="1304"/>
        <w:spacing w:after="0" w:line="287" w:lineRule="auto"/>
        <w:tabs>
          <w:tab w:leader="none" w:pos="19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6.04(i)</w:t>
      </w:r>
      <w:r>
        <w:rPr>
          <w:rFonts w:ascii="Arial" w:cs="Arial" w:eastAsia="Arial" w:hAnsi="Arial"/>
          <w:sz w:val="19"/>
          <w:szCs w:val="19"/>
          <w:color w:val="auto"/>
        </w:rPr>
        <w:t xml:space="preserve">, the Company will not, and will not permit any Subsidiary to, merge into, or amalgamate, or consolidate with any other Person, or permit any other Person to merge into, or amalgamate, or consolidate with it, or liquidate or dissolve, except that, if at the time thereof and immediately after giving effect thereto no Default shall have occurred and be continuing any Subsidiary may merge, amalgamate or consolidate into the Company in a transaction in which the Company is the surviving corporation, any Subsidiary may merge, amalgamate or consolidate into any other Subsidiary in a transaction in which the surviving entity is a Subsidiary, and any Subsidiary may sell, transfer, lease or otherwise dispose of all its assets to the Company or to another Subsidiary and subsequently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least fifteen (15) days prior to the effectiveness of any of the transactions described in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that involve a Material Subsidiary, the Company shall provide to the Administrative Agent notice and a description of the material provisions of such transaction, and prior to the effectiveness of any such transaction, the Company shall provide to the Administrative Agent all documents, agreements and instruments that Administrative Agent shall request relating to the Liens against property of any Subsidiary and the perfection thereof.</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line="281" w:lineRule="auto"/>
        <w:tabs>
          <w:tab w:leader="none" w:pos="194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The Company will not, and will not permit any Subsidiary to, sell, transfer, lease or otherwise dispose of (in one transaction or in a series of transactions) any of its assets (including without limitation Equity Interests in any Subsidiaries), whether now owned or hereafter acquired, except </w:t>
      </w:r>
      <w:r>
        <w:rPr>
          <w:rFonts w:ascii="Arial" w:cs="Arial" w:eastAsia="Arial" w:hAnsi="Arial"/>
          <w:sz w:val="17"/>
          <w:szCs w:val="17"/>
          <w:color w:val="auto"/>
        </w:rPr>
        <w:t>sales of inventory and obsolete or unneeded equipment in the ordinary</w:t>
      </w:r>
      <w:r>
        <w:rPr>
          <w:rFonts w:ascii="Arial" w:cs="Arial" w:eastAsia="Arial" w:hAnsi="Arial"/>
          <w:sz w:val="20"/>
          <w:szCs w:val="20"/>
          <w:color w:val="auto"/>
        </w:rPr>
        <w:t xml:space="preserve"> </w:t>
      </w:r>
      <w:r>
        <w:rPr>
          <w:rFonts w:ascii="Arial" w:cs="Arial" w:eastAsia="Arial" w:hAnsi="Arial"/>
          <w:sz w:val="17"/>
          <w:szCs w:val="17"/>
          <w:color w:val="auto"/>
        </w:rPr>
        <w:t xml:space="preserve">course of business, sales or dispositions of accounts receivable permitted by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and </w:t>
      </w:r>
      <w:r>
        <w:rPr>
          <w:rFonts w:ascii="Arial" w:cs="Arial" w:eastAsia="Arial" w:hAnsi="Arial"/>
          <w:sz w:val="19"/>
          <w:szCs w:val="19"/>
          <w:color w:val="auto"/>
        </w:rPr>
        <w:t>other sales, transfers, leases or other</w:t>
      </w:r>
      <w:r>
        <w:rPr>
          <w:rFonts w:ascii="Arial" w:cs="Arial" w:eastAsia="Arial" w:hAnsi="Arial"/>
          <w:sz w:val="17"/>
          <w:szCs w:val="17"/>
          <w:color w:val="auto"/>
        </w:rPr>
        <w:t xml:space="preserve"> </w:t>
      </w:r>
      <w:r>
        <w:rPr>
          <w:rFonts w:ascii="Arial" w:cs="Arial" w:eastAsia="Arial" w:hAnsi="Arial"/>
          <w:sz w:val="19"/>
          <w:szCs w:val="19"/>
          <w:color w:val="auto"/>
        </w:rPr>
        <w:t xml:space="preserve">dispositions of assets that, together with all other assets of the Company and its Subsidiaries previously leased, sold or disposed of under this </w:t>
      </w:r>
      <w:r>
        <w:rPr>
          <w:rFonts w:ascii="Arial" w:cs="Arial" w:eastAsia="Arial" w:hAnsi="Arial"/>
          <w:sz w:val="19"/>
          <w:szCs w:val="19"/>
          <w:u w:val="single" w:color="auto"/>
          <w:color w:val="auto"/>
        </w:rPr>
        <w:t>Section 6.03(b)(iii)</w:t>
      </w:r>
      <w:r>
        <w:rPr>
          <w:rFonts w:ascii="Arial" w:cs="Arial" w:eastAsia="Arial" w:hAnsi="Arial"/>
          <w:sz w:val="19"/>
          <w:szCs w:val="19"/>
          <w:color w:val="auto"/>
        </w:rPr>
        <w:t xml:space="preserve"> during the twelve-month period ending with the month in which any such transfer, lease, sale or other disposition occurs, do not have a fair market value, as reasonably determined by the Board of Directors of the Company, in excess of $20,000,000;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sell, transfer, lease or otherwise dispose of assets that, together with all other assets of the Company and its Subsidiaries previously leased, sold or disposed of under this </w:t>
      </w:r>
      <w:r>
        <w:rPr>
          <w:rFonts w:ascii="Arial" w:cs="Arial" w:eastAsia="Arial" w:hAnsi="Arial"/>
          <w:sz w:val="19"/>
          <w:szCs w:val="19"/>
          <w:u w:val="single" w:color="auto"/>
          <w:color w:val="auto"/>
        </w:rPr>
        <w:t>Section 6.03(b)(iii)</w:t>
      </w:r>
      <w:r>
        <w:rPr>
          <w:rFonts w:ascii="Arial" w:cs="Arial" w:eastAsia="Arial" w:hAnsi="Arial"/>
          <w:sz w:val="19"/>
          <w:szCs w:val="19"/>
          <w:color w:val="auto"/>
        </w:rPr>
        <w:t xml:space="preserve"> during the twelve-month period ending with the month in which any such transfer, lease, sale or other disposition occurs, have a fair market value, as so determined, in excess of $20,000,000 so long as 100% of the net cash proceeds of such sale, transfer, lease or other disposition are reinvested into the Company and its Subsidiaries within 180 days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8" w:right="339" w:bottom="1440" w:gutter="0" w:footer="0" w:header="0"/>
        </w:sectPr>
      </w:pPr>
    </w:p>
    <w:bookmarkStart w:id="171" w:name="page172"/>
    <w:bookmarkEnd w:id="171"/>
    <w:p>
      <w:pPr>
        <w:jc w:val="both"/>
        <w:ind w:firstLine="1304"/>
        <w:spacing w:after="0" w:line="297" w:lineRule="auto"/>
        <w:tabs>
          <w:tab w:leader="none" w:pos="193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Company will not, and will not permit any of its Subsidiaries to, engage to any material extent in any business other than businesses of the type conducted by the Company and/or any one or more of its Subsidiaries on the Effective Date and businesses substantially related or incidental thereto (it being understood that the Company and its Subsidiaries may expand their existing engineering services, construction services, fabrication services and/or repair and maintenance services businesses into additional market segments or industries and augment their existing technology and expertise).</w:t>
      </w:r>
    </w:p>
    <w:p>
      <w:pPr>
        <w:spacing w:after="0" w:line="173" w:lineRule="exact"/>
        <w:rPr>
          <w:rFonts w:ascii="Arial" w:cs="Arial" w:eastAsia="Arial" w:hAnsi="Arial"/>
          <w:sz w:val="19"/>
          <w:szCs w:val="19"/>
          <w:color w:val="auto"/>
        </w:rPr>
      </w:pPr>
    </w:p>
    <w:p>
      <w:pPr>
        <w:ind w:left="1960" w:hanging="656"/>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Company will not change its fiscal year.</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 Loans, Advances, Guarantees and Acquisitions</w:t>
      </w:r>
      <w:r>
        <w:rPr>
          <w:rFonts w:ascii="Arial" w:cs="Arial" w:eastAsia="Arial" w:hAnsi="Arial"/>
          <w:sz w:val="22"/>
          <w:szCs w:val="22"/>
          <w:color w:val="auto"/>
        </w:rPr>
        <w:t>. The Company will not, and will not permit any of its Subsidiaries to, make or permit any Acquisition, make or permit to exist any loans or advances to any other Person, Guarantee any obligations of any other Person, or make or permit to exist any investment or any other interest in any other Person, except:</w:t>
      </w:r>
    </w:p>
    <w:p>
      <w:pPr>
        <w:spacing w:after="0" w:line="188" w:lineRule="exact"/>
        <w:rPr>
          <w:sz w:val="20"/>
          <w:szCs w:val="20"/>
          <w:color w:val="auto"/>
        </w:rPr>
      </w:pPr>
    </w:p>
    <w:p>
      <w:pPr>
        <w:ind w:left="1940" w:hanging="636"/>
        <w:spacing w:after="0"/>
        <w:tabs>
          <w:tab w:leader="none" w:pos="19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investments by the Company existing on the First Amendment Effective Date in the capital stock of its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229" w:lineRule="exact"/>
        <w:rPr>
          <w:sz w:val="20"/>
          <w:szCs w:val="20"/>
          <w:color w:val="auto"/>
        </w:rPr>
      </w:pPr>
    </w:p>
    <w:p>
      <w:pPr>
        <w:jc w:val="both"/>
        <w:ind w:firstLine="1304"/>
        <w:spacing w:after="0" w:line="253" w:lineRule="auto"/>
        <w:tabs>
          <w:tab w:leader="none" w:pos="193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loans, capital contributions or advances made by the Company to any Subsidiary and made by any Subsidiary to the Company or any other Subsidiary, to the extent made in the ordinary course of business consistent with past practices;</w:t>
      </w:r>
    </w:p>
    <w:p>
      <w:pPr>
        <w:spacing w:after="0" w:line="225" w:lineRule="exact"/>
        <w:rPr>
          <w:rFonts w:ascii="Arial" w:cs="Arial" w:eastAsia="Arial" w:hAnsi="Arial"/>
          <w:sz w:val="22"/>
          <w:szCs w:val="22"/>
          <w:color w:val="auto"/>
        </w:rPr>
      </w:pPr>
    </w:p>
    <w:p>
      <w:pPr>
        <w:ind w:left="1960" w:hanging="656"/>
        <w:spacing w:after="0"/>
        <w:tabs>
          <w:tab w:leader="none" w:pos="19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Guarantees constituting Indebtedness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304"/>
        <w:spacing w:after="0" w:line="343" w:lineRule="auto"/>
        <w:tabs>
          <w:tab w:leader="none" w:pos="193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Guarantees of the Company or any Subsidiary in respect of obligations (other than obligations constituting Indebtedness) of the Company or any Subsidiary, made in the ordinary course of business consistent with past practices;</w:t>
      </w:r>
    </w:p>
    <w:p>
      <w:pPr>
        <w:spacing w:after="0" w:line="131" w:lineRule="exact"/>
        <w:rPr>
          <w:rFonts w:ascii="Arial" w:cs="Arial" w:eastAsia="Arial" w:hAnsi="Arial"/>
          <w:sz w:val="19"/>
          <w:szCs w:val="19"/>
          <w:color w:val="auto"/>
        </w:rPr>
      </w:pPr>
    </w:p>
    <w:p>
      <w:pPr>
        <w:ind w:firstLine="1304"/>
        <w:spacing w:after="0" w:line="287" w:lineRule="auto"/>
        <w:tabs>
          <w:tab w:leader="none" w:pos="1935" w:val="left"/>
        </w:tabs>
        <w:numPr>
          <w:ilvl w:val="0"/>
          <w:numId w:val="148"/>
        </w:numPr>
        <w:rPr>
          <w:rFonts w:ascii="Arial" w:cs="Arial" w:eastAsia="Arial" w:hAnsi="Arial"/>
          <w:sz w:val="21"/>
          <w:szCs w:val="21"/>
          <w:color w:val="auto"/>
        </w:rPr>
      </w:pPr>
      <w:r>
        <w:rPr>
          <w:rFonts w:ascii="Arial" w:cs="Arial" w:eastAsia="Arial" w:hAnsi="Arial"/>
          <w:sz w:val="21"/>
          <w:szCs w:val="21"/>
          <w:color w:val="auto"/>
        </w:rPr>
        <w:t>advances to officers, directors and employees of the Company for travel, entertainment, relocation and analogous ordinary business purposes in an aggregate amount not to exceed $1,000,000 at any time outstanding;</w:t>
      </w:r>
    </w:p>
    <w:p>
      <w:pPr>
        <w:spacing w:after="0" w:line="178" w:lineRule="exact"/>
        <w:rPr>
          <w:rFonts w:ascii="Arial" w:cs="Arial" w:eastAsia="Arial" w:hAnsi="Arial"/>
          <w:sz w:val="21"/>
          <w:szCs w:val="21"/>
          <w:color w:val="auto"/>
        </w:rPr>
      </w:pPr>
    </w:p>
    <w:p>
      <w:pPr>
        <w:jc w:val="both"/>
        <w:ind w:firstLine="1304"/>
        <w:spacing w:after="0" w:line="312" w:lineRule="auto"/>
        <w:tabs>
          <w:tab w:leader="none" w:pos="194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60"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investments in Joint Ventures;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Default or Event of Default is in existence at the time thereof or would exist after giving effect thereto, the Company is in compliance on a pro forma basis after giving effect to the making of such investment, with the covenants set forth in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6.15</w:t>
      </w:r>
      <w:r>
        <w:rPr>
          <w:rFonts w:ascii="Arial" w:cs="Arial" w:eastAsia="Arial" w:hAnsi="Arial"/>
          <w:sz w:val="21"/>
          <w:szCs w:val="21"/>
          <w:color w:val="auto"/>
        </w:rPr>
        <w:t xml:space="preserve"> and the aggregate amount of investments in Joint Ventures shall not exceed $20,000,000 outstanding at any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172" w:name="page173"/>
    <w:bookmarkEnd w:id="172"/>
    <w:p>
      <w:pPr>
        <w:ind w:left="820" w:hanging="636"/>
        <w:spacing w:after="0"/>
        <w:tabs>
          <w:tab w:leader="none" w:pos="8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Acquisitions, subject to satisfaction of the following conditions:</w:t>
      </w:r>
    </w:p>
    <w:p>
      <w:pPr>
        <w:spacing w:after="0" w:line="246" w:lineRule="exact"/>
        <w:rPr>
          <w:rFonts w:ascii="Arial" w:cs="Arial" w:eastAsia="Arial" w:hAnsi="Arial"/>
          <w:sz w:val="22"/>
          <w:szCs w:val="22"/>
          <w:color w:val="auto"/>
        </w:rPr>
      </w:pPr>
    </w:p>
    <w:p>
      <w:pPr>
        <w:ind w:left="-460" w:firstLine="1178"/>
        <w:spacing w:after="0" w:line="263" w:lineRule="auto"/>
        <w:tabs>
          <w:tab w:leader="none" w:pos="890" w:val="left"/>
        </w:tabs>
        <w:numPr>
          <w:ilvl w:val="2"/>
          <w:numId w:val="149"/>
        </w:numPr>
        <w:rPr>
          <w:rFonts w:ascii="Arial" w:cs="Arial" w:eastAsia="Arial" w:hAnsi="Arial"/>
          <w:sz w:val="22"/>
          <w:szCs w:val="22"/>
          <w:color w:val="auto"/>
        </w:rPr>
      </w:pPr>
      <w:r>
        <w:rPr>
          <w:rFonts w:ascii="Arial" w:cs="Arial" w:eastAsia="Arial" w:hAnsi="Arial"/>
          <w:sz w:val="22"/>
          <w:szCs w:val="22"/>
          <w:color w:val="auto"/>
        </w:rPr>
        <w:t>no Default or Event of Default is in existence at the time of the consummation of the proposed Acquisition or would exist after giving effect thereto,</w:t>
      </w:r>
    </w:p>
    <w:p>
      <w:pPr>
        <w:spacing w:after="0" w:line="201" w:lineRule="exact"/>
        <w:rPr>
          <w:rFonts w:ascii="Arial" w:cs="Arial" w:eastAsia="Arial" w:hAnsi="Arial"/>
          <w:sz w:val="22"/>
          <w:szCs w:val="22"/>
          <w:color w:val="auto"/>
        </w:rPr>
      </w:pPr>
    </w:p>
    <w:p>
      <w:pPr>
        <w:jc w:val="both"/>
        <w:ind w:left="-460" w:firstLine="1118"/>
        <w:spacing w:after="0" w:line="302" w:lineRule="auto"/>
        <w:tabs>
          <w:tab w:leader="none" w:pos="890" w:val="left"/>
        </w:tabs>
        <w:numPr>
          <w:ilvl w:val="2"/>
          <w:numId w:val="149"/>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this Agreement and in the other Loan Documents shall be true and correct in all material respects with the same effect as though such representations and warranties were made on and as of the date of such proposed Acquisition (both before and after giving effect thereto) except to the extent limited to a specific prior date or incorrect as a result of transactions permitted under the Loan Documents,</w:t>
      </w:r>
    </w:p>
    <w:p>
      <w:pPr>
        <w:spacing w:after="0" w:line="169" w:lineRule="exact"/>
        <w:rPr>
          <w:rFonts w:ascii="Arial" w:cs="Arial" w:eastAsia="Arial" w:hAnsi="Arial"/>
          <w:sz w:val="19"/>
          <w:szCs w:val="19"/>
          <w:color w:val="auto"/>
        </w:rPr>
      </w:pPr>
    </w:p>
    <w:p>
      <w:pPr>
        <w:jc w:val="both"/>
        <w:ind w:left="-460" w:firstLine="1058"/>
        <w:spacing w:after="0" w:line="253" w:lineRule="auto"/>
        <w:tabs>
          <w:tab w:leader="none" w:pos="917" w:val="left"/>
        </w:tabs>
        <w:numPr>
          <w:ilvl w:val="2"/>
          <w:numId w:val="149"/>
        </w:numPr>
        <w:rPr>
          <w:rFonts w:ascii="Arial" w:cs="Arial" w:eastAsia="Arial" w:hAnsi="Arial"/>
          <w:sz w:val="22"/>
          <w:szCs w:val="22"/>
          <w:color w:val="auto"/>
        </w:rPr>
      </w:pPr>
      <w:r>
        <w:rPr>
          <w:rFonts w:ascii="Arial" w:cs="Arial" w:eastAsia="Arial" w:hAnsi="Arial"/>
          <w:sz w:val="22"/>
          <w:szCs w:val="22"/>
          <w:color w:val="auto"/>
        </w:rPr>
        <w:t>the proposed Acquisition is not a hostile or contested Acquisition and is not opposed by the board of directors (or equivalent governing body) of the Person being acquired or the Person transferring the subject business unit or ongoing business,</w:t>
      </w:r>
    </w:p>
    <w:p>
      <w:pPr>
        <w:spacing w:after="0" w:line="225" w:lineRule="exact"/>
        <w:rPr>
          <w:rFonts w:ascii="Arial" w:cs="Arial" w:eastAsia="Arial" w:hAnsi="Arial"/>
          <w:sz w:val="22"/>
          <w:szCs w:val="22"/>
          <w:color w:val="auto"/>
        </w:rPr>
      </w:pPr>
    </w:p>
    <w:p>
      <w:pPr>
        <w:jc w:val="both"/>
        <w:ind w:left="-460" w:firstLine="1070"/>
        <w:spacing w:after="0" w:line="250" w:lineRule="auto"/>
        <w:tabs>
          <w:tab w:leader="none" w:pos="876" w:val="left"/>
        </w:tabs>
        <w:numPr>
          <w:ilvl w:val="1"/>
          <w:numId w:val="149"/>
        </w:numPr>
        <w:rPr>
          <w:rFonts w:ascii="Arial" w:cs="Arial" w:eastAsia="Arial" w:hAnsi="Arial"/>
          <w:sz w:val="22"/>
          <w:szCs w:val="22"/>
          <w:color w:val="auto"/>
        </w:rPr>
      </w:pPr>
      <w:r>
        <w:rPr>
          <w:rFonts w:ascii="Arial" w:cs="Arial" w:eastAsia="Arial" w:hAnsi="Arial"/>
          <w:sz w:val="22"/>
          <w:szCs w:val="22"/>
          <w:color w:val="auto"/>
        </w:rPr>
        <w:t xml:space="preserve">in the case of an Acquisition that entails a merger, consolidation or other combination with another Person, the Company or one of its Wholly-Owned Subsidiaries is the surviving entity (or, in the case of a merger, consolidation or other combination involving a Wholly-Owned Subsidiary, the surviving entity complies with </w:t>
      </w:r>
      <w:r>
        <w:rPr>
          <w:rFonts w:ascii="Arial" w:cs="Arial" w:eastAsia="Arial" w:hAnsi="Arial"/>
          <w:sz w:val="22"/>
          <w:szCs w:val="22"/>
          <w:u w:val="single" w:color="auto"/>
          <w:color w:val="auto"/>
        </w:rPr>
        <w:t>Section 5.09</w:t>
      </w:r>
      <w:r>
        <w:rPr>
          <w:rFonts w:ascii="Arial" w:cs="Arial" w:eastAsia="Arial" w:hAnsi="Arial"/>
          <w:sz w:val="22"/>
          <w:szCs w:val="22"/>
          <w:color w:val="auto"/>
        </w:rPr>
        <w:t xml:space="preserve"> to the extent required),</w:t>
      </w:r>
    </w:p>
    <w:p>
      <w:pPr>
        <w:spacing w:after="0" w:line="214" w:lineRule="exact"/>
        <w:rPr>
          <w:rFonts w:ascii="Arial" w:cs="Arial" w:eastAsia="Arial" w:hAnsi="Arial"/>
          <w:sz w:val="22"/>
          <w:szCs w:val="22"/>
          <w:color w:val="auto"/>
        </w:rPr>
      </w:pPr>
    </w:p>
    <w:p>
      <w:pPr>
        <w:jc w:val="both"/>
        <w:ind w:left="-460" w:firstLine="1130"/>
        <w:spacing w:after="0" w:line="259" w:lineRule="auto"/>
        <w:tabs>
          <w:tab w:leader="none" w:pos="916" w:val="left"/>
        </w:tabs>
        <w:numPr>
          <w:ilvl w:val="1"/>
          <w:numId w:val="149"/>
        </w:numPr>
        <w:rPr>
          <w:rFonts w:ascii="Arial" w:cs="Arial" w:eastAsia="Arial" w:hAnsi="Arial"/>
          <w:sz w:val="21"/>
          <w:szCs w:val="21"/>
          <w:color w:val="auto"/>
        </w:rPr>
      </w:pPr>
      <w:r>
        <w:rPr>
          <w:rFonts w:ascii="Arial" w:cs="Arial" w:eastAsia="Arial" w:hAnsi="Arial"/>
          <w:sz w:val="21"/>
          <w:szCs w:val="21"/>
          <w:color w:val="auto"/>
        </w:rPr>
        <w:t>the applicable Permitted Acquisition Notice (described below) reflects that after giving effect to the consummation of such proposed Acquisition the Leverage Ratio would be less than 2.00 to 1.00 on a pro forma basis as of the last day of the fiscal quarter immediately prior to such proposed Acquisition (with the Leverage Ratio adjusted to take into account the financial impact of such proposed Acquisition as if such Acquisition had occurred prior to, and the Person or property acquired pursuant to such Acquisition had been owned by the Company or one or more of its consolidated Subsidiaries throughout, the entire calculation period prior to the date as of which such calculation is being made) and the unused aggregate Revolving Commitments would be equal to at least 50% of the aggregate Revolving Commitments at such time,</w:t>
      </w:r>
    </w:p>
    <w:p>
      <w:pPr>
        <w:spacing w:after="0" w:line="210" w:lineRule="exact"/>
        <w:rPr>
          <w:rFonts w:ascii="Arial" w:cs="Arial" w:eastAsia="Arial" w:hAnsi="Arial"/>
          <w:sz w:val="21"/>
          <w:szCs w:val="21"/>
          <w:color w:val="auto"/>
        </w:rPr>
      </w:pPr>
    </w:p>
    <w:p>
      <w:pPr>
        <w:jc w:val="both"/>
        <w:ind w:left="-460" w:firstLine="1070"/>
        <w:spacing w:after="0" w:line="289" w:lineRule="auto"/>
        <w:tabs>
          <w:tab w:leader="none" w:pos="917" w:val="left"/>
        </w:tabs>
        <w:numPr>
          <w:ilvl w:val="2"/>
          <w:numId w:val="150"/>
        </w:numPr>
        <w:rPr>
          <w:rFonts w:ascii="Arial" w:cs="Arial" w:eastAsia="Arial" w:hAnsi="Arial"/>
          <w:sz w:val="19"/>
          <w:szCs w:val="19"/>
          <w:color w:val="auto"/>
        </w:rPr>
      </w:pPr>
      <w:r>
        <w:rPr>
          <w:rFonts w:ascii="Arial" w:cs="Arial" w:eastAsia="Arial" w:hAnsi="Arial"/>
          <w:sz w:val="19"/>
          <w:szCs w:val="19"/>
          <w:color w:val="auto"/>
        </w:rPr>
        <w:t>the Company shall have given the Administrative Agent written notice at least five (5) Business Days prior to consummation of such proposed Acquisition (each of such notices, a “</w:t>
      </w:r>
      <w:r>
        <w:rPr>
          <w:rFonts w:ascii="Arial" w:cs="Arial" w:eastAsia="Arial" w:hAnsi="Arial"/>
          <w:sz w:val="19"/>
          <w:szCs w:val="19"/>
          <w:u w:val="single" w:color="auto"/>
          <w:color w:val="auto"/>
        </w:rPr>
        <w:t>Permitted Acquisition Notice</w:t>
      </w:r>
      <w:r>
        <w:rPr>
          <w:rFonts w:ascii="Arial" w:cs="Arial" w:eastAsia="Arial" w:hAnsi="Arial"/>
          <w:sz w:val="19"/>
          <w:szCs w:val="19"/>
          <w:color w:val="auto"/>
        </w:rPr>
        <w:t xml:space="preserve">”), which notice shall contain a brief description of the proposed Acquisition (including the aggregate consideration to be paid in connection therewith) and the proposed closing date thereof, be accompanied by a Compliance Certificate that includes calculations showing the Company’s compliance with the condition set forth above in clause </w:t>
      </w:r>
      <w:r>
        <w:rPr>
          <w:rFonts w:ascii="Arial" w:cs="Arial" w:eastAsia="Arial" w:hAnsi="Arial"/>
          <w:sz w:val="19"/>
          <w:szCs w:val="19"/>
          <w:u w:val="single" w:color="auto"/>
          <w:color w:val="auto"/>
        </w:rPr>
        <w:t>(v)(A)</w:t>
      </w:r>
      <w:r>
        <w:rPr>
          <w:rFonts w:ascii="Arial" w:cs="Arial" w:eastAsia="Arial" w:hAnsi="Arial"/>
          <w:sz w:val="19"/>
          <w:szCs w:val="19"/>
          <w:color w:val="auto"/>
        </w:rPr>
        <w:t xml:space="preserve"> above and compliance on a pro forma basis as of the last day of the fiscal quarter immediately prior to such proposed Acquisition with the covenant contained in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after giving effect to the consummation of such proposed Acquisition (and for purposes of calculating such financial covenant, such calculation shall be adjusted to take into account the financial impact of such proposed Acquisition as if such Acquisition had occurred prior to,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0120"/>
          </w:cols>
          <w:pgMar w:left="1440" w:top="1428" w:right="339" w:bottom="1440" w:gutter="0" w:footer="0" w:header="0"/>
        </w:sectPr>
      </w:pPr>
    </w:p>
    <w:bookmarkStart w:id="173" w:name="page174"/>
    <w:bookmarkEnd w:id="173"/>
    <w:p>
      <w:pPr>
        <w:jc w:val="both"/>
        <w:ind w:left="660"/>
        <w:spacing w:after="0" w:line="261" w:lineRule="auto"/>
        <w:rPr>
          <w:sz w:val="20"/>
          <w:szCs w:val="20"/>
          <w:color w:val="auto"/>
        </w:rPr>
      </w:pPr>
      <w:r>
        <w:rPr>
          <w:rFonts w:ascii="Arial" w:cs="Arial" w:eastAsia="Arial" w:hAnsi="Arial"/>
          <w:sz w:val="21"/>
          <w:szCs w:val="21"/>
          <w:color w:val="auto"/>
        </w:rPr>
        <w:t xml:space="preserve">Person or property acquired pursuant to such Acquisition had been owned by the Company or one or more of its consolidated Subsidiaries throughout, the entire calculation period prior to the date as of which such calculation is being made), be accompanied by pro forma consolidated financial statements of the Company after giving effect to such Acquisition (adjusted as set forth above in clause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if such Acquisition is of a Person, such Person’s historical financial statements (to the extent available) and include an officer’s certificate executed by a Financial Officer of the Company, certifying as to compliance with the requirements of this </w:t>
      </w:r>
      <w:r>
        <w:rPr>
          <w:rFonts w:ascii="Arial" w:cs="Arial" w:eastAsia="Arial" w:hAnsi="Arial"/>
          <w:sz w:val="21"/>
          <w:szCs w:val="21"/>
          <w:u w:val="single" w:color="auto"/>
          <w:color w:val="auto"/>
        </w:rPr>
        <w:t>Section 6.04(i)</w:t>
      </w:r>
      <w:r>
        <w:rPr>
          <w:rFonts w:ascii="Arial" w:cs="Arial" w:eastAsia="Arial" w:hAnsi="Arial"/>
          <w:sz w:val="21"/>
          <w:szCs w:val="21"/>
          <w:color w:val="auto"/>
        </w:rPr>
        <w:t>,</w:t>
      </w:r>
    </w:p>
    <w:p>
      <w:pPr>
        <w:spacing w:after="0" w:line="206" w:lineRule="exact"/>
        <w:rPr>
          <w:sz w:val="20"/>
          <w:szCs w:val="20"/>
          <w:color w:val="auto"/>
        </w:rPr>
      </w:pPr>
    </w:p>
    <w:p>
      <w:pPr>
        <w:jc w:val="both"/>
        <w:ind w:left="660" w:firstLine="1010"/>
        <w:spacing w:after="0" w:line="253" w:lineRule="auto"/>
        <w:tabs>
          <w:tab w:leader="none" w:pos="202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promptly upon request following delivery of the Permitted Acquisition Notice, the Company shall have provided the Administrative Agent and each of the Lenders with such additional information as the Administrative Agent shall have reasonably requested, and</w:t>
      </w:r>
    </w:p>
    <w:p>
      <w:pPr>
        <w:spacing w:after="0" w:line="212" w:lineRule="exact"/>
        <w:rPr>
          <w:sz w:val="20"/>
          <w:szCs w:val="20"/>
          <w:color w:val="auto"/>
        </w:rPr>
      </w:pPr>
    </w:p>
    <w:p>
      <w:pPr>
        <w:jc w:val="both"/>
        <w:ind w:left="660" w:firstLine="954"/>
        <w:spacing w:after="0" w:line="271" w:lineRule="auto"/>
        <w:rPr>
          <w:sz w:val="20"/>
          <w:szCs w:val="20"/>
          <w:color w:val="auto"/>
        </w:rPr>
      </w:pPr>
      <w:r>
        <w:rPr>
          <w:rFonts w:ascii="Arial" w:cs="Arial" w:eastAsia="Arial" w:hAnsi="Arial"/>
          <w:sz w:val="21"/>
          <w:szCs w:val="21"/>
          <w:color w:val="auto"/>
        </w:rPr>
        <w:t xml:space="preserve">viii.if such Acquisition entails the acquisition of the Equity Interests of a Person, the Acquisition is structured so that such Person shall become a Subsidiary and, to the extent required pursuant to </w:t>
      </w:r>
      <w:r>
        <w:rPr>
          <w:rFonts w:ascii="Arial" w:cs="Arial" w:eastAsia="Arial" w:hAnsi="Arial"/>
          <w:sz w:val="21"/>
          <w:szCs w:val="21"/>
          <w:u w:val="single" w:color="auto"/>
          <w:color w:val="auto"/>
        </w:rPr>
        <w:t>Section 5.09(c)</w:t>
      </w:r>
      <w:r>
        <w:rPr>
          <w:rFonts w:ascii="Arial" w:cs="Arial" w:eastAsia="Arial" w:hAnsi="Arial"/>
          <w:sz w:val="21"/>
          <w:szCs w:val="21"/>
          <w:color w:val="auto"/>
        </w:rPr>
        <w:t xml:space="preserve">, the Company shall cause the provisions of said </w:t>
      </w:r>
      <w:r>
        <w:rPr>
          <w:rFonts w:ascii="Arial" w:cs="Arial" w:eastAsia="Arial" w:hAnsi="Arial"/>
          <w:sz w:val="21"/>
          <w:szCs w:val="21"/>
          <w:u w:val="single" w:color="auto"/>
          <w:color w:val="auto"/>
        </w:rPr>
        <w:t>Section 5.09(c)</w:t>
      </w:r>
      <w:r>
        <w:rPr>
          <w:rFonts w:ascii="Arial" w:cs="Arial" w:eastAsia="Arial" w:hAnsi="Arial"/>
          <w:sz w:val="21"/>
          <w:szCs w:val="21"/>
          <w:color w:val="auto"/>
        </w:rPr>
        <w:t xml:space="preserve"> to be satisfied in respect of such new Subsidiary.</w:t>
      </w:r>
    </w:p>
    <w:p>
      <w:pPr>
        <w:spacing w:after="0" w:line="194"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The consummation of each Acquisition shall be deemed to be a representation and warranty by the Borrowers that all conditions thereto have been satisfied and that same is permitted in accordance with the terms of this Agreement, which representation and warranty shall be deemed to be a representation and warranty for all purposes hereunder.</w:t>
      </w:r>
    </w:p>
    <w:p>
      <w:pPr>
        <w:spacing w:after="0" w:line="13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Notwithstanding the foregoing or anything else to the contrary contained herein, during the Covenant Relief Period, (i) investments described in clause (h) of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shall not exceed an aggregate amount of $5,000,000 outstanding at any time and (ii) investments described in clause (i) of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shall not be permitted.</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Swap Agreements</w:t>
      </w:r>
      <w:r>
        <w:rPr>
          <w:rFonts w:ascii="Arial" w:cs="Arial" w:eastAsia="Arial" w:hAnsi="Arial"/>
          <w:sz w:val="19"/>
          <w:szCs w:val="19"/>
          <w:color w:val="auto"/>
        </w:rPr>
        <w:t>. The Company will not, and will not permit any of its Subsidiaries to, enter into any Swap Agreement, except Swap Agreements entered into to hedge or mitigate risks to which the Company or any Subsidiary has actual exposure (other than those in respect of Equity Interests of the Company or any of its Subsidiaries), and Swap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The Company will not, and will not permit any of its Subsidiaries to, declare or make, or agree to pay or make, directly or indirectly, any Restricted Payment, except the Company may declare and pay dividends with respect to its Equity Interests payable solely in additional shares of its common stock, Subsidiaries may declare and pay dividends ratably with respect to their Equity Interests, the Company may make Restricted Payments pursuant to and in accordance with stock incentive plans, employee stock purchase plans or other benefit plans for management or employees of the Company and its Subsidiaries, the Company may declare and pay cash dividends on its capital stock or make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89" w:lineRule="auto"/>
        <w:rPr>
          <w:sz w:val="20"/>
          <w:szCs w:val="20"/>
          <w:color w:val="auto"/>
        </w:rPr>
      </w:pPr>
      <w:r>
        <w:rPr>
          <w:rFonts w:ascii="Arial" w:cs="Arial" w:eastAsia="Arial" w:hAnsi="Arial"/>
          <w:sz w:val="19"/>
          <w:szCs w:val="19"/>
          <w:color w:val="auto"/>
        </w:rPr>
        <w:t xml:space="preserve">during any fiscal year up to an amount which, when added to all other dividends and distributions paid pursuant to this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during such fiscal year, does not exceed fifty percent (50%) of cumulative net income of the Company for such fiscal year to date, and the Company may make Restricted Payments for the purpose of repurchasing Equity Interests of the Company under the existing share buyback plan, as it may be amended from time to time, or under any other share buyback plan approved from time to time by the Company’s board of directors, in an aggregate amount not to exceed $30,000,000 in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all cases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inclusive, above that no Default or Event of Default shall exist before or after giving effect to such Restricted Payment, including, for the avoidance of doubt, any Default under </w:t>
      </w:r>
      <w:r>
        <w:rPr>
          <w:rFonts w:ascii="Arial" w:cs="Arial" w:eastAsia="Arial" w:hAnsi="Arial"/>
          <w:sz w:val="19"/>
          <w:szCs w:val="19"/>
          <w:u w:val="single" w:color="auto"/>
          <w:color w:val="auto"/>
        </w:rPr>
        <w:t>Sections 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6.15</w:t>
      </w:r>
      <w:r>
        <w:rPr>
          <w:rFonts w:ascii="Arial" w:cs="Arial" w:eastAsia="Arial" w:hAnsi="Arial"/>
          <w:sz w:val="19"/>
          <w:szCs w:val="19"/>
          <w:color w:val="auto"/>
        </w:rPr>
        <w:t xml:space="preserve"> after giving effect to such Restricted Payment;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Restricted Payments described in clause (d) or (e) of this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shall be permitted during the Covenant Relief Period.</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The Company will not, and will not permit any of its Subsidiaries to, sell, lease or otherwise transfer any property or assets to, or purchase, lease or otherwise acquire any property or assets from, or otherwise engage in any other transactions with, any of its Affiliates, except in the ordinary course of business at prices and on terms and conditions either not less favorable to the Company or such Subsidiary than could be obtained on an arm’s-length basis from unrelated third parties or upon fair and reasonable terms consistent with past practices by the Company or such Subsidiary (provided that transfers that occur solely for tax-related purposes from the Company to Subsidiary or from Subsidiary to Subsidiary shall be permitted), and any Restricted Payment permitted by </w:t>
      </w:r>
      <w:r>
        <w:rPr>
          <w:rFonts w:ascii="Arial" w:cs="Arial" w:eastAsia="Arial" w:hAnsi="Arial"/>
          <w:sz w:val="21"/>
          <w:szCs w:val="21"/>
          <w:u w:val="single" w:color="auto"/>
          <w:color w:val="auto"/>
        </w:rPr>
        <w:t>Section 6.06</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The Company will not, and will not permit any of its Subsidiaries to, directly or indirectly, enter into, incur or permit to exist any agreement or other arrangement that prohibits, restricts or imposes any condition upon the ability of the Company or any Subsidiary to create, incur or permit to exist any Lien upon any of its property or assets, or the ability of any Subsidiary to pay dividends or other Distributions with respect to any shares of its capital stock or to make or repay loans or advances to the Company or any other Subsidiary or to Guarantee Indebtedness of the Company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restrictions and conditions imposed by law or by this Agreement, the foregoing shall not apply to restrictions and conditions existing on the Effective Date identified on </w:t>
      </w:r>
      <w:r>
        <w:rPr>
          <w:rFonts w:ascii="Arial" w:cs="Arial" w:eastAsia="Arial" w:hAnsi="Arial"/>
          <w:sz w:val="19"/>
          <w:szCs w:val="19"/>
          <w:u w:val="single" w:color="auto"/>
          <w:color w:val="auto"/>
        </w:rPr>
        <w:t>Schedule 6.08</w:t>
      </w:r>
      <w:r>
        <w:rPr>
          <w:rFonts w:ascii="Arial" w:cs="Arial" w:eastAsia="Arial" w:hAnsi="Arial"/>
          <w:sz w:val="19"/>
          <w:szCs w:val="19"/>
          <w:color w:val="auto"/>
        </w:rPr>
        <w:t xml:space="preserve"> (but shall apply to any extension or renewal of, or any amendment or modification expanding the scope of, any such restriction or condition), the foregoing shall not apply to customary restrictions and conditions contained in agreements relating to the sale of a Subsidiary pending such sale, provided such restrictions and conditions apply only to the Subsidiary that is to be sold and such sale is permitted hereunder,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foregoing shall not apply to restrictions or conditions imposed by any agreement relating to secured Indebtedness permitted by this Agreement if such restrictions or conditions apply only to the property or assets securing such Indebtedness and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foregoing shall not apply to customary provisions in leases and other contracts entered into in the ordinary course of business restricting the assignment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28" w:right="339" w:bottom="1440" w:gutter="0" w:footer="0" w:header="0"/>
        </w:sectPr>
      </w:pPr>
    </w:p>
    <w:bookmarkStart w:id="175" w:name="page176"/>
    <w:bookmarkEnd w:id="175"/>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Amendments to Agreements</w:t>
      </w:r>
      <w:r>
        <w:rPr>
          <w:rFonts w:ascii="Arial" w:cs="Arial" w:eastAsia="Arial" w:hAnsi="Arial"/>
          <w:sz w:val="22"/>
          <w:szCs w:val="22"/>
          <w:color w:val="auto"/>
        </w:rPr>
        <w:t>. The Company will not, and will not permit any Subsidiary to, amend or terminate any agreement or contract if such amendment or termination could reasonably be expected to cause a Material Adverse Effect.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Sale of Accounts</w:t>
      </w:r>
      <w:r>
        <w:rPr>
          <w:rFonts w:ascii="Arial" w:cs="Arial" w:eastAsia="Arial" w:hAnsi="Arial"/>
          <w:sz w:val="22"/>
          <w:szCs w:val="22"/>
          <w:color w:val="auto"/>
        </w:rPr>
        <w:t>. The Company will not, and will not permit any Subsidiary to, sell or otherwise dispose of any notes receivable or accounts receivable, with or without recourse, except as follows:</w:t>
      </w:r>
    </w:p>
    <w:p>
      <w:pPr>
        <w:spacing w:after="0" w:line="175" w:lineRule="exact"/>
        <w:rPr>
          <w:sz w:val="20"/>
          <w:szCs w:val="20"/>
          <w:color w:val="auto"/>
        </w:rPr>
      </w:pPr>
    </w:p>
    <w:p>
      <w:pPr>
        <w:jc w:val="both"/>
        <w:ind w:firstLine="1304"/>
        <w:spacing w:after="0" w:line="259" w:lineRule="auto"/>
        <w:tabs>
          <w:tab w:leader="none" w:pos="193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Company and any Subsidiary may sell an account receivable if each of the following conditions are satisfied with respect to that account receivable: the purchaser of the account receivable is a Lender or a Lender’s Affiliate, the account receivable is sold pursuant to a “put” option or other similar arrangement providing the Company or its Subsidiary (as applicable) the exclusive ability to sell or not sell the account receivable, at its option, the purchase price for the account receivable is not less than 100% of its face value (such face value calculated without discount or offset), and the sale is made pursuant to documentation acceptable in form and content in all respects to the Administrative Agent in its sole discretion, including, if required by the Administrative Agent, an intercreditor or other similar agreement between the Administrative Agent and the applicable purchaser; and</w:t>
      </w:r>
    </w:p>
    <w:p>
      <w:pPr>
        <w:spacing w:after="0" w:line="183" w:lineRule="exact"/>
        <w:rPr>
          <w:rFonts w:ascii="Arial" w:cs="Arial" w:eastAsia="Arial" w:hAnsi="Arial"/>
          <w:sz w:val="21"/>
          <w:szCs w:val="21"/>
          <w:color w:val="auto"/>
        </w:rPr>
      </w:pPr>
    </w:p>
    <w:p>
      <w:pPr>
        <w:jc w:val="both"/>
        <w:ind w:firstLine="1304"/>
        <w:spacing w:after="0" w:line="294" w:lineRule="auto"/>
        <w:tabs>
          <w:tab w:leader="none" w:pos="194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Company and any Subsidiary may sell or otherwise dispose of, to any Person, up to $25,000,000 of accounts receivable during any 12-month period pursuant to any agreement or arrangement not described in </w:t>
      </w:r>
      <w:r>
        <w:rPr>
          <w:rFonts w:ascii="Arial" w:cs="Arial" w:eastAsia="Arial" w:hAnsi="Arial"/>
          <w:sz w:val="19"/>
          <w:szCs w:val="19"/>
          <w:u w:val="single" w:color="auto"/>
          <w:color w:val="auto"/>
        </w:rPr>
        <w:t>Section 6.10(a)</w:t>
      </w:r>
      <w:r>
        <w:rPr>
          <w:rFonts w:ascii="Arial" w:cs="Arial" w:eastAsia="Arial" w:hAnsi="Arial"/>
          <w:sz w:val="19"/>
          <w:szCs w:val="19"/>
          <w:color w:val="auto"/>
        </w:rPr>
        <w:t xml:space="preserve"> above, if the purchase price for the account receivable is not less than 96% of its face value (such face value calculated without discount or offset) and the sale or disposition, and all documentation needed to evidence such sale or disposition is otherwise acceptable in all respects to the Administrative Agent in its sole discretion, including, if required by the Administrative Agent, an intercreditor or other similar agreement between the Administrative Agent and the applicable purchaser.</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Sale and Leaseback Transactions</w:t>
      </w:r>
      <w:r>
        <w:rPr>
          <w:rFonts w:ascii="Arial" w:cs="Arial" w:eastAsia="Arial" w:hAnsi="Arial"/>
          <w:sz w:val="19"/>
          <w:szCs w:val="19"/>
          <w:color w:val="auto"/>
        </w:rPr>
        <w:t xml:space="preserve">. Except for the sale and leaseback of assets sold as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6.03(b)(iii)</w:t>
      </w:r>
      <w:r>
        <w:rPr>
          <w:rFonts w:ascii="Arial" w:cs="Arial" w:eastAsia="Arial" w:hAnsi="Arial"/>
          <w:sz w:val="19"/>
          <w:szCs w:val="19"/>
          <w:color w:val="auto"/>
        </w:rPr>
        <w:t>, the Company will not, and will not permit any Subsidiary to, become or remain liable as lessee or as a guarantor or other surety with respect to any lease of any property (whether real, personal or mixed), whether now owned or hereafter acquired, that the Company or any Subsidiary has sold or transferred or is to sell or transfer to any other Person or the Company or any Subsidiary intends to use for substantially the same purpose as any other property that has been or is to be sold or transferred by the Company or any Subsidiary to any Person in connection with such lease.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Leverage Ratio</w:t>
      </w:r>
      <w:r>
        <w:rPr>
          <w:rFonts w:ascii="Arial" w:cs="Arial" w:eastAsia="Arial" w:hAnsi="Arial"/>
          <w:sz w:val="22"/>
          <w:szCs w:val="22"/>
          <w:color w:val="auto"/>
        </w:rPr>
        <w:t>. As of the last day of any fiscal quarter, commencing with the fiscal quarter ending March 31, 2022, the Company will not permit the Leverage Ratio to exceed 3.00 to 1.00.</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As of the last day of any fiscal quarter, commencing with the fiscal quarter ending March 31, 2022, the Company will not permit the Fixed Charge Coverage Ratio to be less than 1.25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176" w:name="page177"/>
    <w:bookmarkEnd w:id="176"/>
    <w:p>
      <w:pPr>
        <w:ind w:left="660"/>
        <w:spacing w:after="0"/>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Minimum Consolidated EBITDA</w:t>
      </w:r>
      <w:r>
        <w:rPr>
          <w:rFonts w:ascii="Arial" w:cs="Arial" w:eastAsia="Arial" w:hAnsi="Arial"/>
          <w:sz w:val="19"/>
          <w:szCs w:val="19"/>
          <w:color w:val="auto"/>
        </w:rPr>
        <w:t>. The Company will not permit Consolidated EBITDA to be less than</w:t>
      </w:r>
    </w:p>
    <w:p>
      <w:pPr>
        <w:spacing w:after="0" w:line="56" w:lineRule="exact"/>
        <w:rPr>
          <w:sz w:val="20"/>
          <w:szCs w:val="20"/>
          <w:color w:val="auto"/>
        </w:rPr>
      </w:pPr>
    </w:p>
    <w:p>
      <w:pPr>
        <w:ind w:firstLine="8"/>
        <w:spacing w:after="0" w:line="269" w:lineRule="auto"/>
        <w:tabs>
          <w:tab w:leader="none" w:pos="302" w:val="left"/>
        </w:tabs>
        <w:numPr>
          <w:ilvl w:val="0"/>
          <w:numId w:val="153"/>
        </w:numPr>
        <w:rPr>
          <w:rFonts w:ascii="Arial" w:cs="Arial" w:eastAsia="Arial" w:hAnsi="Arial"/>
          <w:sz w:val="21"/>
          <w:szCs w:val="21"/>
          <w:color w:val="auto"/>
        </w:rPr>
      </w:pPr>
      <w:r>
        <w:rPr>
          <w:rFonts w:ascii="Arial" w:cs="Arial" w:eastAsia="Arial" w:hAnsi="Arial"/>
          <w:sz w:val="21"/>
          <w:szCs w:val="21"/>
          <w:color w:val="auto"/>
        </w:rPr>
        <w:t>$2,500,000 as of June 30, 2021 for the fiscal quarter then ending, (b) $8,000,000 as of September 30, 2021 for the two fiscal quarters then ending or (c) $16,500,000 as of December 31, 2021 for the three fiscal quarters then ending.</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6.15 </w:t>
      </w:r>
      <w:r>
        <w:rPr>
          <w:rFonts w:ascii="Arial" w:cs="Arial" w:eastAsia="Arial" w:hAnsi="Arial"/>
          <w:sz w:val="21"/>
          <w:szCs w:val="21"/>
          <w:u w:val="single" w:color="auto"/>
          <w:color w:val="auto"/>
        </w:rPr>
        <w:t>Minimum Unencumbered Cash</w:t>
      </w:r>
      <w:r>
        <w:rPr>
          <w:rFonts w:ascii="Arial" w:cs="Arial" w:eastAsia="Arial" w:hAnsi="Arial"/>
          <w:sz w:val="21"/>
          <w:szCs w:val="21"/>
          <w:color w:val="auto"/>
        </w:rPr>
        <w:t>. The Company will not permit the aggregate amount of unrestricted and unencumbered (other than ordinary course setoff rights of a depository bank arising under a bank depository agreement for customary fees, charges and other account-related expenses due to such depository bank thereunder) cash of the Credit Parties to be less than (a) $50,000,000 at any time during the period commencing on the First Amendment Effective Date through and including June 30, 2021 and (b) $60,000,000 at any time during the period commencing on July 1, 2021 through and including the last day of the Covenant Relief Period.</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The Company will not, and will not permit any Subsidiary to, incur or make Capital Expenditures in an aggregate amount in excess of $2,000,000 in any fiscal quarter ending during the Covenant Relief Period.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Employee Pension Benefit Plan; Canadian Pension Plans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63" w:lineRule="auto"/>
        <w:tabs>
          <w:tab w:leader="none" w:pos="1932"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Company shall not (and shall not allow any Subsidiary to) adopt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which has established or maintained such plan, or is otherwise the employer in relation to it as described and defined in Section 3(5) of ERISA.</w:t>
      </w:r>
    </w:p>
    <w:p>
      <w:pPr>
        <w:spacing w:after="0" w:line="175" w:lineRule="exact"/>
        <w:rPr>
          <w:rFonts w:ascii="Arial" w:cs="Arial" w:eastAsia="Arial" w:hAnsi="Arial"/>
          <w:sz w:val="21"/>
          <w:szCs w:val="21"/>
          <w:color w:val="auto"/>
        </w:rPr>
      </w:pPr>
    </w:p>
    <w:p>
      <w:pPr>
        <w:ind w:left="1960" w:hanging="656"/>
        <w:spacing w:after="0"/>
        <w:tabs>
          <w:tab w:leader="none" w:pos="19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Company shall not (and shall not allow any Subsidiary to) establish or maintain a Canadian Pension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20" w:lineRule="exact"/>
        <w:rPr>
          <w:sz w:val="20"/>
          <w:szCs w:val="20"/>
          <w:color w:val="auto"/>
        </w:rPr>
      </w:pPr>
    </w:p>
    <w:p>
      <w:pPr>
        <w:ind w:right="20" w:firstLine="1304"/>
        <w:spacing w:after="0" w:line="263" w:lineRule="auto"/>
        <w:tabs>
          <w:tab w:leader="none" w:pos="193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Borrowers shall fail to pay any principal of any Loan when and as the same shall become due and payable, whether at the due date thereof or at a date fixed for prepayment thereof or otherwise;</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4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the Borrowers shall fail to pay any interest on any Loan, any reimbursement obligation in respect of any LC Disbursement or any fee or any other amount (other than an amount referred to in clause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of this Article) payable under this Agreement, when and as the same shall become due and payable, and such failure shall continue unremedied for a period of three (3)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8" w:right="339" w:bottom="1440" w:gutter="0" w:footer="0" w:header="0"/>
        </w:sectPr>
      </w:pPr>
    </w:p>
    <w:bookmarkStart w:id="177" w:name="page178"/>
    <w:bookmarkEnd w:id="177"/>
    <w:p>
      <w:pPr>
        <w:jc w:val="both"/>
        <w:ind w:firstLine="1304"/>
        <w:spacing w:after="0" w:line="302" w:lineRule="auto"/>
        <w:tabs>
          <w:tab w:leader="none" w:pos="193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Company or any Subsidiary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169" w:lineRule="exact"/>
        <w:rPr>
          <w:rFonts w:ascii="Arial" w:cs="Arial" w:eastAsia="Arial" w:hAnsi="Arial"/>
          <w:sz w:val="19"/>
          <w:szCs w:val="19"/>
          <w:color w:val="auto"/>
        </w:rPr>
      </w:pPr>
    </w:p>
    <w:p>
      <w:pPr>
        <w:ind w:firstLine="1304"/>
        <w:spacing w:after="0" w:line="263" w:lineRule="auto"/>
        <w:tabs>
          <w:tab w:leader="none" w:pos="194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 xml:space="preserve">the Borrowers shall fail to observe or perform any covenant, condition or agreement contained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(with respect to any Borrower’s existence), or </w:t>
      </w:r>
      <w:r>
        <w:rPr>
          <w:rFonts w:ascii="Arial" w:cs="Arial" w:eastAsia="Arial" w:hAnsi="Arial"/>
          <w:sz w:val="22"/>
          <w:szCs w:val="22"/>
          <w:u w:val="single" w:color="auto"/>
          <w:color w:val="auto"/>
        </w:rPr>
        <w:t>Section 5.08</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1304"/>
        <w:spacing w:after="0" w:line="288" w:lineRule="auto"/>
        <w:tabs>
          <w:tab w:leader="none" w:pos="193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the Borrowers shall fail to observe or perform any covenant, condition or agreement contained in this Agreement (other than those specified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Article), and such failure shall continue unremedied for a period of (x) ten (10) days in the case of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5.05(b)</w:t>
      </w:r>
      <w:r>
        <w:rPr>
          <w:rFonts w:ascii="Arial" w:cs="Arial" w:eastAsia="Arial" w:hAnsi="Arial"/>
          <w:sz w:val="19"/>
          <w:szCs w:val="19"/>
          <w:color w:val="auto"/>
        </w:rPr>
        <w:t xml:space="preserve"> and (y) thirty (30) days in all other cases, in the case of</w:t>
      </w:r>
    </w:p>
    <w:p>
      <w:pPr>
        <w:ind w:firstLine="8"/>
        <w:spacing w:after="0" w:line="246" w:lineRule="auto"/>
        <w:tabs>
          <w:tab w:leader="none" w:pos="31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and (y) after the earlier of notice thereof from the Administrative Agent to the Borrowers (which notice will be given at the request of any Lender) and the date on which Company has actual knowledge of such failure;</w:t>
      </w:r>
    </w:p>
    <w:p>
      <w:pPr>
        <w:spacing w:after="0" w:line="219" w:lineRule="exact"/>
        <w:rPr>
          <w:rFonts w:ascii="Arial" w:cs="Arial" w:eastAsia="Arial" w:hAnsi="Arial"/>
          <w:sz w:val="22"/>
          <w:szCs w:val="22"/>
          <w:color w:val="auto"/>
        </w:rPr>
      </w:pPr>
    </w:p>
    <w:p>
      <w:pPr>
        <w:ind w:firstLine="1304"/>
        <w:spacing w:after="0" w:line="287" w:lineRule="auto"/>
        <w:tabs>
          <w:tab w:leader="none" w:pos="1935" w:val="left"/>
        </w:tabs>
        <w:numPr>
          <w:ilvl w:val="1"/>
          <w:numId w:val="157"/>
        </w:numPr>
        <w:rPr>
          <w:rFonts w:ascii="Arial" w:cs="Arial" w:eastAsia="Arial" w:hAnsi="Arial"/>
          <w:sz w:val="21"/>
          <w:szCs w:val="21"/>
          <w:color w:val="auto"/>
        </w:rPr>
      </w:pPr>
      <w:r>
        <w:rPr>
          <w:rFonts w:ascii="Arial" w:cs="Arial" w:eastAsia="Arial" w:hAnsi="Arial"/>
          <w:sz w:val="21"/>
          <w:szCs w:val="21"/>
          <w:color w:val="auto"/>
        </w:rPr>
        <w:t>the Company or any Subsidiary shall fail to make any payment (whether of principal or interest and regardless of amount) in respect of any Material Indebtedness, when and as the same shall become due and payable;</w:t>
      </w:r>
    </w:p>
    <w:p>
      <w:pPr>
        <w:spacing w:after="0" w:line="191" w:lineRule="exact"/>
        <w:rPr>
          <w:rFonts w:ascii="Arial" w:cs="Arial" w:eastAsia="Arial" w:hAnsi="Arial"/>
          <w:sz w:val="21"/>
          <w:szCs w:val="21"/>
          <w:color w:val="auto"/>
        </w:rPr>
      </w:pPr>
    </w:p>
    <w:p>
      <w:pPr>
        <w:jc w:val="both"/>
        <w:ind w:firstLine="1304"/>
        <w:spacing w:after="0" w:line="286" w:lineRule="auto"/>
        <w:tabs>
          <w:tab w:leader="none" w:pos="194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w:t>
      </w:r>
    </w:p>
    <w:p>
      <w:pPr>
        <w:spacing w:after="0" w:line="2" w:lineRule="exact"/>
        <w:rPr>
          <w:rFonts w:ascii="Arial" w:cs="Arial" w:eastAsia="Arial" w:hAnsi="Arial"/>
          <w:sz w:val="19"/>
          <w:szCs w:val="19"/>
          <w:color w:val="auto"/>
        </w:rPr>
      </w:pPr>
    </w:p>
    <w:p>
      <w:pPr>
        <w:ind w:firstLine="8"/>
        <w:spacing w:after="0" w:line="246" w:lineRule="auto"/>
        <w:tabs>
          <w:tab w:leader="none" w:pos="313" w:val="left"/>
        </w:tabs>
        <w:numPr>
          <w:ilvl w:val="0"/>
          <w:numId w:val="158"/>
        </w:numPr>
        <w:rPr>
          <w:rFonts w:ascii="Arial" w:cs="Arial" w:eastAsia="Arial" w:hAnsi="Arial"/>
          <w:sz w:val="22"/>
          <w:szCs w:val="22"/>
          <w:u w:val="single" w:color="auto"/>
          <w:color w:val="auto"/>
        </w:rPr>
      </w:pPr>
      <w:r>
        <w:rPr>
          <w:rFonts w:ascii="Arial" w:cs="Arial" w:eastAsia="Arial" w:hAnsi="Arial"/>
          <w:sz w:val="22"/>
          <w:szCs w:val="22"/>
          <w:color w:val="auto"/>
        </w:rPr>
        <w:t>shall not apply to secured Indebtedness that becomes due as a result of the voluntary sale or transfer of the property or assets securing such Indebtedness;</w:t>
      </w:r>
    </w:p>
    <w:p>
      <w:pPr>
        <w:spacing w:after="0" w:line="219" w:lineRule="exact"/>
        <w:rPr>
          <w:rFonts w:ascii="Arial" w:cs="Arial" w:eastAsia="Arial" w:hAnsi="Arial"/>
          <w:sz w:val="22"/>
          <w:szCs w:val="22"/>
          <w:u w:val="single" w:color="auto"/>
          <w:color w:val="auto"/>
        </w:rPr>
      </w:pPr>
    </w:p>
    <w:p>
      <w:pPr>
        <w:jc w:val="both"/>
        <w:ind w:firstLine="1304"/>
        <w:spacing w:after="0" w:line="260" w:lineRule="auto"/>
        <w:tabs>
          <w:tab w:leader="none" w:pos="1944" w:val="left"/>
        </w:tabs>
        <w:numPr>
          <w:ilvl w:val="1"/>
          <w:numId w:val="158"/>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or application shall be filed seeking liquidation, reorganization or other relief in respect of the Company or any Subsidiary or its debts, or of a substantial part of its assets, under any Federal, state or foreign bankruptcy, insolvency, receivership or similar law now or hereafter in effect or the appointment of a receiver, interim receiver, receiver and manager, trustee, custodian, sequestrator, conservator or similar official for the Company or any Subsidiary or for a substantial part of the assets of the Company and its Subsidiaries, and, in any such case, such proceeding, petition or application shall continue undismissed for sixty (60) days or an order or decree approving or ordering any of the foregoing shall be entered;</w:t>
      </w:r>
    </w:p>
    <w:p>
      <w:pPr>
        <w:spacing w:after="0" w:line="207" w:lineRule="exact"/>
        <w:rPr>
          <w:rFonts w:ascii="Arial" w:cs="Arial" w:eastAsia="Arial" w:hAnsi="Arial"/>
          <w:sz w:val="21"/>
          <w:szCs w:val="21"/>
          <w:color w:val="auto"/>
        </w:rPr>
      </w:pPr>
    </w:p>
    <w:p>
      <w:pPr>
        <w:jc w:val="both"/>
        <w:ind w:firstLine="1304"/>
        <w:spacing w:after="0" w:line="271" w:lineRule="auto"/>
        <w:tabs>
          <w:tab w:leader="none" w:pos="1936"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Company or any Subsidiary shall voluntarily commence any proceeding or file any petition or application seeking liquidation, reorganization, arrangement with its creditors or other relief under any Federal, state or foreign bankruptcy, insolvency, receivership or similar law now or hereafter in effect, consent to the institution of, or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178" w:name="page179"/>
    <w:bookmarkEnd w:id="178"/>
    <w:p>
      <w:pPr>
        <w:jc w:val="both"/>
        <w:spacing w:after="0" w:line="297" w:lineRule="auto"/>
        <w:rPr>
          <w:sz w:val="20"/>
          <w:szCs w:val="20"/>
          <w:color w:val="auto"/>
        </w:rPr>
      </w:pPr>
      <w:r>
        <w:rPr>
          <w:rFonts w:ascii="Arial" w:cs="Arial" w:eastAsia="Arial" w:hAnsi="Arial"/>
          <w:sz w:val="19"/>
          <w:szCs w:val="19"/>
          <w:color w:val="auto"/>
        </w:rPr>
        <w:t xml:space="preserve">contest in a timely and appropriate manner, any proceeding, petition or application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this Article, apply for or consent to the appointment of a receiver, interim receiver, receiver and manager, trustee, custodian, sequestrator, conservator or similar official for the Company or any Subsidiary or for a substantial part of the property of the Company and its Subsidiaries, file an answer admitting the material allegations of a petition or application filed against it in any such proceeding, make a general assignment for the benefit of creditors or take any action for the purpose of effecting any of the foregoing;</w:t>
      </w:r>
    </w:p>
    <w:p>
      <w:pPr>
        <w:spacing w:after="0" w:line="174" w:lineRule="exact"/>
        <w:rPr>
          <w:sz w:val="20"/>
          <w:szCs w:val="20"/>
          <w:color w:val="auto"/>
        </w:rPr>
      </w:pPr>
    </w:p>
    <w:p>
      <w:pPr>
        <w:ind w:firstLine="1304"/>
        <w:spacing w:after="0" w:line="263" w:lineRule="auto"/>
        <w:tabs>
          <w:tab w:leader="none" w:pos="193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Company or any Subsidiary shall become unable, admit in writing its inability or fail generally to pay its debts as they become due;</w:t>
      </w:r>
    </w:p>
    <w:p>
      <w:pPr>
        <w:spacing w:after="0" w:line="201" w:lineRule="exact"/>
        <w:rPr>
          <w:rFonts w:ascii="Arial" w:cs="Arial" w:eastAsia="Arial" w:hAnsi="Arial"/>
          <w:sz w:val="22"/>
          <w:szCs w:val="22"/>
          <w:color w:val="auto"/>
        </w:rPr>
      </w:pPr>
    </w:p>
    <w:p>
      <w:pPr>
        <w:jc w:val="both"/>
        <w:ind w:firstLine="1304"/>
        <w:spacing w:after="0" w:line="294" w:lineRule="auto"/>
        <w:tabs>
          <w:tab w:leader="none" w:pos="194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 one or more judgments or orders shall be rendered against the Company, any Subsidiary or any combination thereof that shall remain undischarged for a period of thirty (30) consecutive days during which execution shall not be effectively stayed, either (A) for the payment of money in an aggregate amount in excess of $10,000,000 (or the Equivalent Amount in currencies other than U.S. Dollars) in excess of insurance coverage or (B) for nonmonetary relief which could reasonably be expected to have a Material Adverse Effect, or (C) any action shall be legally taken by a judgment creditor to attach or levy upon any assets of the Company or any Subsidiary to enforce any such judgment or order;</w:t>
      </w:r>
    </w:p>
    <w:p>
      <w:pPr>
        <w:spacing w:after="0" w:line="176" w:lineRule="exact"/>
        <w:rPr>
          <w:rFonts w:ascii="Arial" w:cs="Arial" w:eastAsia="Arial" w:hAnsi="Arial"/>
          <w:sz w:val="19"/>
          <w:szCs w:val="19"/>
          <w:color w:val="auto"/>
        </w:rPr>
      </w:pPr>
    </w:p>
    <w:p>
      <w:pPr>
        <w:ind w:firstLine="1304"/>
        <w:spacing w:after="0" w:line="263" w:lineRule="auto"/>
        <w:tabs>
          <w:tab w:leader="none" w:pos="193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could reasonably be expected to result in a Material Adverse Effect;</w:t>
      </w:r>
    </w:p>
    <w:p>
      <w:pPr>
        <w:spacing w:after="0" w:line="215" w:lineRule="exact"/>
        <w:rPr>
          <w:rFonts w:ascii="Arial" w:cs="Arial" w:eastAsia="Arial" w:hAnsi="Arial"/>
          <w:sz w:val="22"/>
          <w:szCs w:val="22"/>
          <w:color w:val="auto"/>
        </w:rPr>
      </w:pPr>
    </w:p>
    <w:p>
      <w:pPr>
        <w:jc w:val="both"/>
        <w:ind w:firstLine="1304"/>
        <w:spacing w:after="0" w:line="250" w:lineRule="auto"/>
        <w:tabs>
          <w:tab w:leader="none" w:pos="193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Company or any of its Subsidiaries shall be the subject of any proceeding or investigation pertaining to the release by the Company, any of its Subsidiaries or any other Person of any Hazardous Materials into the environment which results in remediation liability in excess of $10,000,000 (or the Equivalent Amount in currencies other than U.S. Dollars) not covered by insurance or indemnified by any third party;</w:t>
      </w:r>
    </w:p>
    <w:p>
      <w:pPr>
        <w:spacing w:after="0" w:line="214"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occurrence of any “default” under any Loan Document (other than this Agreement) or the breach of any of the terms or provisions of any Loan Document (other than this Agreement), which default or breach continues beyond any period of grace therein provided;</w:t>
      </w:r>
    </w:p>
    <w:p>
      <w:pPr>
        <w:spacing w:after="0" w:line="212" w:lineRule="exact"/>
        <w:rPr>
          <w:rFonts w:ascii="Arial" w:cs="Arial" w:eastAsia="Arial" w:hAnsi="Arial"/>
          <w:sz w:val="22"/>
          <w:szCs w:val="22"/>
          <w:color w:val="auto"/>
        </w:rPr>
      </w:pPr>
    </w:p>
    <w:p>
      <w:pPr>
        <w:jc w:val="both"/>
        <w:ind w:firstLine="1304"/>
        <w:spacing w:after="0" w:line="247" w:lineRule="auto"/>
        <w:tabs>
          <w:tab w:leader="none" w:pos="19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except as a result of actions taken which are mergers, consolidations, liquidations, dispositions or dissolutions that are not prohibited by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any Subsidiary Guaranty shall fail to remain in full force or effect or any action shall be taken to discontinue, terminate, or to assert the invalidity or unenforceability of any such Subsidiary Guaranty, or any </w:t>
      </w:r>
      <w:r>
        <w:rPr>
          <w:rFonts w:ascii="Arial" w:cs="Arial" w:eastAsia="Arial" w:hAnsi="Arial"/>
          <w:sz w:val="19"/>
          <w:szCs w:val="19"/>
          <w:color w:val="auto"/>
        </w:rPr>
        <w:t>Subsidiary</w:t>
      </w:r>
      <w:r>
        <w:rPr>
          <w:rFonts w:ascii="Arial" w:cs="Arial" w:eastAsia="Arial" w:hAnsi="Arial"/>
          <w:sz w:val="22"/>
          <w:szCs w:val="22"/>
          <w:color w:val="auto"/>
        </w:rPr>
        <w:t xml:space="preserve"> Guarantor shall fail to comply with any of the terms or provisions of any such Subsidiary Guaranty to which it is a party, or any </w:t>
      </w:r>
      <w:r>
        <w:rPr>
          <w:rFonts w:ascii="Arial" w:cs="Arial" w:eastAsia="Arial" w:hAnsi="Arial"/>
          <w:sz w:val="19"/>
          <w:szCs w:val="19"/>
          <w:color w:val="auto"/>
        </w:rPr>
        <w:t>Subsidiary</w:t>
      </w:r>
      <w:r>
        <w:rPr>
          <w:rFonts w:ascii="Arial" w:cs="Arial" w:eastAsia="Arial" w:hAnsi="Arial"/>
          <w:sz w:val="22"/>
          <w:szCs w:val="22"/>
          <w:color w:val="auto"/>
        </w:rPr>
        <w:t xml:space="preserve"> Guarantor shall deny that it has any further liability under any such Subsidiary Guaranty to which it is a party, or shall give notice to such effect;</w:t>
      </w:r>
    </w:p>
    <w:p>
      <w:pPr>
        <w:spacing w:after="0" w:line="219" w:lineRule="exact"/>
        <w:rPr>
          <w:rFonts w:ascii="Arial" w:cs="Arial" w:eastAsia="Arial" w:hAnsi="Arial"/>
          <w:sz w:val="22"/>
          <w:szCs w:val="22"/>
          <w:color w:val="auto"/>
        </w:rPr>
      </w:pPr>
    </w:p>
    <w:p>
      <w:pPr>
        <w:ind w:firstLine="1304"/>
        <w:spacing w:after="0" w:line="263" w:lineRule="auto"/>
        <w:tabs>
          <w:tab w:leader="none" w:pos="194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Collateral Document shall for any reason fail to create a valid and perfected first priority security interest in any Collateral purported to be covered thereby,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179" w:name="page180"/>
    <w:bookmarkEnd w:id="179"/>
    <w:p>
      <w:pPr>
        <w:jc w:val="both"/>
        <w:spacing w:after="0" w:line="286" w:lineRule="auto"/>
        <w:rPr>
          <w:sz w:val="20"/>
          <w:szCs w:val="20"/>
          <w:color w:val="auto"/>
        </w:rPr>
      </w:pPr>
      <w:r>
        <w:rPr>
          <w:rFonts w:ascii="Arial" w:cs="Arial" w:eastAsia="Arial" w:hAnsi="Arial"/>
          <w:sz w:val="19"/>
          <w:szCs w:val="19"/>
          <w:color w:val="auto"/>
        </w:rPr>
        <w:t>as to equipment which has become obsolete or which is otherwise permitted to become released under the terms of any Collateral Document; or any Collateral Document shall fail to remain in full force or effect or any action shall be taken to discontinue or to assert the invalidity or unenforceability of any Collateral Document, or any Credit Party shall fail to comply with any term or provision of any Collateral Document that relates to the perfection of a security interest and such failure is not cured within thirty</w:t>
      </w:r>
    </w:p>
    <w:p>
      <w:pPr>
        <w:spacing w:after="0" w:line="3" w:lineRule="exact"/>
        <w:rPr>
          <w:sz w:val="20"/>
          <w:szCs w:val="20"/>
          <w:color w:val="auto"/>
        </w:rPr>
      </w:pPr>
    </w:p>
    <w:p>
      <w:pPr>
        <w:ind w:firstLine="8"/>
        <w:spacing w:after="0" w:line="246" w:lineRule="auto"/>
        <w:tabs>
          <w:tab w:leader="none" w:pos="4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days after the earlier of Administrative Agent or any Lender provides the Company notice of such failure or the date on which the Company becomes aware of such failure;</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46" w:lineRule="exact"/>
        <w:rPr>
          <w:rFonts w:ascii="Arial" w:cs="Arial" w:eastAsia="Arial" w:hAnsi="Arial"/>
          <w:sz w:val="22"/>
          <w:szCs w:val="22"/>
          <w:color w:val="auto"/>
        </w:rPr>
      </w:pPr>
    </w:p>
    <w:p>
      <w:pPr>
        <w:jc w:val="both"/>
        <w:ind w:firstLine="1304"/>
        <w:spacing w:after="0" w:line="248" w:lineRule="auto"/>
        <w:tabs>
          <w:tab w:leader="none" w:pos="1923"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Surety taking possession of any Collateral with a book value in excess of $25,000,000 or exercising any other rights or remedies as a secured party with respect to Collateral with a book value in excess of $25,000,000 if such action continues for a period of fifteen (15) Business Days after the earlier of (A) the Administrative Agent’s delivery of written notice thereof to the Company and (B) the date an Authorized Officer of the Company or any Subsidiary first obtains knowledge thereof;</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then, and in every such event (other than an event with respect to a Borrower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Company, take either or both of the following actions, at the same or different times: (i) terminate the Revolving Commitments, and thereupon the Revolving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this Article, the Revolving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In addition to the remedies contained in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upon the occurrence and during the continuance of an Event of Default, the Borrowers shall pay to the Administrative Agent cash collateral in such amounts and at such times as contemplated by </w:t>
      </w:r>
      <w:r>
        <w:rPr>
          <w:rFonts w:ascii="Arial" w:cs="Arial" w:eastAsia="Arial" w:hAnsi="Arial"/>
          <w:sz w:val="22"/>
          <w:szCs w:val="22"/>
          <w:u w:val="single" w:color="auto"/>
          <w:color w:val="auto"/>
        </w:rPr>
        <w:t>Section 2.06(k)(i)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8"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Administrative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Authorization and Action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7" w:lineRule="auto"/>
        <w:tabs>
          <w:tab w:leader="none" w:pos="193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Lender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the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63" w:lineRule="exact"/>
        <w:rPr>
          <w:rFonts w:ascii="Arial" w:cs="Arial" w:eastAsia="Arial" w:hAnsi="Arial"/>
          <w:sz w:val="19"/>
          <w:szCs w:val="19"/>
          <w:color w:val="auto"/>
        </w:rPr>
      </w:pPr>
    </w:p>
    <w:p>
      <w:pPr>
        <w:jc w:val="both"/>
        <w:ind w:firstLine="1304"/>
        <w:spacing w:after="0" w:line="256" w:lineRule="auto"/>
        <w:tabs>
          <w:tab w:leader="none" w:pos="194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the Administrative Agent shall not be required to take any action that the Administrative Agent in good faith believes exposes it to liability unless the Administrative Agent receives an indemnification and is exculpated in a manner satisfactory to it from the Lenders and the Issuing Bank with respect to such action or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2" w:right="339" w:bottom="1440" w:gutter="0" w:footer="0" w:header="0"/>
        </w:sectPr>
      </w:pPr>
    </w:p>
    <w:bookmarkStart w:id="181" w:name="page182"/>
    <w:bookmarkEnd w:id="181"/>
    <w:p>
      <w:pPr>
        <w:ind w:right="20"/>
        <w:spacing w:after="0" w:line="263" w:lineRule="auto"/>
        <w:rPr>
          <w:sz w:val="20"/>
          <w:szCs w:val="20"/>
          <w:color w:val="auto"/>
        </w:rPr>
      </w:pPr>
      <w:r>
        <w:rPr>
          <w:rFonts w:ascii="Arial" w:cs="Arial" w:eastAsia="Arial" w:hAnsi="Arial"/>
          <w:sz w:val="22"/>
          <w:szCs w:val="22"/>
          <w:color w:val="auto"/>
        </w:rPr>
        <w:t>the exercise of any of its rights or powers if it shall have reasonable grounds for believing that repayment of such funds or adequate indemnity against such risk or liability is not reasonably assured to it.</w:t>
      </w:r>
    </w:p>
    <w:p>
      <w:pPr>
        <w:spacing w:after="0" w:line="202" w:lineRule="exact"/>
        <w:rPr>
          <w:sz w:val="20"/>
          <w:szCs w:val="20"/>
          <w:color w:val="auto"/>
        </w:rPr>
      </w:pPr>
    </w:p>
    <w:p>
      <w:pPr>
        <w:jc w:val="both"/>
        <w:ind w:firstLine="1304"/>
        <w:spacing w:after="0" w:line="250" w:lineRule="auto"/>
        <w:tabs>
          <w:tab w:leader="none" w:pos="193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214" w:lineRule="exact"/>
        <w:rPr>
          <w:rFonts w:ascii="Arial" w:cs="Arial" w:eastAsia="Arial" w:hAnsi="Arial"/>
          <w:sz w:val="22"/>
          <w:szCs w:val="22"/>
          <w:color w:val="auto"/>
        </w:rPr>
      </w:pPr>
    </w:p>
    <w:p>
      <w:pPr>
        <w:jc w:val="both"/>
        <w:ind w:left="660" w:firstLine="1178"/>
        <w:spacing w:after="0" w:line="288" w:lineRule="auto"/>
        <w:tabs>
          <w:tab w:leader="none" w:pos="2023"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86" w:lineRule="exact"/>
        <w:rPr>
          <w:rFonts w:ascii="Arial" w:cs="Arial" w:eastAsia="Arial" w:hAnsi="Arial"/>
          <w:sz w:val="19"/>
          <w:szCs w:val="19"/>
          <w:color w:val="auto"/>
        </w:rPr>
      </w:pPr>
    </w:p>
    <w:p>
      <w:pPr>
        <w:ind w:left="660" w:firstLine="1118"/>
        <w:spacing w:after="0" w:line="343" w:lineRule="auto"/>
        <w:tabs>
          <w:tab w:leader="none" w:pos="201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44" w:lineRule="exact"/>
        <w:rPr>
          <w:rFonts w:ascii="Arial" w:cs="Arial" w:eastAsia="Arial" w:hAnsi="Arial"/>
          <w:sz w:val="19"/>
          <w:szCs w:val="19"/>
          <w:color w:val="auto"/>
        </w:rPr>
      </w:pPr>
    </w:p>
    <w:p>
      <w:pPr>
        <w:jc w:val="both"/>
        <w:ind w:right="20" w:firstLine="1304"/>
        <w:spacing w:after="0" w:line="312" w:lineRule="auto"/>
        <w:tabs>
          <w:tab w:leader="none" w:pos="194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33" w:lineRule="exact"/>
        <w:rPr>
          <w:rFonts w:ascii="Arial" w:cs="Arial" w:eastAsia="Arial" w:hAnsi="Arial"/>
          <w:sz w:val="19"/>
          <w:szCs w:val="19"/>
          <w:color w:val="auto"/>
        </w:rPr>
      </w:pPr>
    </w:p>
    <w:p>
      <w:pPr>
        <w:jc w:val="both"/>
        <w:ind w:firstLine="1304"/>
        <w:spacing w:after="0" w:line="297" w:lineRule="auto"/>
        <w:tabs>
          <w:tab w:leader="none" w:pos="193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Credit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73" w:lineRule="exact"/>
        <w:rPr>
          <w:rFonts w:ascii="Arial" w:cs="Arial" w:eastAsia="Arial" w:hAnsi="Arial"/>
          <w:sz w:val="19"/>
          <w:szCs w:val="19"/>
          <w:color w:val="auto"/>
        </w:rPr>
      </w:pPr>
    </w:p>
    <w:p>
      <w:pPr>
        <w:jc w:val="both"/>
        <w:ind w:left="660" w:firstLine="1178"/>
        <w:spacing w:after="0" w:line="253" w:lineRule="auto"/>
        <w:tabs>
          <w:tab w:leader="none" w:pos="201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to file and prove a claim for the whole amount of the principal and interest owing and unpaid in respect of the Loans, LC Disbursements and all other Obligations that are owing and unpaid and to file such other documents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28" w:right="339" w:bottom="1440" w:gutter="0" w:footer="0" w:header="0"/>
        </w:sectPr>
      </w:pPr>
    </w:p>
    <w:bookmarkStart w:id="182" w:name="page183"/>
    <w:bookmarkEnd w:id="182"/>
    <w:p>
      <w:pPr>
        <w:ind w:left="660"/>
        <w:spacing w:after="0" w:line="287" w:lineRule="auto"/>
        <w:rPr>
          <w:sz w:val="20"/>
          <w:szCs w:val="20"/>
          <w:color w:val="auto"/>
        </w:rPr>
      </w:pPr>
      <w:r>
        <w:rPr>
          <w:rFonts w:ascii="Arial" w:cs="Arial" w:eastAsia="Arial" w:hAnsi="Arial"/>
          <w:sz w:val="21"/>
          <w:szCs w:val="21"/>
          <w:color w:val="auto"/>
        </w:rPr>
        <w:t xml:space="preserve">necessary or advisable in order to have the claims of the Lenders, the Issuing Bank and the Administrative Agent (including any claim under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allowed in such judicial proceeding; and</w:t>
      </w:r>
    </w:p>
    <w:p>
      <w:pPr>
        <w:spacing w:after="0" w:line="178" w:lineRule="exact"/>
        <w:rPr>
          <w:sz w:val="20"/>
          <w:szCs w:val="20"/>
          <w:color w:val="auto"/>
        </w:rPr>
      </w:pPr>
    </w:p>
    <w:p>
      <w:pPr>
        <w:ind w:left="660" w:firstLine="1118"/>
        <w:spacing w:after="0" w:line="263" w:lineRule="auto"/>
        <w:tabs>
          <w:tab w:leader="none" w:pos="203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proceeding is hereby authorized by each Lender, and each Issuing to make such payments to the Administrative Agent and, in the event that the Administrative Agent shall consent to the making of such payments directly to the Lenders or the Issuing Bank, to pay to the Administrative Agent any amount due to it, in its capacity as the Administrative Agent, under the Loan Documents (including under </w:t>
      </w:r>
      <w:r>
        <w:rPr>
          <w:rFonts w:ascii="Arial" w:cs="Arial" w:eastAsia="Arial" w:hAnsi="Arial"/>
          <w:sz w:val="19"/>
          <w:szCs w:val="19"/>
          <w:u w:val="single" w:color="auto"/>
          <w:color w:val="auto"/>
        </w:rPr>
        <w:t>Section 9.03</w:t>
      </w:r>
      <w:r>
        <w:rPr>
          <w:rFonts w:ascii="Arial" w:cs="Arial" w:eastAsia="Arial" w:hAnsi="Arial"/>
          <w:sz w:val="19"/>
          <w:szCs w:val="19"/>
          <w:color w:val="auto"/>
        </w:rPr>
        <w:t>). 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the Issuing Bank or to authorize the Administrative Agent to vote in respect of the claim of any Lender or the Issuing Bank in any such proceeding.</w:t>
      </w:r>
    </w:p>
    <w:p>
      <w:pPr>
        <w:spacing w:after="0" w:line="156" w:lineRule="exact"/>
        <w:rPr>
          <w:sz w:val="20"/>
          <w:szCs w:val="20"/>
          <w:color w:val="auto"/>
        </w:rPr>
      </w:pPr>
    </w:p>
    <w:p>
      <w:pPr>
        <w:jc w:val="both"/>
        <w:ind w:firstLine="1304"/>
        <w:spacing w:after="0" w:line="247" w:lineRule="auto"/>
        <w:tabs>
          <w:tab w:leader="none" w:pos="193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provisions of this Article are solely for the benefit of the Administrative Agent, the Lenders and the Issuing Bank, and, except solely to the extent of the Company’s rights to consent pursuant to and subject to the conditions set forth in this Article, none of the Company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Administrative Agent’s Reliance, Limitation of Liability, Etc</w:t>
      </w:r>
      <w:r>
        <w:rPr>
          <w:rFonts w:ascii="Arial" w:cs="Arial" w:eastAsia="Arial" w:hAnsi="Arial"/>
          <w:sz w:val="22"/>
          <w:szCs w:val="22"/>
          <w:color w:val="auto"/>
        </w:rPr>
        <w:t>.</w:t>
      </w:r>
    </w:p>
    <w:p>
      <w:pPr>
        <w:spacing w:after="0" w:line="220" w:lineRule="exact"/>
        <w:rPr>
          <w:sz w:val="20"/>
          <w:szCs w:val="20"/>
          <w:color w:val="auto"/>
        </w:rPr>
      </w:pPr>
    </w:p>
    <w:p>
      <w:pPr>
        <w:jc w:val="both"/>
        <w:ind w:left="660" w:hanging="328"/>
        <w:spacing w:after="0" w:line="257" w:lineRule="auto"/>
        <w:tabs>
          <w:tab w:leader="none" w:pos="64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Credit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183" w:name="page184"/>
    <w:bookmarkEnd w:id="183"/>
    <w:p>
      <w:pPr>
        <w:jc w:val="both"/>
        <w:ind w:left="328"/>
        <w:spacing w:after="0" w:line="271" w:lineRule="auto"/>
        <w:rPr>
          <w:sz w:val="20"/>
          <w:szCs w:val="20"/>
          <w:color w:val="auto"/>
        </w:rPr>
      </w:pPr>
      <w:r>
        <w:rPr>
          <w:rFonts w:ascii="Arial" w:cs="Arial" w:eastAsia="Arial" w:hAnsi="Arial"/>
          <w:sz w:val="21"/>
          <w:szCs w:val="21"/>
          <w:color w:val="auto"/>
        </w:rPr>
        <w:t xml:space="preserve">avoidance of doubt, </w:t>
      </w:r>
      <w:r>
        <w:rPr>
          <w:rFonts w:ascii="Arial" w:cs="Arial" w:eastAsia="Arial" w:hAnsi="Arial"/>
          <w:sz w:val="21"/>
          <w:szCs w:val="21"/>
          <w:u w:val="single" w:color="auto"/>
          <w:color w:val="auto"/>
        </w:rPr>
        <w:t>in connection with</w:t>
      </w:r>
      <w:r>
        <w:rPr>
          <w:rFonts w:ascii="Arial" w:cs="Arial" w:eastAsia="Arial" w:hAnsi="Arial"/>
          <w:sz w:val="21"/>
          <w:szCs w:val="21"/>
          <w:color w:val="auto"/>
        </w:rPr>
        <w:t xml:space="preserve"> the Administrative Agent’s reliance on any </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xml:space="preserve"> transmitted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telecopy, emailed pdf. or any other electronic means that reproduces an image of an actual executed signature page) or for any failure of any Credit Party to perform its obligations hereunder or thereunder.</w:t>
      </w:r>
    </w:p>
    <w:p>
      <w:pPr>
        <w:spacing w:after="0" w:line="194" w:lineRule="exact"/>
        <w:rPr>
          <w:sz w:val="20"/>
          <w:szCs w:val="20"/>
          <w:color w:val="auto"/>
        </w:rPr>
      </w:pPr>
    </w:p>
    <w:p>
      <w:pPr>
        <w:jc w:val="both"/>
        <w:ind w:left="328" w:hanging="328"/>
        <w:spacing w:after="0" w:line="285" w:lineRule="auto"/>
        <w:tabs>
          <w:tab w:leader="none" w:pos="32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Administrative Agent shall be deemed not to have knowledge of any notice of any of the events or circumstances set forth or described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unless and until written notice thereof stating that it is a “notice under Section 5.02” in respect of this Agreement and identifying the specific clause under said Section is given to the Administrative Agent by the Borrower, or notice of any Default or Event of Default unless and until written notice thereof (stating that it is a “notice of Default” or a “notice of an Event of Default”) is given to the Administrative Agent by the Company, a Lender or the Issuing Bank. Further, the Administrative Agent shall not be responsible for or have any duty to ascertain or inquire into any statement, warranty or representation made in or in connection with any Loan Document, the contents of any certificate, report or other document delivered thereunder or in connection therewith, the performance or observance of any of the covenants, agreements or other terms or conditions set forth in any Loan Document or the occurrence of any Default or Event of Default, the sufficiency, validity, enforceability, effectiveness or genuineness of any Loan Document or any other agreement, instrument or document,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the creation, perfection or priority of Liens on the Collateral. Notwithstanding anything herein to the contrary, the Administrative Agent shall not be liable for, or be responsible for any Liabilities, costs or expenses suffered by the Company, any Subsidiary, any Lender or the Issuing Bank as a result of, any determination of the Revolving Credit Exposure, any of the component amounts thereof or any portion thereof attributable to each Lender or the Issuing Bank.</w:t>
      </w:r>
    </w:p>
    <w:p>
      <w:pPr>
        <w:spacing w:after="0" w:line="189" w:lineRule="exact"/>
        <w:rPr>
          <w:rFonts w:ascii="Arial" w:cs="Arial" w:eastAsia="Arial" w:hAnsi="Arial"/>
          <w:sz w:val="19"/>
          <w:szCs w:val="19"/>
          <w:color w:val="auto"/>
        </w:rPr>
      </w:pPr>
    </w:p>
    <w:p>
      <w:pPr>
        <w:jc w:val="both"/>
        <w:ind w:left="328" w:hanging="328"/>
        <w:spacing w:after="0" w:line="288" w:lineRule="auto"/>
        <w:tabs>
          <w:tab w:leader="none" w:pos="31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Without limiting the foregoing, the Administrative Agent may treat the payee of any promissory note as its holder until such promissory note has been assigned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may rely on the Register to the extent set forth in </w:t>
      </w:r>
      <w:r>
        <w:rPr>
          <w:rFonts w:ascii="Arial" w:cs="Arial" w:eastAsia="Arial" w:hAnsi="Arial"/>
          <w:sz w:val="19"/>
          <w:szCs w:val="19"/>
          <w:u w:val="single" w:color="auto"/>
          <w:color w:val="auto"/>
        </w:rPr>
        <w:t>Section 9.04(b)</w:t>
      </w:r>
      <w:r>
        <w:rPr>
          <w:rFonts w:ascii="Arial" w:cs="Arial" w:eastAsia="Arial" w:hAnsi="Arial"/>
          <w:sz w:val="19"/>
          <w:szCs w:val="19"/>
          <w:color w:val="auto"/>
        </w:rPr>
        <w:t>,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makes no warranty or representation to any Lender or the Issuing Bank and shall not be responsible to any Lender or the Issuing Bank for any statements, warranties or representations made by or on behalf of any Credit Party in connection with this Agreement or any other Loan Document, in determining compliance with any condition hereunder to the making of a Loan, or the issuance of a Letter of Credit, that by its terms must be fulfilled to the satisfaction of a Lender or the Issuing Bank, may presume that such condition is satisfactory to such Lender or the Issuing Bank unless the Administrative Agent shall have received notice to the contrary from such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0908"/>
          </w:cols>
          <w:pgMar w:left="652" w:top="1428" w:right="339" w:bottom="1440" w:gutter="0" w:footer="0" w:header="0"/>
        </w:sectPr>
      </w:pPr>
    </w:p>
    <w:bookmarkStart w:id="184" w:name="page185"/>
    <w:bookmarkEnd w:id="184"/>
    <w:p>
      <w:pPr>
        <w:jc w:val="both"/>
        <w:ind w:left="660"/>
        <w:spacing w:after="0" w:line="294" w:lineRule="auto"/>
        <w:rPr>
          <w:sz w:val="20"/>
          <w:szCs w:val="20"/>
          <w:color w:val="auto"/>
        </w:rPr>
      </w:pPr>
      <w:r>
        <w:rPr>
          <w:rFonts w:ascii="Arial" w:cs="Arial" w:eastAsia="Arial" w:hAnsi="Arial"/>
          <w:sz w:val="19"/>
          <w:szCs w:val="19"/>
          <w:color w:val="auto"/>
        </w:rPr>
        <w:t>Issuing Bank sufficiently in advance of the making of such Loan or the issuance of such Letter of Credit and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Posting of Communications</w:t>
      </w:r>
      <w:r>
        <w:rPr>
          <w:rFonts w:ascii="Arial" w:cs="Arial" w:eastAsia="Arial" w:hAnsi="Arial"/>
          <w:sz w:val="22"/>
          <w:szCs w:val="22"/>
          <w:color w:val="auto"/>
        </w:rPr>
        <w:t>.</w:t>
      </w:r>
    </w:p>
    <w:p>
      <w:pPr>
        <w:spacing w:after="0" w:line="220" w:lineRule="exact"/>
        <w:rPr>
          <w:sz w:val="20"/>
          <w:szCs w:val="20"/>
          <w:color w:val="auto"/>
        </w:rPr>
      </w:pPr>
    </w:p>
    <w:p>
      <w:pPr>
        <w:jc w:val="both"/>
        <w:ind w:right="20" w:firstLine="1304"/>
        <w:spacing w:after="0" w:line="250" w:lineRule="auto"/>
        <w:tabs>
          <w:tab w:leader="none" w:pos="193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Company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304"/>
        <w:spacing w:after="0" w:line="258" w:lineRule="auto"/>
        <w:tabs>
          <w:tab w:leader="none" w:pos="194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 and the Borrowers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 and the Company hereby approves distribution of the Communications through the Approved Electronic Platform and understands and assumes the risks of such distribution.</w:t>
      </w:r>
    </w:p>
    <w:p>
      <w:pPr>
        <w:spacing w:after="0" w:line="212" w:lineRule="exact"/>
        <w:rPr>
          <w:rFonts w:ascii="Arial" w:cs="Arial" w:eastAsia="Arial" w:hAnsi="Arial"/>
          <w:sz w:val="21"/>
          <w:szCs w:val="21"/>
          <w:color w:val="auto"/>
        </w:rPr>
      </w:pPr>
    </w:p>
    <w:p>
      <w:pPr>
        <w:jc w:val="both"/>
        <w:ind w:firstLine="1304"/>
        <w:spacing w:after="0" w:line="245" w:lineRule="auto"/>
        <w:tabs>
          <w:tab w:leader="none" w:pos="193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CO-DOCUMENTATION AGENT, ANY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185" w:name="page186"/>
    <w:bookmarkEnd w:id="185"/>
    <w:p>
      <w:pPr>
        <w:jc w:val="both"/>
        <w:spacing w:after="0" w:line="247" w:lineRule="auto"/>
        <w:rPr>
          <w:sz w:val="20"/>
          <w:szCs w:val="20"/>
          <w:color w:val="auto"/>
        </w:rPr>
      </w:pPr>
      <w:r>
        <w:rPr>
          <w:rFonts w:ascii="Arial" w:cs="Arial" w:eastAsia="Arial" w:hAnsi="Arial"/>
          <w:sz w:val="22"/>
          <w:szCs w:val="22"/>
          <w:color w:val="auto"/>
        </w:rPr>
        <w:t>AGENT OR ANY OF THEIR RESPECTIVE RELATED PARTIES (COLLECTIVELY, “</w:t>
      </w:r>
      <w:r>
        <w:rPr>
          <w:rFonts w:ascii="Arial" w:cs="Arial" w:eastAsia="Arial" w:hAnsi="Arial"/>
          <w:sz w:val="22"/>
          <w:szCs w:val="22"/>
          <w:u w:val="single" w:color="auto"/>
          <w:color w:val="auto"/>
        </w:rPr>
        <w:t>APPLICABLE PARTIES</w:t>
      </w:r>
      <w:r>
        <w:rPr>
          <w:rFonts w:ascii="Arial" w:cs="Arial" w:eastAsia="Arial" w:hAnsi="Arial"/>
          <w:sz w:val="22"/>
          <w:szCs w:val="22"/>
          <w:color w:val="auto"/>
        </w:rPr>
        <w:t>”) HAVE ANY LIABILITY TO ANY CREDIT PARTY, ANY LENDER, THE ISSUING BANK OR ANY OTHER PERSON OR ENTITY FOR DAMAGES OF ANY KIND, INCLUDING DIRECT OR INDIRECT, SPECIAL, INCIDENTAL OR CONSEQUENTIAL DAMAGES, LOSSES OR EXPENSES (WHETHER IN TORT, CONTRACT OR OTHERWISE) ARISING OUT OF ANY CREDIT PARTY’S OR THE ADMINISTRATIVE AGENT’S TRANSMISSION OF COMMUNICATIONS THROUGH THE INTERNET OR THE APPROVED ELECTRONIC PLATFORM.</w:t>
      </w:r>
    </w:p>
    <w:p>
      <w:pPr>
        <w:spacing w:after="0" w:line="22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means, collectively, any notice, demand, communication, information, document or other material provided by or on behalf of any Credit Party pursuant to any Loan Document or the transactions contemplated therein which is distributed by the Administrative Agent, any Lender or the Issuing Bank by means of electronic communications pursuant to this Section, including through an Approved Electronic Platform.</w:t>
      </w:r>
    </w:p>
    <w:p>
      <w:pPr>
        <w:spacing w:after="0" w:line="215" w:lineRule="exact"/>
        <w:rPr>
          <w:sz w:val="20"/>
          <w:szCs w:val="20"/>
          <w:color w:val="auto"/>
        </w:rPr>
      </w:pPr>
    </w:p>
    <w:p>
      <w:pPr>
        <w:jc w:val="both"/>
        <w:ind w:firstLine="1304"/>
        <w:spacing w:after="0" w:line="247" w:lineRule="auto"/>
        <w:tabs>
          <w:tab w:leader="none" w:pos="19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Lender and the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to notify the Administrative Agent in writing (which could be in the form of electronic communication) from time to time of such Lender’s or Issuing Bank’s (as applicable) email address to which the foregoing notice may be sent by electronic transmission and that the foregoing notice may be sent to such email address.</w:t>
      </w:r>
    </w:p>
    <w:p>
      <w:pPr>
        <w:spacing w:after="0" w:line="219" w:lineRule="exact"/>
        <w:rPr>
          <w:rFonts w:ascii="Arial" w:cs="Arial" w:eastAsia="Arial" w:hAnsi="Arial"/>
          <w:sz w:val="22"/>
          <w:szCs w:val="22"/>
          <w:color w:val="auto"/>
        </w:rPr>
      </w:pPr>
    </w:p>
    <w:p>
      <w:pPr>
        <w:jc w:val="both"/>
        <w:ind w:firstLine="1304"/>
        <w:spacing w:after="0" w:line="250" w:lineRule="auto"/>
        <w:tabs>
          <w:tab w:leader="none" w:pos="193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of the Lenders, each of the Issuing Bank and the Borrowers agree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14" w:lineRule="exact"/>
        <w:rPr>
          <w:rFonts w:ascii="Arial" w:cs="Arial" w:eastAsia="Arial" w:hAnsi="Arial"/>
          <w:sz w:val="22"/>
          <w:szCs w:val="22"/>
          <w:color w:val="auto"/>
        </w:rPr>
      </w:pPr>
    </w:p>
    <w:p>
      <w:pPr>
        <w:ind w:firstLine="1304"/>
        <w:spacing w:after="0" w:line="343" w:lineRule="auto"/>
        <w:tabs>
          <w:tab w:leader="none" w:pos="193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any Lender or the Issuing Bank to give any notice or other communication pursuant to any Loan Document in any other manner specified in such Loan Document.</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The Administrative Agent Individually</w:t>
      </w:r>
      <w:r>
        <w:rPr>
          <w:rFonts w:ascii="Arial" w:cs="Arial" w:eastAsia="Arial" w:hAnsi="Arial"/>
          <w:sz w:val="21"/>
          <w:szCs w:val="21"/>
          <w:color w:val="auto"/>
        </w:rPr>
        <w:t>. With respect to its Revolving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the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Borrowers, any Subsidiary or any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28" w:right="339" w:bottom="1440" w:gutter="0" w:footer="0" w:header="0"/>
        </w:sectPr>
      </w:pPr>
    </w:p>
    <w:bookmarkStart w:id="186" w:name="page187"/>
    <w:bookmarkEnd w:id="186"/>
    <w:p>
      <w:pPr>
        <w:spacing w:after="0" w:line="263" w:lineRule="auto"/>
        <w:rPr>
          <w:sz w:val="20"/>
          <w:szCs w:val="20"/>
          <w:color w:val="auto"/>
        </w:rPr>
      </w:pPr>
      <w:r>
        <w:rPr>
          <w:rFonts w:ascii="Arial" w:cs="Arial" w:eastAsia="Arial" w:hAnsi="Arial"/>
          <w:sz w:val="22"/>
          <w:szCs w:val="22"/>
          <w:color w:val="auto"/>
        </w:rPr>
        <w:t>any of the foregoing as if such Person was not acting as the Administrative Agent and without any duty to account therefor to the Lenders or the Issuing Bank.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6" w:lineRule="auto"/>
        <w:tabs>
          <w:tab w:leader="none" w:pos="193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the Issuing Bank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8"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Notwithstanding paragraph </w:t>
      </w:r>
      <w:r>
        <w:rPr>
          <w:rFonts w:ascii="Arial" w:cs="Arial" w:eastAsia="Arial" w:hAnsi="Arial"/>
          <w:sz w:val="21"/>
          <w:szCs w:val="21"/>
          <w:u w:val="single" w:color="auto"/>
          <w:color w:val="auto"/>
        </w:rPr>
        <w:t>(a)</w:t>
      </w:r>
      <w:r>
        <w:rPr>
          <w:rFonts w:ascii="Arial" w:cs="Arial" w:eastAsia="Arial" w:hAnsi="Arial"/>
          <w:sz w:val="21"/>
          <w:szCs w:val="21"/>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Company, whereupon, on the date of effectiveness of such resignation stated in such notice, the retiring Administrative Agent shall be discharged from its duties and obligations hereunder and under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the Required Lenders shall succeed to and become vested with all the rights, powers, privileges and duties of the retiring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payments required to be made hereunder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59" w:lineRule="auto"/>
        <w:rPr>
          <w:sz w:val="20"/>
          <w:szCs w:val="20"/>
          <w:color w:val="auto"/>
        </w:rPr>
      </w:pPr>
      <w:r>
        <w:rPr>
          <w:rFonts w:ascii="Arial" w:cs="Arial" w:eastAsia="Arial" w:hAnsi="Arial"/>
          <w:sz w:val="21"/>
          <w:szCs w:val="21"/>
          <w:color w:val="auto"/>
        </w:rPr>
        <w:t xml:space="preserve">other Loan Document to the Administrative Agent for the account of any Person other than the Administrative Agent shall be made directly to such Person and all notices and other communications required or contemplated to be given or made to the Administrative Agent shall directly be given or made to each Lender and the Issuing Bank. Following the effectiveness of the Administrative Agent’s resignation from its capacity as such, the provisions of this Article and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above.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Acknowledgements of Lenders and Issuing Banks</w:t>
      </w:r>
      <w:r>
        <w:rPr>
          <w:rFonts w:ascii="Arial" w:cs="Arial" w:eastAsia="Arial" w:hAnsi="Arial"/>
          <w:sz w:val="22"/>
          <w:szCs w:val="22"/>
          <w:color w:val="auto"/>
        </w:rPr>
        <w:t>.</w:t>
      </w:r>
    </w:p>
    <w:p>
      <w:pPr>
        <w:spacing w:after="0" w:line="247" w:lineRule="exact"/>
        <w:rPr>
          <w:sz w:val="20"/>
          <w:szCs w:val="20"/>
          <w:color w:val="auto"/>
        </w:rPr>
      </w:pPr>
    </w:p>
    <w:p>
      <w:pPr>
        <w:jc w:val="both"/>
        <w:ind w:firstLine="1304"/>
        <w:spacing w:after="0" w:line="285" w:lineRule="auto"/>
        <w:tabs>
          <w:tab w:leader="none" w:pos="193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Lender and the Issuing Bank represents and warrants that the Loan Documents set forth the terms of a commercial lending facility, it is engaged in making, acquiring or holding commercial loans and in providing other facilities set forth herein as may be applicable to such Lender or the Issuing Bank, in each case in the ordinary course of business, and not for the purpose of purchasing, acquiring or holding any other type of financial instrument (and each Lender and the Issuing Bank agrees not to assert a claim in contravention of the foregoing), it has, independently and without reliance upon the Administrative Agent, any Arranger, any Syndication Agent, any Co-Documentation Agent or any other Lender or the Issuing Bank, or any of the Related Parties of any of the foregoing, and based on such documents and information as it has deemed appropriate, made its own credit analysis and decision to enter into this Agreement as a Lender, and to make, acquire or hold Loans hereunder and it is sophisticated with respect to decisions to make, acquire and/or hold commercial loans and to provide other facilities set forth herein, as may be applicable to such Lender or the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the Issuing Bank also acknowledges that it will, independently and without reliance upon the Administrative Agent, any Arranger any Syndication Agent, any Co-Documentation Agent or any other Lender or the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2"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170"/>
        </w:numPr>
        <w:rPr>
          <w:rFonts w:ascii="Arial" w:cs="Arial" w:eastAsia="Arial" w:hAnsi="Arial"/>
          <w:sz w:val="22"/>
          <w:szCs w:val="22"/>
          <w:color w:val="auto"/>
        </w:rPr>
      </w:pPr>
      <w:r>
        <w:rPr>
          <w:rFonts w:ascii="Arial" w:cs="Arial" w:eastAsia="Arial" w:hAnsi="Arial"/>
          <w:sz w:val="22"/>
          <w:szCs w:val="22"/>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28" w:right="339" w:bottom="1440" w:gutter="0" w:footer="0" w:header="0"/>
        </w:sectPr>
      </w:pPr>
    </w:p>
    <w:bookmarkStart w:id="188" w:name="page189"/>
    <w:bookmarkEnd w:id="188"/>
    <w:p>
      <w:pPr>
        <w:ind w:left="640"/>
        <w:spacing w:after="0"/>
        <w:rPr>
          <w:sz w:val="20"/>
          <w:szCs w:val="20"/>
          <w:color w:val="auto"/>
        </w:rPr>
      </w:pPr>
      <w:r>
        <w:rPr>
          <w:rFonts w:ascii="Arial" w:cs="Arial" w:eastAsia="Arial" w:hAnsi="Arial"/>
          <w:sz w:val="22"/>
          <w:szCs w:val="22"/>
          <w:color w:val="auto"/>
        </w:rPr>
        <w:t>c.</w:t>
      </w:r>
    </w:p>
    <w:p>
      <w:pPr>
        <w:spacing w:after="0" w:line="21" w:lineRule="exact"/>
        <w:rPr>
          <w:sz w:val="20"/>
          <w:szCs w:val="20"/>
          <w:color w:val="auto"/>
        </w:rPr>
      </w:pPr>
    </w:p>
    <w:p>
      <w:pPr>
        <w:jc w:val="both"/>
        <w:ind w:firstLine="1182"/>
        <w:spacing w:after="0" w:line="284" w:lineRule="auto"/>
        <w:rPr>
          <w:sz w:val="20"/>
          <w:szCs w:val="20"/>
          <w:color w:val="auto"/>
        </w:rPr>
      </w:pPr>
      <w:r>
        <w:rPr>
          <w:rFonts w:ascii="Arial" w:cs="Arial" w:eastAsia="Arial" w:hAnsi="Arial"/>
          <w:sz w:val="19"/>
          <w:szCs w:val="19"/>
          <w:color w:val="auto"/>
        </w:rPr>
        <w:t>i. Each Lender and each Issuing Bank hereby agrees that (x) if the Administrative Agent notifies such Lender or such Issuing Bank that the Administrative Agent has determined in its sole discretion that any funds received by such Lender or such Issuing Bank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were erroneously transmitted to such Lender or such Issuing Bank (whether or not known to such Lender or such Issuing Bank), and demands the return of such Payment (or a portion thereof), such Lender or such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such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any Issuing Bank under this </w:t>
      </w:r>
      <w:r>
        <w:rPr>
          <w:rFonts w:ascii="Arial" w:cs="Arial" w:eastAsia="Arial" w:hAnsi="Arial"/>
          <w:sz w:val="19"/>
          <w:szCs w:val="19"/>
          <w:u w:val="single" w:color="auto"/>
          <w:color w:val="auto"/>
        </w:rPr>
        <w:t>Section 8.06(c)</w:t>
      </w:r>
      <w:r>
        <w:rPr>
          <w:rFonts w:ascii="Arial" w:cs="Arial" w:eastAsia="Arial" w:hAnsi="Arial"/>
          <w:sz w:val="19"/>
          <w:szCs w:val="19"/>
          <w:color w:val="auto"/>
        </w:rPr>
        <w:t xml:space="preserve"> shall be conclusive, absent manifest error.</w:t>
      </w:r>
    </w:p>
    <w:p>
      <w:pPr>
        <w:spacing w:after="0" w:line="200" w:lineRule="exact"/>
        <w:rPr>
          <w:sz w:val="20"/>
          <w:szCs w:val="20"/>
          <w:color w:val="auto"/>
        </w:rPr>
      </w:pPr>
    </w:p>
    <w:p>
      <w:pPr>
        <w:spacing w:after="0" w:line="251" w:lineRule="exact"/>
        <w:rPr>
          <w:sz w:val="20"/>
          <w:szCs w:val="20"/>
          <w:color w:val="auto"/>
        </w:rPr>
      </w:pPr>
    </w:p>
    <w:p>
      <w:pPr>
        <w:jc w:val="both"/>
        <w:ind w:firstLine="1118"/>
        <w:spacing w:after="0" w:line="286" w:lineRule="auto"/>
        <w:tabs>
          <w:tab w:leader="none" w:pos="140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such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such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2" w:lineRule="exact"/>
        <w:rPr>
          <w:rFonts w:ascii="Arial" w:cs="Arial" w:eastAsia="Arial" w:hAnsi="Arial"/>
          <w:sz w:val="19"/>
          <w:szCs w:val="19"/>
          <w:color w:val="auto"/>
        </w:rPr>
      </w:pPr>
    </w:p>
    <w:p>
      <w:pPr>
        <w:jc w:val="both"/>
        <w:ind w:firstLine="1058"/>
        <w:spacing w:after="0" w:line="253" w:lineRule="auto"/>
        <w:tabs>
          <w:tab w:leader="none" w:pos="136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Company and each other Credit Party hereby agrees that (x) in the event an erroneous Payment (or portion thereof) is not recovered from any Lender or any Issuing Bank that has received such Payment (or portion thereof) for any reason,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0580"/>
          </w:cols>
          <w:pgMar w:left="980" w:top="1428" w:right="339" w:bottom="1440" w:gutter="0" w:footer="0" w:header="0"/>
        </w:sectPr>
      </w:pPr>
    </w:p>
    <w:bookmarkStart w:id="189" w:name="page190"/>
    <w:bookmarkEnd w:id="189"/>
    <w:p>
      <w:pPr>
        <w:jc w:val="both"/>
        <w:ind w:left="328"/>
        <w:spacing w:after="0" w:line="253" w:lineRule="auto"/>
        <w:rPr>
          <w:sz w:val="20"/>
          <w:szCs w:val="20"/>
          <w:color w:val="auto"/>
        </w:rPr>
      </w:pPr>
      <w:r>
        <w:rPr>
          <w:rFonts w:ascii="Arial" w:cs="Arial" w:eastAsia="Arial" w:hAnsi="Arial"/>
          <w:sz w:val="22"/>
          <w:szCs w:val="22"/>
          <w:color w:val="auto"/>
        </w:rPr>
        <w:t>Administrative Agent shall be subrogated to all the rights of such Lender or such Issuing Bank with respect to such amount and (y) an erroneous Payment shall not pay, prepay, repay, discharge or otherwise satisfy any Obligations owed by the Company or any other Credit Party.</w:t>
      </w:r>
    </w:p>
    <w:p>
      <w:pPr>
        <w:spacing w:after="0" w:line="212" w:lineRule="exact"/>
        <w:rPr>
          <w:sz w:val="20"/>
          <w:szCs w:val="20"/>
          <w:color w:val="auto"/>
        </w:rPr>
      </w:pPr>
    </w:p>
    <w:p>
      <w:pPr>
        <w:jc w:val="both"/>
        <w:ind w:left="328" w:firstLine="1070"/>
        <w:spacing w:after="0" w:line="250" w:lineRule="auto"/>
        <w:tabs>
          <w:tab w:leader="none" w:pos="169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8.06(c)</w:t>
      </w:r>
      <w:r>
        <w:rPr>
          <w:rFonts w:ascii="Arial" w:cs="Arial" w:eastAsia="Arial" w:hAnsi="Arial"/>
          <w:sz w:val="22"/>
          <w:szCs w:val="22"/>
          <w:color w:val="auto"/>
        </w:rPr>
        <w:t xml:space="preserve"> shall survive the resignation or replacement of the Administrative Agent or any transfer of rights or obligations by, or the replacement of, a Lender or an Issuing Bank, the termination of the Revolving Commitments or the repayment, satisfaction or discharge of all Obligations under any Loan Document.</w:t>
      </w:r>
    </w:p>
    <w:p>
      <w:pPr>
        <w:spacing w:after="0" w:line="215"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Collateral Matters</w:t>
      </w:r>
      <w:r>
        <w:rPr>
          <w:rFonts w:ascii="Arial" w:cs="Arial" w:eastAsia="Arial" w:hAnsi="Arial"/>
          <w:sz w:val="22"/>
          <w:szCs w:val="22"/>
          <w:color w:val="auto"/>
        </w:rPr>
        <w:t>.</w:t>
      </w:r>
    </w:p>
    <w:p>
      <w:pPr>
        <w:spacing w:after="0" w:line="247" w:lineRule="exact"/>
        <w:rPr>
          <w:sz w:val="20"/>
          <w:szCs w:val="20"/>
          <w:color w:val="auto"/>
        </w:rPr>
      </w:pPr>
    </w:p>
    <w:p>
      <w:pPr>
        <w:jc w:val="both"/>
        <w:ind w:left="328" w:hanging="328"/>
        <w:spacing w:after="0" w:line="248" w:lineRule="auto"/>
        <w:tabs>
          <w:tab w:leader="none" w:pos="31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Except with respect to the exercise of setoff rights in accordance with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218" w:lineRule="exact"/>
        <w:rPr>
          <w:rFonts w:ascii="Arial" w:cs="Arial" w:eastAsia="Arial" w:hAnsi="Arial"/>
          <w:sz w:val="22"/>
          <w:szCs w:val="22"/>
          <w:color w:val="auto"/>
        </w:rPr>
      </w:pPr>
    </w:p>
    <w:p>
      <w:pPr>
        <w:jc w:val="both"/>
        <w:ind w:left="328" w:hanging="328"/>
        <w:spacing w:after="0" w:line="290" w:lineRule="auto"/>
        <w:tabs>
          <w:tab w:leader="none" w:pos="32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furtherance of the foregoing and not in limitation thereof, no arrangements in respect of any Cash Management Agreement the obligations under which constitute Obligations and no Swap Agreement the obligations under which constitute Obligations, will create (or be deemed to create) in favor of any Secured Party that is a party thereto any rights in connection with the management or release of any Collateral or of the obligations of any Credit Party under any Loan Document. By accepting the benefits of the Collateral, each Secured Party that is a party to any such arrangement in respect of any Cash Management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2" w:lineRule="exact"/>
        <w:rPr>
          <w:rFonts w:ascii="Arial" w:cs="Arial" w:eastAsia="Arial" w:hAnsi="Arial"/>
          <w:sz w:val="19"/>
          <w:szCs w:val="19"/>
          <w:color w:val="auto"/>
        </w:rPr>
      </w:pPr>
    </w:p>
    <w:p>
      <w:pPr>
        <w:jc w:val="both"/>
        <w:ind w:left="328" w:hanging="328"/>
        <w:spacing w:after="0" w:line="289" w:lineRule="auto"/>
        <w:tabs>
          <w:tab w:leader="none" w:pos="31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Secured Parties irrevocably authorize the Administrative Agent, at its option and in its discretion, to (i)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and (ii) release any Lien on any Collateral granted to or held by the Administrative Agent, for the ratable benefit of the Secured Parties, under any Loan Document that is sold or otherwise disposed of or to be sold or otherwise disposed of as part of or in connection with any sale or other disposition expressly permitted under the Loan Documents, as certified by the Company.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0908"/>
          </w:cols>
          <w:pgMar w:left="652" w:top="1428" w:right="339" w:bottom="1440" w:gutter="0" w:footer="0" w:header="0"/>
        </w:sectPr>
      </w:pPr>
    </w:p>
    <w:bookmarkStart w:id="190" w:name="page191"/>
    <w:bookmarkEnd w:id="190"/>
    <w:p>
      <w:pPr>
        <w:ind w:left="660"/>
        <w:spacing w:after="0" w:line="263" w:lineRule="auto"/>
        <w:rPr>
          <w:sz w:val="20"/>
          <w:szCs w:val="20"/>
          <w:color w:val="auto"/>
        </w:rPr>
      </w:pPr>
      <w:r>
        <w:rPr>
          <w:rFonts w:ascii="Arial" w:cs="Arial" w:eastAsia="Arial" w:hAnsi="Arial"/>
          <w:sz w:val="22"/>
          <w:szCs w:val="22"/>
          <w:color w:val="auto"/>
        </w:rPr>
        <w:t>the Administrative Agent be responsible or liable to the Lenders or any other Secured Party for any failure to monitor or maintain any portion of the Collateral.</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Credit Bidding</w:t>
      </w:r>
      <w:r>
        <w:rPr>
          <w:rFonts w:ascii="Arial" w:cs="Arial" w:eastAsia="Arial" w:hAnsi="Arial"/>
          <w:sz w:val="19"/>
          <w:szCs w:val="19"/>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at any sale thereof conducted under the provisions of the Bankruptcy Code, including under Sections 363, 1123 or 1129 of the Bankruptcy Code, or any similar laws in any other jurisdictions to which a Credit Party is subject, or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the Administrative Agent shall be authorized to form one or more acquisition vehicles and to assign any successful credit bid to such acquisition vehicle or vehicles, each of the Secured Parties’ ratable interests in the Obligations which were credit bid shall be deemed without any further action under this Agreement to be assigned to such vehicle or vehicles for the purpose of closing such sale,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28" w:right="339" w:bottom="1440" w:gutter="0" w:footer="0" w:header="0"/>
        </w:sectPr>
      </w:pPr>
    </w:p>
    <w:bookmarkStart w:id="191" w:name="page192"/>
    <w:bookmarkEnd w:id="191"/>
    <w:p>
      <w:pPr>
        <w:jc w:val="both"/>
        <w:spacing w:after="0" w:line="246" w:lineRule="auto"/>
        <w:rPr>
          <w:sz w:val="20"/>
          <w:szCs w:val="20"/>
          <w:color w:val="auto"/>
        </w:rPr>
      </w:pPr>
      <w:r>
        <w:rPr>
          <w:rFonts w:ascii="Arial" w:cs="Arial" w:eastAsia="Arial" w:hAnsi="Arial"/>
          <w:sz w:val="22"/>
          <w:szCs w:val="22"/>
          <w:color w:val="auto"/>
        </w:rPr>
        <w:t xml:space="preserve">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20" w:lineRule="exact"/>
        <w:rPr>
          <w:sz w:val="20"/>
          <w:szCs w:val="20"/>
          <w:color w:val="auto"/>
        </w:rPr>
      </w:pPr>
    </w:p>
    <w:p>
      <w:pPr>
        <w:jc w:val="both"/>
        <w:ind w:left="660" w:hanging="328"/>
        <w:spacing w:after="0" w:line="286" w:lineRule="auto"/>
        <w:tabs>
          <w:tab w:leader="none" w:pos="64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Company or any other Credit Party, that at least one of the following is and will be true:</w:t>
      </w:r>
    </w:p>
    <w:p>
      <w:pPr>
        <w:spacing w:after="0" w:line="2" w:lineRule="exact"/>
        <w:rPr>
          <w:rFonts w:ascii="Arial" w:cs="Arial" w:eastAsia="Arial" w:hAnsi="Arial"/>
          <w:sz w:val="19"/>
          <w:szCs w:val="19"/>
          <w:color w:val="auto"/>
        </w:rPr>
      </w:pPr>
    </w:p>
    <w:p>
      <w:pPr>
        <w:ind w:left="660" w:right="20" w:firstLine="644"/>
        <w:spacing w:after="0" w:line="269" w:lineRule="auto"/>
        <w:tabs>
          <w:tab w:leader="none" w:pos="1948" w:val="left"/>
        </w:tabs>
        <w:numPr>
          <w:ilvl w:val="1"/>
          <w:numId w:val="174"/>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the Plan Asset Regulations) of one or more Benefit Plans in connection with the Loans, the Letters of Credit or the Revolving Commitments,</w:t>
      </w:r>
    </w:p>
    <w:p>
      <w:pPr>
        <w:spacing w:after="0" w:line="169" w:lineRule="exact"/>
        <w:rPr>
          <w:rFonts w:ascii="Arial" w:cs="Arial" w:eastAsia="Arial" w:hAnsi="Arial"/>
          <w:sz w:val="21"/>
          <w:szCs w:val="21"/>
          <w:color w:val="auto"/>
        </w:rPr>
      </w:pPr>
    </w:p>
    <w:p>
      <w:pPr>
        <w:jc w:val="both"/>
        <w:ind w:left="660" w:firstLine="644"/>
        <w:spacing w:after="0" w:line="292" w:lineRule="auto"/>
        <w:tabs>
          <w:tab w:leader="none" w:pos="1955"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77" w:lineRule="exact"/>
        <w:rPr>
          <w:rFonts w:ascii="Arial" w:cs="Arial" w:eastAsia="Arial" w:hAnsi="Arial"/>
          <w:sz w:val="19"/>
          <w:szCs w:val="19"/>
          <w:color w:val="auto"/>
        </w:rPr>
      </w:pPr>
    </w:p>
    <w:p>
      <w:pPr>
        <w:jc w:val="both"/>
        <w:ind w:left="660" w:firstLine="644"/>
        <w:spacing w:after="0" w:line="290" w:lineRule="auto"/>
        <w:tabs>
          <w:tab w:leader="none" w:pos="1947"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(1) such Qualified Professional Asset Manager made the investment decision on behalf of such Lender to enter into, participate in, administer and perform the Loans, the Letters of Credit, the Revolving Commitments and this Agreement, (2) the entrance into, participation in, administration of and performance of the Loans, the Letters of Credit, the Revolving Commitments and this Agreement satisfies the requirements of sub-sections (b) through (g) of Part I of PTE 84-14 and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28" w:right="339" w:bottom="1440" w:gutter="0" w:footer="0" w:header="0"/>
        </w:sectPr>
      </w:pPr>
    </w:p>
    <w:bookmarkStart w:id="192" w:name="page193"/>
    <w:bookmarkEnd w:id="192"/>
    <w:p>
      <w:pPr>
        <w:ind w:left="660" w:right="20" w:firstLine="644"/>
        <w:spacing w:after="0" w:line="263" w:lineRule="auto"/>
        <w:tabs>
          <w:tab w:leader="none" w:pos="193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201"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In addition, unless sub-clause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in the immediately preceding clause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is true with respect to a Lender or such Lender has provided another representation, warranty and covenant as provided in sub-clause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in the immediately preceding clause </w:t>
      </w:r>
      <w:r>
        <w:rPr>
          <w:rFonts w:ascii="Arial" w:cs="Arial" w:eastAsia="Arial" w:hAnsi="Arial"/>
          <w:sz w:val="21"/>
          <w:szCs w:val="21"/>
          <w:u w:val="single" w:color="auto"/>
          <w:color w:val="auto"/>
        </w:rPr>
        <w:t>(a)</w:t>
      </w:r>
      <w:r>
        <w:rPr>
          <w:rFonts w:ascii="Arial" w:cs="Arial" w:eastAsia="Arial" w:hAnsi="Arial"/>
          <w:sz w:val="21"/>
          <w:szCs w:val="21"/>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212" w:lineRule="exact"/>
        <w:rPr>
          <w:rFonts w:ascii="Arial" w:cs="Arial" w:eastAsia="Arial" w:hAnsi="Arial"/>
          <w:sz w:val="21"/>
          <w:szCs w:val="21"/>
          <w:color w:val="auto"/>
        </w:rPr>
      </w:pPr>
    </w:p>
    <w:p>
      <w:pPr>
        <w:jc w:val="both"/>
        <w:ind w:left="660" w:hanging="328"/>
        <w:spacing w:after="0" w:line="287" w:lineRule="auto"/>
        <w:tabs>
          <w:tab w:leader="none" w:pos="64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Administrative Agent, and each Arranger, 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may receive interest or other payments with respect to the Loans, the Letters of Credit, the Revolving Commitments, this Agreement and any other Loan Documents may recognize a gain if it extended the Loans, the Letters of Credit or the Revolving Commitments for an amount less than the amount being paid for an interest in the Loans, the Letters of Credit or the Revolving Commitments by such Lender or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0" w:lineRule="auto"/>
        <w:tabs>
          <w:tab w:leader="none" w:pos="193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Except in the case of notices and other communications expressly permitted to be given by telephone, electronic mail or through an Approved Electronic Platform (and subject to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28" w:right="339" w:bottom="1440" w:gutter="0" w:footer="0" w:header="0"/>
        </w:sectPr>
      </w:pPr>
    </w:p>
    <w:bookmarkStart w:id="193" w:name="page194"/>
    <w:bookmarkEnd w:id="193"/>
    <w:p>
      <w:pPr>
        <w:jc w:val="both"/>
        <w:ind w:left="660" w:firstLine="1182"/>
        <w:spacing w:after="0" w:line="246" w:lineRule="auto"/>
        <w:rPr>
          <w:sz w:val="20"/>
          <w:szCs w:val="20"/>
          <w:color w:val="auto"/>
        </w:rPr>
      </w:pPr>
      <w:r>
        <w:rPr>
          <w:rFonts w:ascii="Arial" w:cs="Arial" w:eastAsia="Arial" w:hAnsi="Arial"/>
          <w:sz w:val="22"/>
          <w:szCs w:val="22"/>
          <w:color w:val="auto"/>
        </w:rPr>
        <w:t>i. if to the Company or any other Borrower, to Matrix Service Company, Attention 5100 E. Skelly Drive, Suite 500, Tulsa, Oklahoma 74135, Attention: Kevin S. Cavanah; Telephone (918) 838-8832; Fax: (918) 838-8810; Email: kcavanah@matrixservicecompany.com; with a copy to Matrix Service Company, Attention 5100 E. Skelly Drive, Suite 500, Tulsa, Oklahoma 74135, Attention: Mike McMahon; Telephone (918) 838-8832; Fax: (918) 624-2555; Email: mmcmahon@matrixservicecompany.com; with a copy to Conner &amp; Winters, LLC, 4000 One Williams Center, Tulsa, Oklahoma 74172, Attention; Mark D. Berman; Telephone (918) 586-8961; Fax: (918) 586-8661; Email: mberman@cwlaw.com;</w:t>
      </w:r>
    </w:p>
    <w:p>
      <w:pPr>
        <w:spacing w:after="0" w:line="223" w:lineRule="exact"/>
        <w:rPr>
          <w:sz w:val="20"/>
          <w:szCs w:val="20"/>
          <w:color w:val="auto"/>
        </w:rPr>
      </w:pPr>
    </w:p>
    <w:p>
      <w:pPr>
        <w:jc w:val="both"/>
        <w:ind w:left="660" w:firstLine="1118"/>
        <w:spacing w:after="0" w:line="250" w:lineRule="auto"/>
        <w:tabs>
          <w:tab w:leader="none" w:pos="201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if to the Administrative Agent, or JPMorgan Chase Bank, N.A. as the Issuing Bank or Swingline Lender in respect of Loans or Letters of Credit in U.S. Dollars or Canadian Dollars, to JPMorgan Chase Bank, N.A., 10 S. Dearborn, Floor L2, Chicago, Illinois 60603, Attention: Ashley Goad; Telephone (312) 732-2467; Fax: (844) 235-1788; Email: CLS.CAD.Chicago@jpmorgan.com;</w:t>
      </w:r>
    </w:p>
    <w:p>
      <w:pPr>
        <w:spacing w:after="0" w:line="214" w:lineRule="exact"/>
        <w:rPr>
          <w:rFonts w:ascii="Arial" w:cs="Arial" w:eastAsia="Arial" w:hAnsi="Arial"/>
          <w:sz w:val="22"/>
          <w:szCs w:val="22"/>
          <w:color w:val="auto"/>
        </w:rPr>
      </w:pPr>
    </w:p>
    <w:p>
      <w:pPr>
        <w:jc w:val="both"/>
        <w:ind w:left="660" w:firstLine="1058"/>
        <w:spacing w:after="0" w:line="291" w:lineRule="auto"/>
        <w:tabs>
          <w:tab w:leader="none" w:pos="201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if to the Administrative Agent or JPMorgan Chase Bank, N.A. as the Issuing Bank in respect of Loans or Letters of Credit in Foreign Currencies (other than Canadian Dollars), to J.P. Morgan Europe, Loan and Agency Group,</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25 Bank Street, Canary Wharf, London E14 5JP, Telephone +44 (0) 20 7742 1000; Fax: +44 (0) 20 7777 2360, E-Fax:</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12016395145@tls.ldsprod.com; Email: loan_and_agency_london@jpmorgan.com;</w:t>
      </w:r>
    </w:p>
    <w:p>
      <w:pPr>
        <w:spacing w:after="0" w:line="228" w:lineRule="exact"/>
        <w:rPr>
          <w:rFonts w:ascii="Arial" w:cs="Arial" w:eastAsia="Arial" w:hAnsi="Arial"/>
          <w:sz w:val="19"/>
          <w:szCs w:val="19"/>
          <w:color w:val="auto"/>
        </w:rPr>
      </w:pPr>
    </w:p>
    <w:p>
      <w:pPr>
        <w:jc w:val="both"/>
        <w:ind w:left="660" w:firstLine="1070"/>
        <w:spacing w:after="0" w:line="248" w:lineRule="auto"/>
        <w:tabs>
          <w:tab w:leader="none" w:pos="200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if to the Administrative Agent in respect of any other matter, to JPMorgan Chase Bank, N.A., 210 Park Ave, Ste 2725, Floor 27, Oklahoma City, Oklahoma 73102-8606, Attention: Michael Mattson; Telephone (918) 586-5088; Fax (918) 586-5474; Email: michael.mattson@chase.com; and JPMorgan Chase Bank, N.A., 210 Park Ave, Ste 2725, Floor 27, Oklahoma City, Oklahoma 73102-8606, Attention: Ryan Kirk; Telephone: (405) 231-6218; Fax: (405) 231 6758; Email: ryan.kirk@chase.com;</w:t>
      </w:r>
    </w:p>
    <w:p>
      <w:pPr>
        <w:spacing w:after="0" w:line="232" w:lineRule="exact"/>
        <w:rPr>
          <w:rFonts w:ascii="Arial" w:cs="Arial" w:eastAsia="Arial" w:hAnsi="Arial"/>
          <w:sz w:val="22"/>
          <w:szCs w:val="22"/>
          <w:color w:val="auto"/>
        </w:rPr>
      </w:pPr>
    </w:p>
    <w:p>
      <w:pPr>
        <w:ind w:left="2000" w:hanging="210"/>
        <w:spacing w:after="0"/>
        <w:tabs>
          <w:tab w:leader="none" w:pos="20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if to any other Lender, to it at its address (or fax number) set forth in its Administrative Questionnaire; and</w:t>
      </w:r>
    </w:p>
    <w:p>
      <w:pPr>
        <w:spacing w:after="0" w:line="281" w:lineRule="exact"/>
        <w:rPr>
          <w:rFonts w:ascii="Arial" w:cs="Arial" w:eastAsia="Arial" w:hAnsi="Arial"/>
          <w:sz w:val="19"/>
          <w:szCs w:val="19"/>
          <w:color w:val="auto"/>
        </w:rPr>
      </w:pPr>
    </w:p>
    <w:p>
      <w:pPr>
        <w:jc w:val="both"/>
        <w:ind w:left="660" w:firstLine="1070"/>
        <w:spacing w:after="0" w:line="253" w:lineRule="auto"/>
        <w:tabs>
          <w:tab w:leader="none" w:pos="2050" w:val="left"/>
        </w:tabs>
        <w:numPr>
          <w:ilvl w:val="1"/>
          <w:numId w:val="179"/>
        </w:numPr>
        <w:rPr>
          <w:rFonts w:ascii="Arial" w:cs="Arial" w:eastAsia="Arial" w:hAnsi="Arial"/>
          <w:sz w:val="22"/>
          <w:szCs w:val="22"/>
          <w:color w:val="auto"/>
        </w:rPr>
      </w:pPr>
      <w:r>
        <w:rPr>
          <w:rFonts w:ascii="Arial" w:cs="Arial" w:eastAsia="Arial" w:hAnsi="Arial"/>
          <w:sz w:val="22"/>
          <w:szCs w:val="22"/>
          <w:color w:val="auto"/>
        </w:rPr>
        <w:t xml:space="preserve">if to Wells Fargo Bank, N.A. as an Issuing Bank, to 401 N. Research Pkwy, Winston-Salem, North Carolina 27101, Attention: Standby L/C Department (Telecopy No. 1-844-879-2898); Email: </w:t>
      </w:r>
      <w:r>
        <w:rPr>
          <w:rFonts w:ascii="Arial" w:cs="Arial" w:eastAsia="Arial" w:hAnsi="Arial"/>
          <w:sz w:val="22"/>
          <w:szCs w:val="22"/>
          <w:u w:val="single" w:color="auto"/>
          <w:color w:val="auto"/>
        </w:rPr>
        <w:t>standbycustomercare@wellsfargo.com.</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194" w:name="page195"/>
    <w:bookmarkEnd w:id="194"/>
    <w:p>
      <w:pPr>
        <w:jc w:val="both"/>
        <w:ind w:firstLine="1304"/>
        <w:spacing w:after="0" w:line="294" w:lineRule="auto"/>
        <w:tabs>
          <w:tab w:leader="none" w:pos="194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Company, any Credit Party, the Lenders and the Issuing Bank hereunder may be delivered or furnished by using Approved Electronic Platforms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49" w:lineRule="exact"/>
        <w:rPr>
          <w:rFonts w:ascii="Arial" w:cs="Arial" w:eastAsia="Arial" w:hAnsi="Arial"/>
          <w:sz w:val="19"/>
          <w:szCs w:val="19"/>
          <w:color w:val="auto"/>
        </w:rPr>
      </w:pPr>
    </w:p>
    <w:p>
      <w:pPr>
        <w:jc w:val="both"/>
        <w:ind w:firstLine="1304"/>
        <w:spacing w:after="0" w:line="291" w:lineRule="auto"/>
        <w:tabs>
          <w:tab w:leader="none" w:pos="193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Unless the Administrative Agent otherwise prescribes, notices and other communications sent to an e-mail address shall be deemed received upon the sender’s receipt of an acknowledgement from the intended recipient (such as by the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“return receipt requested” function, as available, return e-mail or other written acknowledgement), and notices or communications posted to an Internet or intranet website shall be deemed received upon the deemed receipt by the intended recipient, at its e-mail address as described in the foregoing clause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of notification that such notice or communication is available and identifying the website address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both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3" w:lineRule="exact"/>
        <w:rPr>
          <w:sz w:val="20"/>
          <w:szCs w:val="20"/>
          <w:color w:val="auto"/>
        </w:rPr>
      </w:pPr>
    </w:p>
    <w:p>
      <w:pPr>
        <w:ind w:firstLine="1304"/>
        <w:spacing w:after="0" w:line="263" w:lineRule="auto"/>
        <w:tabs>
          <w:tab w:leader="none" w:pos="19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the Issuing Banks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Issuing Banks and the Lenders hereunder are cumulative and are not exclusive of any rights or remedies that they would otherwise have. No waiver of any provision of this Agreement or consent to any departure by the Borrowers therefrom shall in any event be effective unless the same shall be permitted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Banks may have had notice or knowledge of such Default at the time.</w:t>
      </w:r>
    </w:p>
    <w:p>
      <w:pPr>
        <w:spacing w:after="0" w:line="159" w:lineRule="exact"/>
        <w:rPr>
          <w:rFonts w:ascii="Arial" w:cs="Arial" w:eastAsia="Arial" w:hAnsi="Arial"/>
          <w:sz w:val="19"/>
          <w:szCs w:val="19"/>
          <w:color w:val="auto"/>
        </w:rPr>
      </w:pPr>
    </w:p>
    <w:p>
      <w:pPr>
        <w:jc w:val="both"/>
        <w:ind w:firstLine="1304"/>
        <w:spacing w:after="0" w:line="265" w:lineRule="auto"/>
        <w:tabs>
          <w:tab w:leader="none" w:pos="194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2.14(b)</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9.02(c)</w:t>
      </w:r>
      <w:r>
        <w:rPr>
          <w:rFonts w:ascii="Arial" w:cs="Arial" w:eastAsia="Arial" w:hAnsi="Arial"/>
          <w:sz w:val="21"/>
          <w:szCs w:val="21"/>
          <w:color w:val="auto"/>
        </w:rPr>
        <w:t xml:space="preserve"> below, 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agreement shall increase the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28" w:right="339" w:bottom="1440" w:gutter="0" w:footer="0" w:header="0"/>
        </w:sectPr>
      </w:pPr>
    </w:p>
    <w:bookmarkStart w:id="195" w:name="page196"/>
    <w:bookmarkEnd w:id="195"/>
    <w:p>
      <w:pPr>
        <w:jc w:val="both"/>
        <w:spacing w:after="0" w:line="285" w:lineRule="auto"/>
        <w:rPr>
          <w:sz w:val="20"/>
          <w:szCs w:val="20"/>
          <w:color w:val="auto"/>
        </w:rPr>
      </w:pPr>
      <w:r>
        <w:rPr>
          <w:rFonts w:ascii="Arial" w:cs="Arial" w:eastAsia="Arial" w:hAnsi="Arial"/>
          <w:sz w:val="19"/>
          <w:szCs w:val="19"/>
          <w:color w:val="auto"/>
        </w:rPr>
        <w:t xml:space="preserve">of any Lender without the written consent of such Lender, reduce the principal amount of any Loan or LC Disbursement or reduce the rate of interest thereon, or reduce any fees payable hereunder, without the written consent of each Lender affected thereby, postpone the scheduled date of payment of the principal amount of any Loan or LC Disbursement, or any interest thereon, or any fees payable hereunder, or reduce the amount of, waive or excuse any such payment, or postpone the scheduled date of expiration of any Revolving Commitment, without the written consent of each Lender affected thereby, change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sharing of payments required thereby, without the written consent of each Lender, change any of the provisions of this Section or the definition of “Required Lenders” or any other provision hereof specifying the number or percentage of the Lenders required to waive, amend or modify any rights hereunder or make any determination or grant any consent hereunder, without the written consent of each Lender, release any Borrower from its Guarantee under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release any </w:t>
      </w:r>
      <w:r>
        <w:rPr>
          <w:rFonts w:ascii="Arial" w:cs="Arial" w:eastAsia="Arial" w:hAnsi="Arial"/>
          <w:sz w:val="17"/>
          <w:szCs w:val="17"/>
          <w:color w:val="auto"/>
        </w:rPr>
        <w:t>Subsidiary</w:t>
      </w:r>
      <w:r>
        <w:rPr>
          <w:rFonts w:ascii="Arial" w:cs="Arial" w:eastAsia="Arial" w:hAnsi="Arial"/>
          <w:sz w:val="19"/>
          <w:szCs w:val="19"/>
          <w:color w:val="auto"/>
        </w:rPr>
        <w:t xml:space="preserve"> Guarantor from any Subsidiary Guaranty or release the Liens on a substantial part of the Collateral except in accordance with the terms of any Loan Document, in each case, without the written consent of each Lender or amend the definition of “Foreign Currency” to add a new currency or permit any non-U.S. Person to become a “Foreign Borrower” hereunder, in each case, without the written consent of each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modify or otherwise affect the rights or duties of the Administrative Agent, the Issuing Banks or the Swingline Lender hereunder without the prior written consent of the Administrative Agent, each Issuing Bank or the Swingline Lender, as the case may be;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agreement shall amend or modify the provisions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without the prior written consent of the Administrative Agent and each Issuing Bank.</w:t>
      </w:r>
    </w:p>
    <w:p>
      <w:pPr>
        <w:spacing w:after="0" w:line="227" w:lineRule="exact"/>
        <w:rPr>
          <w:sz w:val="20"/>
          <w:szCs w:val="20"/>
          <w:color w:val="auto"/>
        </w:rPr>
      </w:pPr>
    </w:p>
    <w:p>
      <w:pPr>
        <w:jc w:val="both"/>
        <w:ind w:firstLine="1304"/>
        <w:spacing w:after="0" w:line="244" w:lineRule="auto"/>
        <w:tabs>
          <w:tab w:leader="none" w:pos="193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Limitation of Liability; Indemnity; Etc</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Borrowers shall pay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all reasonable out-of-pocket expenses incurred by the Issuing Bank in connection with the issuance, amendment, renewal or extension of any Letter of Credit or any demand for payment thereunder and all out-of-pocket expenses incurred by the Administrative Agent, the Issuing Bank or any Lender, including the fees, charges and disbursements of any counsel for the Administrative Agent, the Issuing Bank or any Lender, in connection with the enforcement or protection of its rights in connection with this Agreement and the other Loan Documents, including its rights under this Section, or in connection with the Loans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28" w:right="339" w:bottom="1440" w:gutter="0" w:footer="0" w:header="0"/>
        </w:sectPr>
      </w:pPr>
    </w:p>
    <w:bookmarkStart w:id="196" w:name="page197"/>
    <w:bookmarkEnd w:id="196"/>
    <w:p>
      <w:pPr>
        <w:ind w:right="20"/>
        <w:spacing w:after="0" w:line="263" w:lineRule="auto"/>
        <w:rPr>
          <w:sz w:val="20"/>
          <w:szCs w:val="20"/>
          <w:color w:val="auto"/>
        </w:rPr>
      </w:pPr>
      <w:r>
        <w:rPr>
          <w:rFonts w:ascii="Arial" w:cs="Arial" w:eastAsia="Arial" w:hAnsi="Arial"/>
          <w:sz w:val="22"/>
          <w:szCs w:val="22"/>
          <w:color w:val="auto"/>
        </w:rPr>
        <w:t>Letters of Credit issued hereunder, including all such out-of-pocket expenses incurred during any workout, restructuring or negotiations in respect of such Loans or Letters of Credit.</w:t>
      </w:r>
    </w:p>
    <w:p>
      <w:pPr>
        <w:spacing w:after="0" w:line="175" w:lineRule="exact"/>
        <w:rPr>
          <w:sz w:val="20"/>
          <w:szCs w:val="20"/>
          <w:color w:val="auto"/>
        </w:rPr>
      </w:pPr>
    </w:p>
    <w:p>
      <w:pPr>
        <w:jc w:val="both"/>
        <w:ind w:firstLine="1304"/>
        <w:spacing w:after="0" w:line="287" w:lineRule="auto"/>
        <w:tabs>
          <w:tab w:leader="none" w:pos="1944"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To the extent permitted by applicable law the Borrowers and each Credit Party shall not assert, and the Borrowers and each Credit Party hereby waives, any claim against the Administrative Agent, any Arranger, any Syndication Agent, any Co-Documentation Agent the Issuing Bank and any Lender, and any Related Party of any of the foregoing Persons (each such Person being called a “</w:t>
      </w:r>
      <w:r>
        <w:rPr>
          <w:rFonts w:ascii="Arial" w:cs="Arial" w:eastAsia="Arial" w:hAnsi="Arial"/>
          <w:sz w:val="19"/>
          <w:szCs w:val="19"/>
          <w:b w:val="1"/>
          <w:bCs w:val="1"/>
          <w:i w:val="1"/>
          <w:iCs w:val="1"/>
          <w:color w:val="auto"/>
        </w:rPr>
        <w:t>Lender-Related Person</w:t>
      </w:r>
      <w:r>
        <w:rPr>
          <w:rFonts w:ascii="Arial" w:cs="Arial" w:eastAsia="Arial" w:hAnsi="Arial"/>
          <w:sz w:val="19"/>
          <w:szCs w:val="19"/>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shall relieve the Borrowers and each Credit Party of any obligation it may have to indemnify an Indemnitee, as provided in </w:t>
      </w:r>
      <w:r>
        <w:rPr>
          <w:rFonts w:ascii="Arial" w:cs="Arial" w:eastAsia="Arial" w:hAnsi="Arial"/>
          <w:sz w:val="19"/>
          <w:szCs w:val="19"/>
          <w:u w:val="single" w:color="auto"/>
          <w:color w:val="auto"/>
        </w:rPr>
        <w:t>Section 9.03(c)</w:t>
      </w:r>
      <w:r>
        <w:rPr>
          <w:rFonts w:ascii="Arial" w:cs="Arial" w:eastAsia="Arial" w:hAnsi="Arial"/>
          <w:sz w:val="19"/>
          <w:szCs w:val="19"/>
          <w:color w:val="auto"/>
        </w:rPr>
        <w:t>, against any special, indirect, consequential or punitive damages asserted against such Indemnitee by a third party.</w:t>
      </w:r>
    </w:p>
    <w:p>
      <w:pPr>
        <w:spacing w:after="0" w:line="185" w:lineRule="exact"/>
        <w:rPr>
          <w:rFonts w:ascii="Arial" w:cs="Arial" w:eastAsia="Arial" w:hAnsi="Arial"/>
          <w:sz w:val="19"/>
          <w:szCs w:val="19"/>
          <w:color w:val="auto"/>
        </w:rPr>
      </w:pPr>
    </w:p>
    <w:p>
      <w:pPr>
        <w:jc w:val="both"/>
        <w:ind w:firstLine="1304"/>
        <w:spacing w:after="0" w:line="285" w:lineRule="auto"/>
        <w:tabs>
          <w:tab w:leader="none" w:pos="1932"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The Borrowers shall indemnify the Administrative Agent, each Arranger, each Syndication Agent, each Co-Documentation Agent the Issuing Bank and each Lender, and each Related Party of any of the foregoing Persons (each such Person being called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any actual or alleged presence or release of Hazardous Materials on or from any property owned or operated by the Company or any of its Subsidiaries, or any Environmental Liability related in any way to the Company or any of its Subsidiaries, or any actual or prospective Proceeding relating to any of the foregoing, whether or not such Proceeding is brought by the Company or any other Credit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or (B) result from a claim brought by the Company or any other Credit Party against an Indemnitee for breach in bad faith of such Indemnitee’s obligations hereunder or under any other Loan Document, if the Company or such Credit Party has obtained a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28" w:right="339" w:bottom="1440" w:gutter="0" w:footer="0" w:header="0"/>
        </w:sectPr>
      </w:pPr>
    </w:p>
    <w:bookmarkStart w:id="197" w:name="page198"/>
    <w:bookmarkEnd w:id="197"/>
    <w:p>
      <w:pPr>
        <w:spacing w:after="0" w:line="343" w:lineRule="auto"/>
        <w:rPr>
          <w:sz w:val="20"/>
          <w:szCs w:val="20"/>
          <w:color w:val="auto"/>
        </w:rPr>
      </w:pPr>
      <w:r>
        <w:rPr>
          <w:rFonts w:ascii="Arial" w:cs="Arial" w:eastAsia="Arial" w:hAnsi="Arial"/>
          <w:sz w:val="19"/>
          <w:szCs w:val="19"/>
          <w:color w:val="auto"/>
        </w:rPr>
        <w:t xml:space="preserve">nonappealable judgement in its favor on such claim as determined by a court of competent jurisdiction. This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shall not apply with respect to Taxes other than any Taxes that represent losses, claims or damages arising from any non-Tax claim.</w:t>
      </w:r>
    </w:p>
    <w:p>
      <w:pPr>
        <w:spacing w:after="0" w:line="131" w:lineRule="exact"/>
        <w:rPr>
          <w:sz w:val="20"/>
          <w:szCs w:val="20"/>
          <w:color w:val="auto"/>
        </w:rPr>
      </w:pPr>
    </w:p>
    <w:p>
      <w:pPr>
        <w:jc w:val="both"/>
        <w:ind w:firstLine="1304"/>
        <w:spacing w:after="0" w:line="282" w:lineRule="auto"/>
        <w:tabs>
          <w:tab w:leader="none" w:pos="194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xml:space="preserve">. Each Lender severally agrees to pay any amount required to be paid by the Borrowers under paragraphs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to the Administrative Agent, the Issuing Bank and each Swingline Lender, and each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(to the extent not reimbursed by the Borrowers and without limiting the obligation of the Borrowers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willful misconduct or breach in bad faith of such Agent-Related Person’s obligations hereunder or any other Loan Document. The agreements in this Section shall survive the termination of this Agreement and the payment of the Loans and all other amounts payable hereunder.</w:t>
      </w:r>
    </w:p>
    <w:p>
      <w:pPr>
        <w:spacing w:after="0" w:line="13" w:lineRule="exact"/>
        <w:rPr>
          <w:rFonts w:ascii="Arial" w:cs="Arial" w:eastAsia="Arial" w:hAnsi="Arial"/>
          <w:sz w:val="19"/>
          <w:szCs w:val="19"/>
          <w:color w:val="auto"/>
        </w:rPr>
      </w:pPr>
    </w:p>
    <w:p>
      <w:pPr>
        <w:ind w:firstLine="1304"/>
        <w:spacing w:after="0" w:line="246" w:lineRule="auto"/>
        <w:tabs>
          <w:tab w:leader="none" w:pos="1932"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All amounts due under 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shall be payable not later than five (5) days after written demand therefor.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9" w:lineRule="auto"/>
        <w:tabs>
          <w:tab w:leader="none" w:pos="1932"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The provisions of this Agreement shall be binding upon and inure to the benefit of the parties hereto and their respective successors and assigns permitted hereby (including any Affiliate of the Issuing Bank that issues any Letter of Credit), except that the Borrowers may not assign or otherwise transfer any of their respective rights or obligations hereunder without the prior written consent of each Lender (and any attempted assignment or transfer by any Borrower without such consent shall be null and void) and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Section) and, to the extent expressly contemplated hereby,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28" w:right="339" w:bottom="1440" w:gutter="0" w:footer="0" w:header="0"/>
        </w:sectPr>
      </w:pPr>
    </w:p>
    <w:bookmarkStart w:id="198" w:name="page199"/>
    <w:bookmarkEnd w:id="198"/>
    <w:p>
      <w:pPr>
        <w:spacing w:after="0" w:line="263" w:lineRule="auto"/>
        <w:rPr>
          <w:sz w:val="20"/>
          <w:szCs w:val="20"/>
          <w:color w:val="auto"/>
        </w:rPr>
      </w:pPr>
      <w:r>
        <w:rPr>
          <w:rFonts w:ascii="Arial" w:cs="Arial" w:eastAsia="Arial" w:hAnsi="Arial"/>
          <w:sz w:val="22"/>
          <w:szCs w:val="22"/>
          <w:color w:val="auto"/>
        </w:rPr>
        <w:t>Related Parties of each of the Administrative Agent, the Issuing Bank and the Lenders) any legal or equitable right, remedy or claim under or by reason of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w:t>
      </w:r>
    </w:p>
    <w:p>
      <w:pPr>
        <w:spacing w:after="0" w:line="21" w:lineRule="exact"/>
        <w:rPr>
          <w:sz w:val="20"/>
          <w:szCs w:val="20"/>
          <w:color w:val="auto"/>
        </w:rPr>
      </w:pPr>
    </w:p>
    <w:p>
      <w:pPr>
        <w:jc w:val="both"/>
        <w:ind w:left="660" w:firstLine="1182"/>
        <w:spacing w:after="0" w:line="243" w:lineRule="auto"/>
        <w:rPr>
          <w:sz w:val="20"/>
          <w:szCs w:val="20"/>
          <w:color w:val="auto"/>
        </w:rPr>
      </w:pPr>
      <w:r>
        <w:rPr>
          <w:rFonts w:ascii="Arial" w:cs="Arial" w:eastAsia="Arial" w:hAnsi="Arial"/>
          <w:sz w:val="22"/>
          <w:szCs w:val="22"/>
          <w:color w:val="auto"/>
        </w:rPr>
        <w:t xml:space="preserve">i. Subject to the conditions set forth in paragraph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below, any Lender may assign to one or more assignees all or a portion of its rights and obligations under this Agreement (including all or a portion of its Revolving Commitment (if any) and the Loans at the time owing to it) with the prior written consent (such consent not to be unreasonably withheld) of:</w:t>
      </w:r>
    </w:p>
    <w:p>
      <w:pPr>
        <w:spacing w:after="0" w:line="1" w:lineRule="exact"/>
        <w:rPr>
          <w:sz w:val="20"/>
          <w:szCs w:val="20"/>
          <w:color w:val="auto"/>
        </w:rPr>
      </w:pPr>
    </w:p>
    <w:p>
      <w:pPr>
        <w:jc w:val="both"/>
        <w:ind w:left="1960" w:firstLine="1288"/>
        <w:spacing w:after="0" w:line="258" w:lineRule="auto"/>
        <w:tabs>
          <w:tab w:leader="none" w:pos="3892" w:val="left"/>
        </w:tabs>
        <w:numPr>
          <w:ilvl w:val="1"/>
          <w:numId w:val="188"/>
        </w:numPr>
        <w:rPr>
          <w:rFonts w:ascii="Arial" w:cs="Arial" w:eastAsia="Arial" w:hAnsi="Arial"/>
          <w:sz w:val="21"/>
          <w:szCs w:val="21"/>
          <w:color w:val="auto"/>
        </w:rPr>
      </w:pPr>
      <w:r>
        <w:rPr>
          <w:rFonts w:ascii="Arial" w:cs="Arial" w:eastAsia="Arial" w:hAnsi="Arial"/>
          <w:sz w:val="21"/>
          <w:szCs w:val="21"/>
          <w:color w:val="auto"/>
        </w:rPr>
        <w:t xml:space="preserve">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be deemed to have consented to any such assignment unless it shall object thereto by written notice to the Administrative Agent within five Business Days after having received written notice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 consent of the Company shall be required for an assignment to a Lender, an Affiliate of a Lender, an Approved Fund or, if an Event of Default has occurred and is continuing, any other assignee;</w:t>
      </w:r>
    </w:p>
    <w:p>
      <w:pPr>
        <w:spacing w:after="0" w:line="209" w:lineRule="exact"/>
        <w:rPr>
          <w:rFonts w:ascii="Arial" w:cs="Arial" w:eastAsia="Arial" w:hAnsi="Arial"/>
          <w:sz w:val="21"/>
          <w:szCs w:val="21"/>
          <w:color w:val="auto"/>
        </w:rPr>
      </w:pPr>
    </w:p>
    <w:p>
      <w:pPr>
        <w:jc w:val="both"/>
        <w:ind w:left="1960" w:firstLine="1288"/>
        <w:spacing w:after="0" w:line="253" w:lineRule="auto"/>
        <w:tabs>
          <w:tab w:leader="none" w:pos="3904" w:val="left"/>
        </w:tabs>
        <w:numPr>
          <w:ilvl w:val="1"/>
          <w:numId w:val="188"/>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of any Revolving Commitment to an assignee that is a Lender immediately prior to giving effect to such assignment; and</w:t>
      </w:r>
    </w:p>
    <w:p>
      <w:pPr>
        <w:spacing w:after="0" w:line="212" w:lineRule="exact"/>
        <w:rPr>
          <w:rFonts w:ascii="Arial" w:cs="Arial" w:eastAsia="Arial" w:hAnsi="Arial"/>
          <w:sz w:val="22"/>
          <w:szCs w:val="22"/>
          <w:color w:val="auto"/>
        </w:rPr>
      </w:pPr>
    </w:p>
    <w:p>
      <w:pPr>
        <w:ind w:left="3880" w:hanging="632"/>
        <w:spacing w:after="0"/>
        <w:tabs>
          <w:tab w:leader="none" w:pos="388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Issuing Bank and the Swingline Lender.</w:t>
      </w:r>
    </w:p>
    <w:p>
      <w:pPr>
        <w:spacing w:after="0" w:line="21" w:lineRule="exact"/>
        <w:rPr>
          <w:rFonts w:ascii="Arial" w:cs="Arial" w:eastAsia="Arial" w:hAnsi="Arial"/>
          <w:sz w:val="22"/>
          <w:szCs w:val="22"/>
          <w:color w:val="auto"/>
        </w:rPr>
      </w:pPr>
    </w:p>
    <w:p>
      <w:pPr>
        <w:ind w:left="2000" w:hanging="222"/>
        <w:spacing w:after="0"/>
        <w:tabs>
          <w:tab w:leader="none" w:pos="20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42" w:lineRule="exact"/>
        <w:rPr>
          <w:rFonts w:ascii="Arial" w:cs="Arial" w:eastAsia="Arial" w:hAnsi="Arial"/>
          <w:sz w:val="22"/>
          <w:szCs w:val="22"/>
          <w:color w:val="auto"/>
        </w:rPr>
      </w:pPr>
    </w:p>
    <w:p>
      <w:pPr>
        <w:jc w:val="both"/>
        <w:ind w:left="1960" w:firstLine="1288"/>
        <w:spacing w:after="0" w:line="289" w:lineRule="auto"/>
        <w:tabs>
          <w:tab w:leader="none" w:pos="389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the lesser of $5,000,000 or the remaining amount of the assigning Lender’s Revolving Commitment (calculated as of the date of such assignment), if any, and outstanding Loans, unless each of the Company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Company shall be required if an Event of Default has occurred and is continuing;</w:t>
      </w:r>
    </w:p>
    <w:p>
      <w:pPr>
        <w:spacing w:after="0" w:line="183" w:lineRule="exact"/>
        <w:rPr>
          <w:rFonts w:ascii="Arial" w:cs="Arial" w:eastAsia="Arial" w:hAnsi="Arial"/>
          <w:sz w:val="19"/>
          <w:szCs w:val="19"/>
          <w:color w:val="auto"/>
        </w:rPr>
      </w:pPr>
    </w:p>
    <w:p>
      <w:pPr>
        <w:jc w:val="both"/>
        <w:ind w:left="1960" w:firstLine="1288"/>
        <w:spacing w:after="0" w:line="250" w:lineRule="auto"/>
        <w:tabs>
          <w:tab w:leader="none" w:pos="3904"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except in the case of an assignment to a Lender, an Affiliate of a Lender or an Approved Fund, each partial assignment shall be made as an assignment of a proportionate part of all the assigning Lender’s rights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shall not be construed to prohibit the assignment of a proportionate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28" w:right="339" w:bottom="1440" w:gutter="0" w:footer="0" w:header="0"/>
        </w:sectPr>
      </w:pPr>
    </w:p>
    <w:bookmarkStart w:id="199" w:name="page200"/>
    <w:bookmarkEnd w:id="199"/>
    <w:p>
      <w:pPr>
        <w:ind w:left="840"/>
        <w:spacing w:after="0" w:line="263" w:lineRule="auto"/>
        <w:rPr>
          <w:sz w:val="20"/>
          <w:szCs w:val="20"/>
          <w:color w:val="auto"/>
        </w:rPr>
      </w:pPr>
      <w:r>
        <w:rPr>
          <w:rFonts w:ascii="Arial" w:cs="Arial" w:eastAsia="Arial" w:hAnsi="Arial"/>
          <w:sz w:val="22"/>
          <w:szCs w:val="22"/>
          <w:color w:val="auto"/>
        </w:rPr>
        <w:t>part of all the assigning Lender’s rights and obligations in respect of one Class of Revolving Commitments or Loans;</w:t>
      </w:r>
    </w:p>
    <w:p>
      <w:pPr>
        <w:spacing w:after="0" w:line="202" w:lineRule="exact"/>
        <w:rPr>
          <w:sz w:val="20"/>
          <w:szCs w:val="20"/>
          <w:color w:val="auto"/>
        </w:rPr>
      </w:pPr>
    </w:p>
    <w:p>
      <w:pPr>
        <w:ind w:left="2760" w:hanging="632"/>
        <w:spacing w:after="0"/>
        <w:tabs>
          <w:tab w:leader="none" w:pos="276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Administrative Agent</w:t>
      </w:r>
    </w:p>
    <w:p>
      <w:pPr>
        <w:spacing w:after="0" w:line="55" w:lineRule="exact"/>
        <w:rPr>
          <w:rFonts w:ascii="Arial" w:cs="Arial" w:eastAsia="Arial" w:hAnsi="Arial"/>
          <w:sz w:val="19"/>
          <w:szCs w:val="19"/>
          <w:color w:val="auto"/>
        </w:rPr>
      </w:pPr>
    </w:p>
    <w:p>
      <w:pPr>
        <w:jc w:val="both"/>
        <w:ind w:left="840" w:hanging="8"/>
        <w:spacing w:after="0" w:line="244" w:lineRule="auto"/>
        <w:tabs>
          <w:tab w:leader="none" w:pos="1205"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 Assignment and Assumption, or (2)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w:t>
      </w:r>
    </w:p>
    <w:p>
      <w:pPr>
        <w:spacing w:after="0" w:line="222" w:lineRule="exact"/>
        <w:rPr>
          <w:rFonts w:ascii="Arial" w:cs="Arial" w:eastAsia="Arial" w:hAnsi="Arial"/>
          <w:sz w:val="22"/>
          <w:szCs w:val="22"/>
          <w:color w:val="auto"/>
        </w:rPr>
      </w:pPr>
    </w:p>
    <w:p>
      <w:pPr>
        <w:ind w:left="840" w:firstLine="1288"/>
        <w:spacing w:after="0" w:line="263" w:lineRule="auto"/>
        <w:tabs>
          <w:tab w:leader="none" w:pos="278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w:t>
      </w:r>
    </w:p>
    <w:p>
      <w:pPr>
        <w:spacing w:after="0" w:line="201" w:lineRule="exact"/>
        <w:rPr>
          <w:rFonts w:ascii="Arial" w:cs="Arial" w:eastAsia="Arial" w:hAnsi="Arial"/>
          <w:sz w:val="22"/>
          <w:szCs w:val="22"/>
          <w:color w:val="auto"/>
        </w:rPr>
      </w:pPr>
    </w:p>
    <w:p>
      <w:pPr>
        <w:ind w:left="840" w:firstLine="1288"/>
        <w:spacing w:after="0" w:line="343" w:lineRule="auto"/>
        <w:tabs>
          <w:tab w:leader="none" w:pos="2772"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the assignee shall deliver to the Administrative Agent, the Withholding Agent and/or the Company, as applicable, any documentation required by subsections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2.17</w:t>
      </w:r>
      <w:r>
        <w:rPr>
          <w:rFonts w:ascii="Arial" w:cs="Arial" w:eastAsia="Arial" w:hAnsi="Arial"/>
          <w:sz w:val="19"/>
          <w:szCs w:val="19"/>
          <w:color w:val="auto"/>
        </w:rPr>
        <w:t>; and</w:t>
      </w:r>
    </w:p>
    <w:p>
      <w:pPr>
        <w:spacing w:after="0" w:line="144" w:lineRule="exact"/>
        <w:rPr>
          <w:rFonts w:ascii="Arial" w:cs="Arial" w:eastAsia="Arial" w:hAnsi="Arial"/>
          <w:sz w:val="19"/>
          <w:szCs w:val="19"/>
          <w:color w:val="auto"/>
        </w:rPr>
      </w:pPr>
    </w:p>
    <w:p>
      <w:pPr>
        <w:jc w:val="both"/>
        <w:ind w:left="840" w:firstLine="1288"/>
        <w:spacing w:after="0" w:line="248" w:lineRule="auto"/>
        <w:tabs>
          <w:tab w:leader="none" w:pos="2775" w:val="left"/>
        </w:tabs>
        <w:numPr>
          <w:ilvl w:val="1"/>
          <w:numId w:val="191"/>
        </w:numPr>
        <w:rPr>
          <w:rFonts w:ascii="Arial" w:cs="Arial" w:eastAsia="Arial" w:hAnsi="Arial"/>
          <w:sz w:val="22"/>
          <w:szCs w:val="22"/>
          <w:color w:val="auto"/>
        </w:rPr>
      </w:pPr>
      <w:r>
        <w:rPr>
          <w:rFonts w:ascii="Arial" w:cs="Arial" w:eastAsia="Arial" w:hAnsi="Arial"/>
          <w:sz w:val="22"/>
          <w:szCs w:val="22"/>
          <w:color w:val="auto"/>
        </w:rPr>
        <w:t>no assignment shall be made to a natural person (or a holding company, investment vehicle or trust for, or owned or operated for the primary benefit of, a natural person), the Company or any of the Company’s Affiliates or Subsidiaries or to any Defaulting Lender or any of its Subsidiaries, or any Person who, upon becoming a Lender hereunder, would constitute a Defaulting Lender or a Subsidiary thereof.</w:t>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(b)</w:t>
      </w:r>
      <w:r>
        <w:rPr>
          <w:rFonts w:ascii="Arial" w:cs="Arial" w:eastAsia="Arial" w:hAnsi="Arial"/>
          <w:sz w:val="22"/>
          <w:szCs w:val="22"/>
          <w:color w:val="auto"/>
        </w:rPr>
        <w:t>, the term “</w:t>
      </w:r>
      <w:r>
        <w:rPr>
          <w:rFonts w:ascii="Arial" w:cs="Arial" w:eastAsia="Arial" w:hAnsi="Arial"/>
          <w:sz w:val="22"/>
          <w:szCs w:val="22"/>
          <w:u w:val="single" w:color="auto"/>
          <w:color w:val="auto"/>
        </w:rPr>
        <w:t>Approved Fund</w:t>
      </w:r>
      <w:r>
        <w:rPr>
          <w:rFonts w:ascii="Arial" w:cs="Arial" w:eastAsia="Arial" w:hAnsi="Arial"/>
          <w:sz w:val="22"/>
          <w:szCs w:val="22"/>
          <w:color w:val="auto"/>
        </w:rPr>
        <w:t>” has the following meaning:</w:t>
      </w:r>
    </w:p>
    <w:p>
      <w:pPr>
        <w:spacing w:after="0" w:line="247" w:lineRule="exact"/>
        <w:rPr>
          <w:sz w:val="20"/>
          <w:szCs w:val="20"/>
          <w:color w:val="auto"/>
        </w:rPr>
      </w:pPr>
    </w:p>
    <w:p>
      <w:pPr>
        <w:jc w:val="both"/>
        <w:ind w:left="84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Fund</w:t>
      </w:r>
      <w:r>
        <w:rPr>
          <w:rFonts w:ascii="Arial" w:cs="Arial" w:eastAsia="Arial" w:hAnsi="Arial"/>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2" w:lineRule="exact"/>
        <w:rPr>
          <w:sz w:val="20"/>
          <w:szCs w:val="20"/>
          <w:color w:val="auto"/>
        </w:rPr>
      </w:pPr>
    </w:p>
    <w:p>
      <w:pPr>
        <w:jc w:val="both"/>
        <w:ind w:left="-460" w:firstLine="1058"/>
        <w:spacing w:after="0" w:line="259" w:lineRule="auto"/>
        <w:tabs>
          <w:tab w:leader="none" w:pos="903"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paragraph </w:t>
      </w:r>
      <w:r>
        <w:rPr>
          <w:rFonts w:ascii="Arial" w:cs="Arial" w:eastAsia="Arial" w:hAnsi="Arial"/>
          <w:sz w:val="21"/>
          <w:szCs w:val="21"/>
          <w:u w:val="single" w:color="auto"/>
          <w:color w:val="auto"/>
        </w:rPr>
        <w:t>(b)(iv)</w:t>
      </w:r>
      <w:r>
        <w:rPr>
          <w:rFonts w:ascii="Arial" w:cs="Arial" w:eastAsia="Arial" w:hAnsi="Arial"/>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9.03</w:t>
      </w:r>
      <w:r>
        <w:rPr>
          <w:rFonts w:ascii="Arial" w:cs="Arial" w:eastAsia="Arial" w:hAnsi="Arial"/>
          <w:sz w:val="21"/>
          <w:szCs w:val="21"/>
          <w:color w:val="auto"/>
        </w:rPr>
        <w:t>). Any assignment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0120"/>
          </w:cols>
          <w:pgMar w:left="1440" w:top="1428" w:right="339" w:bottom="1440" w:gutter="0" w:footer="0" w:header="0"/>
        </w:sectPr>
      </w:pPr>
    </w:p>
    <w:bookmarkStart w:id="200" w:name="page201"/>
    <w:bookmarkEnd w:id="200"/>
    <w:p>
      <w:pPr>
        <w:jc w:val="both"/>
        <w:ind w:left="4"/>
        <w:spacing w:after="0" w:line="249" w:lineRule="auto"/>
        <w:rPr>
          <w:sz w:val="20"/>
          <w:szCs w:val="20"/>
          <w:color w:val="auto"/>
        </w:rPr>
      </w:pPr>
      <w:r>
        <w:rPr>
          <w:rFonts w:ascii="Arial" w:cs="Arial" w:eastAsia="Arial" w:hAnsi="Arial"/>
          <w:sz w:val="22"/>
          <w:szCs w:val="22"/>
          <w:color w:val="auto"/>
        </w:rPr>
        <w:t xml:space="preserve">by a Lender of rights or obligations under this Agreement that does not comply with this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shall be treated for purposes of this Agreement as a sale by such Lender of a participation in such rights and obligations in accordance with paragraph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Section.</w:t>
      </w:r>
    </w:p>
    <w:p>
      <w:pPr>
        <w:jc w:val="both"/>
        <w:ind w:left="4" w:firstLine="1070"/>
        <w:spacing w:after="0" w:line="287" w:lineRule="auto"/>
        <w:tabs>
          <w:tab w:leader="none" w:pos="13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Company, shall maintain at one of its offices a copy of each Assignment and Assumption delivered to it and a register for the recordation of the names and addresses of the Lenders, and the Revolving Commitment of, and principal amount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Borrowers,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6" w:lineRule="exact"/>
        <w:rPr>
          <w:rFonts w:ascii="Arial" w:cs="Arial" w:eastAsia="Arial" w:hAnsi="Arial"/>
          <w:sz w:val="19"/>
          <w:szCs w:val="19"/>
          <w:color w:val="auto"/>
        </w:rPr>
      </w:pPr>
    </w:p>
    <w:p>
      <w:pPr>
        <w:jc w:val="both"/>
        <w:ind w:left="4" w:firstLine="1130"/>
        <w:spacing w:after="0" w:line="288" w:lineRule="auto"/>
        <w:tabs>
          <w:tab w:leader="none" w:pos="13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and any written consent to such assignment required by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2.06(e)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9.03(c)</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w:t>
      </w:r>
    </w:p>
    <w:p>
      <w:pPr>
        <w:spacing w:after="0" w:line="21" w:lineRule="exact"/>
        <w:rPr>
          <w:sz w:val="20"/>
          <w:szCs w:val="20"/>
          <w:color w:val="auto"/>
        </w:rPr>
      </w:pPr>
    </w:p>
    <w:p>
      <w:pPr>
        <w:jc w:val="both"/>
        <w:ind w:left="4" w:firstLine="1182"/>
        <w:spacing w:after="0" w:line="281" w:lineRule="auto"/>
        <w:rPr>
          <w:sz w:val="20"/>
          <w:szCs w:val="20"/>
          <w:color w:val="auto"/>
        </w:rPr>
      </w:pPr>
      <w:r>
        <w:rPr>
          <w:rFonts w:ascii="Arial" w:cs="Arial" w:eastAsia="Arial" w:hAnsi="Arial"/>
          <w:sz w:val="19"/>
          <w:szCs w:val="19"/>
          <w:color w:val="auto"/>
        </w:rPr>
        <w:t>i. Any Lender may, without the consent or notice to of the Borrowers, the Administrative Agent, the Issuing Bank or the Swingline Lender,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Revolving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w:t>
      </w:r>
    </w:p>
    <w:p>
      <w:pPr>
        <w:spacing w:after="0" w:line="3" w:lineRule="exact"/>
        <w:rPr>
          <w:sz w:val="20"/>
          <w:szCs w:val="20"/>
          <w:color w:val="auto"/>
        </w:rPr>
      </w:pPr>
    </w:p>
    <w:p>
      <w:pPr>
        <w:ind w:left="364" w:hanging="364"/>
        <w:spacing w:after="0"/>
        <w:tabs>
          <w:tab w:leader="none" w:pos="36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such Lender shall remain solely responsible to the other parties hereto for the performance of such obligations and</w:t>
      </w:r>
    </w:p>
    <w:p>
      <w:pPr>
        <w:spacing w:after="0" w:line="38" w:lineRule="exact"/>
        <w:rPr>
          <w:rFonts w:ascii="Arial" w:cs="Arial" w:eastAsia="Arial" w:hAnsi="Arial"/>
          <w:sz w:val="19"/>
          <w:szCs w:val="19"/>
          <w:color w:val="auto"/>
        </w:rPr>
      </w:pPr>
    </w:p>
    <w:p>
      <w:pPr>
        <w:jc w:val="both"/>
        <w:ind w:left="4" w:hanging="4"/>
        <w:spacing w:after="0" w:line="244" w:lineRule="auto"/>
        <w:tabs>
          <w:tab w:leader="none" w:pos="349"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the Borrowers, the Administrative Agent, the Issuing Bank and the other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0584"/>
          </w:cols>
          <w:pgMar w:left="976" w:top="1428" w:right="339" w:bottom="1440" w:gutter="0" w:footer="0" w:header="0"/>
        </w:sectPr>
      </w:pPr>
    </w:p>
    <w:bookmarkStart w:id="201" w:name="page202"/>
    <w:bookmarkEnd w:id="201"/>
    <w:p>
      <w:pPr>
        <w:jc w:val="both"/>
        <w:ind w:left="660"/>
        <w:spacing w:after="0" w:line="286" w:lineRule="auto"/>
        <w:rPr>
          <w:sz w:val="20"/>
          <w:szCs w:val="20"/>
          <w:color w:val="auto"/>
        </w:rPr>
      </w:pPr>
      <w:r>
        <w:rPr>
          <w:rFonts w:ascii="Arial" w:cs="Arial" w:eastAsia="Arial" w:hAnsi="Arial"/>
          <w:sz w:val="19"/>
          <w:szCs w:val="19"/>
          <w:color w:val="auto"/>
        </w:rPr>
        <w:t xml:space="preserve">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paragraph </w:t>
      </w:r>
      <w:r>
        <w:rPr>
          <w:rFonts w:ascii="Arial" w:cs="Arial" w:eastAsia="Arial" w:hAnsi="Arial"/>
          <w:sz w:val="19"/>
          <w:szCs w:val="19"/>
          <w:u w:val="single" w:color="auto"/>
          <w:color w:val="auto"/>
        </w:rPr>
        <w:t>(c)(ii)</w:t>
      </w:r>
      <w:r>
        <w:rPr>
          <w:rFonts w:ascii="Arial" w:cs="Arial" w:eastAsia="Arial" w:hAnsi="Arial"/>
          <w:sz w:val="19"/>
          <w:szCs w:val="19"/>
          <w:color w:val="auto"/>
        </w:rPr>
        <w:t xml:space="preserve"> of this Section, the Borrowers agree that each Participant shall be entitled to the benefits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to the same extent as if it were a Lender and had acquired its interest by assignment pursuant to paragraph</w:t>
      </w:r>
    </w:p>
    <w:p>
      <w:pPr>
        <w:spacing w:after="0" w:line="3" w:lineRule="exact"/>
        <w:rPr>
          <w:sz w:val="20"/>
          <w:szCs w:val="20"/>
          <w:color w:val="auto"/>
        </w:rPr>
      </w:pPr>
    </w:p>
    <w:p>
      <w:pPr>
        <w:ind w:left="660" w:hanging="4"/>
        <w:spacing w:after="0" w:line="323" w:lineRule="auto"/>
        <w:tabs>
          <w:tab w:leader="none" w:pos="969" w:val="left"/>
        </w:tabs>
        <w:numPr>
          <w:ilvl w:val="0"/>
          <w:numId w:val="195"/>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w:t>
      </w:r>
    </w:p>
    <w:p>
      <w:pPr>
        <w:spacing w:after="0" w:line="149" w:lineRule="exact"/>
        <w:rPr>
          <w:rFonts w:ascii="Arial" w:cs="Arial" w:eastAsia="Arial" w:hAnsi="Arial"/>
          <w:sz w:val="19"/>
          <w:szCs w:val="19"/>
          <w:u w:val="single" w:color="auto"/>
          <w:color w:val="auto"/>
        </w:rPr>
      </w:pPr>
    </w:p>
    <w:p>
      <w:pPr>
        <w:jc w:val="both"/>
        <w:ind w:left="660" w:firstLine="1118"/>
        <w:spacing w:after="0" w:line="284" w:lineRule="auto"/>
        <w:tabs>
          <w:tab w:leader="none" w:pos="2037" w:val="left"/>
        </w:tabs>
        <w:numPr>
          <w:ilvl w:val="2"/>
          <w:numId w:val="195"/>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or a non-resident of Canada for purposes of the ITA in the case of any participation of rights and/or obligations with respect to a Canadian Borrower, shall not be entitled to the benefits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unless the Borrowers are notified of the participation sold to such Participant and such Participant agrees, for the benefit of the Borrowers, to comply with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as though it were a Lender.</w:t>
      </w:r>
    </w:p>
    <w:p>
      <w:pPr>
        <w:spacing w:after="0" w:line="3" w:lineRule="exact"/>
        <w:rPr>
          <w:rFonts w:ascii="Arial" w:cs="Arial" w:eastAsia="Arial" w:hAnsi="Arial"/>
          <w:sz w:val="19"/>
          <w:szCs w:val="19"/>
          <w:color w:val="auto"/>
        </w:rPr>
      </w:pPr>
    </w:p>
    <w:p>
      <w:pPr>
        <w:jc w:val="both"/>
        <w:ind w:left="660" w:firstLine="1058"/>
        <w:spacing w:after="0" w:line="285" w:lineRule="auto"/>
        <w:tabs>
          <w:tab w:leader="none" w:pos="2023" w:val="left"/>
        </w:tabs>
        <w:numPr>
          <w:ilvl w:val="2"/>
          <w:numId w:val="195"/>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rFonts w:ascii="Arial" w:cs="Arial" w:eastAsia="Arial" w:hAnsi="Arial"/>
          <w:sz w:val="19"/>
          <w:szCs w:val="19"/>
          <w:color w:val="auto"/>
        </w:rPr>
      </w:pPr>
    </w:p>
    <w:p>
      <w:pPr>
        <w:jc w:val="both"/>
        <w:ind w:firstLine="1304"/>
        <w:spacing w:after="0" w:line="248" w:lineRule="auto"/>
        <w:tabs>
          <w:tab w:leader="none" w:pos="1944" w:val="left"/>
        </w:tabs>
        <w:numPr>
          <w:ilvl w:val="1"/>
          <w:numId w:val="195"/>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28" w:right="339" w:bottom="1440" w:gutter="0" w:footer="0" w:header="0"/>
        </w:sectPr>
      </w:pPr>
    </w:p>
    <w:bookmarkStart w:id="202" w:name="page203"/>
    <w:bookmarkEnd w:id="202"/>
    <w:p>
      <w:pPr>
        <w:jc w:val="both"/>
        <w:ind w:firstLine="648"/>
        <w:spacing w:after="0" w:line="246"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Disclosure</w:t>
      </w:r>
      <w:r>
        <w:rPr>
          <w:rFonts w:ascii="Arial" w:cs="Arial" w:eastAsia="Arial" w:hAnsi="Arial"/>
          <w:sz w:val="22"/>
          <w:szCs w:val="22"/>
          <w:color w:val="auto"/>
        </w:rPr>
        <w:t>. The Borrowers and each Lender hereby acknowledge and agree that one or more Affiliates of JPMorgan Chase are or may become direct or indirect equity investors in the Company, and JPMorgan Chase and/or its Affiliates from time to time may hold other investments in, make other loans to or have other relationships with the Company, and waive any liability of JPMorgan Chase or such Affiliate to the Company or any Lender, respectively, arising out of or resulting from such investments, loans or relationships other than liabilities arising out of the gross negligence or willful misconduct of JPMorgan Chase or its Affiliates, in each case, as determined by a court of competent jurisdiction by final and non-appealable judgment.</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Revolving Commitments have not expired or terminated.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28" w:right="339" w:bottom="1440" w:gutter="0" w:footer="0" w:header="0"/>
        </w:sectPr>
      </w:pPr>
    </w:p>
    <w:bookmarkStart w:id="203" w:name="page204"/>
    <w:bookmarkEnd w:id="203"/>
    <w:p>
      <w:pPr>
        <w:jc w:val="both"/>
        <w:ind w:firstLine="1304"/>
        <w:spacing w:after="0" w:line="283" w:lineRule="auto"/>
        <w:tabs>
          <w:tab w:leader="none" w:pos="194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to the extent the Administrative Agent has agreed to accept any Electronic Signature, the Administrative Agent and each of the Lenders shall be entitled to rely on such Electronic Signature purportedly given by or on behalf of the Borrowers or any other Credit Party without further verification thereof and without any obligation to review the appearance or form of any such Electronic Signature and upon the request of the Administrative Agent or any Lender, any Electronic Signature shall be promptly followed by a manually executed counterpart. Without limiting the generality of the foregoing, the Borrowers and any other Credit Party hereby agrees that, for all purposes, including without limitation, in connection with any workout, restructuring, enforcement of remedies, bankruptcy proceedings or litigation among the Administrative Agent, the Lenders, the Borrowers and the Credit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63" w:lineRule="auto"/>
        <w:rPr>
          <w:sz w:val="20"/>
          <w:szCs w:val="20"/>
          <w:color w:val="auto"/>
        </w:rPr>
      </w:pPr>
      <w:r>
        <w:rPr>
          <w:rFonts w:ascii="Arial" w:cs="Arial" w:eastAsia="Arial" w:hAnsi="Arial"/>
          <w:sz w:val="22"/>
          <w:szCs w:val="22"/>
          <w:color w:val="auto"/>
        </w:rPr>
        <w:t>result of the failure of the Borrowers and/or any Credit Party to use any available security measures in connection with the execution, delivery or transmission of any Electronic Signature.</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9.09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the Issuing Bank or any such Affiliate to or for the credit or the account of the Borrowers against any of and all the obligations of the Borrowers now or hereafter existing under this Agreement or any other Loan Document to such Lender, the Issuing Bank or such Affiliate, irrespective of whether or not such Lender, the Issuing Bank or such Affiliate shall have made any demand under this Agreement or any other Loan Document and although such obligations 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2.20(f)</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Issuing Bank and the Lenders, and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each Issuing Bank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w:t>
      </w:r>
    </w:p>
    <w:p>
      <w:pPr>
        <w:spacing w:after="0" w:line="220" w:lineRule="exact"/>
        <w:rPr>
          <w:sz w:val="20"/>
          <w:szCs w:val="20"/>
          <w:color w:val="auto"/>
        </w:rPr>
      </w:pPr>
    </w:p>
    <w:p>
      <w:pPr>
        <w:ind w:left="1940" w:hanging="636"/>
        <w:spacing w:after="0"/>
        <w:tabs>
          <w:tab w:leader="none" w:pos="19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This Agreement shall be construed in accordance with and governed by the law of the State of Oklahoma.</w:t>
      </w:r>
    </w:p>
    <w:p>
      <w:pPr>
        <w:spacing w:after="0" w:line="254" w:lineRule="exact"/>
        <w:rPr>
          <w:rFonts w:ascii="Arial" w:cs="Arial" w:eastAsia="Arial" w:hAnsi="Arial"/>
          <w:sz w:val="19"/>
          <w:szCs w:val="19"/>
          <w:color w:val="auto"/>
        </w:rPr>
      </w:pPr>
    </w:p>
    <w:p>
      <w:pPr>
        <w:jc w:val="both"/>
        <w:ind w:firstLine="1304"/>
        <w:spacing w:after="0" w:line="302" w:lineRule="auto"/>
        <w:tabs>
          <w:tab w:leader="none" w:pos="194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Borrower hereby irrevocably and unconditionally submits, for itself and its property, to the nonexclusive jurisdiction of any United States federal court or Oklahoma state court sitting in Tulsa, Oklahoma, and any appellate court from any thereof, in any action or proceeding arising out of or relating to this Agreement, or for recognition or enforcement of any judgment, and each of the parties hereto hereby irrevocably and unconditionally agrees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205" w:name="page206"/>
    <w:bookmarkEnd w:id="205"/>
    <w:p>
      <w:pPr>
        <w:jc w:val="both"/>
        <w:spacing w:after="0" w:line="297" w:lineRule="auto"/>
        <w:rPr>
          <w:sz w:val="20"/>
          <w:szCs w:val="20"/>
          <w:color w:val="auto"/>
        </w:rPr>
      </w:pPr>
      <w:r>
        <w:rPr>
          <w:rFonts w:ascii="Arial" w:cs="Arial" w:eastAsia="Arial" w:hAnsi="Arial"/>
          <w:sz w:val="19"/>
          <w:szCs w:val="19"/>
          <w:color w:val="auto"/>
        </w:rPr>
        <w:t>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Borrowers or any of their properties in the courts of any jurisdiction.</w:t>
      </w:r>
    </w:p>
    <w:p>
      <w:pPr>
        <w:spacing w:after="0" w:line="174" w:lineRule="exact"/>
        <w:rPr>
          <w:sz w:val="20"/>
          <w:szCs w:val="20"/>
          <w:color w:val="auto"/>
        </w:rPr>
      </w:pPr>
    </w:p>
    <w:p>
      <w:pPr>
        <w:jc w:val="both"/>
        <w:ind w:firstLine="1304"/>
        <w:spacing w:after="0" w:line="248" w:lineRule="auto"/>
        <w:tabs>
          <w:tab w:leader="none" w:pos="1932"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218"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7" w:lineRule="auto"/>
        <w:tabs>
          <w:tab w:leader="none" w:pos="193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Each of the Administrative Agent, the Issuing Bank and the Lenders agrees to maintain the confidentiality of the Information (as defined below), except that Information may be disclosed to its and its Affiliates’ and Approved Funds’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extent requested by any regulatory authority, to the extent required by applicable laws or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28" w:right="339" w:bottom="1440" w:gutter="0" w:footer="0" w:header="0"/>
        </w:sectPr>
      </w:pPr>
    </w:p>
    <w:bookmarkStart w:id="206" w:name="page207"/>
    <w:bookmarkEnd w:id="206"/>
    <w:p>
      <w:pPr>
        <w:jc w:val="both"/>
        <w:spacing w:after="0" w:line="286" w:lineRule="auto"/>
        <w:rPr>
          <w:sz w:val="20"/>
          <w:szCs w:val="20"/>
          <w:color w:val="auto"/>
        </w:rPr>
      </w:pPr>
      <w:r>
        <w:rPr>
          <w:rFonts w:ascii="Arial" w:cs="Arial" w:eastAsia="Arial" w:hAnsi="Arial"/>
          <w:sz w:val="19"/>
          <w:szCs w:val="19"/>
          <w:color w:val="auto"/>
        </w:rPr>
        <w:t>by any subpoena or similar legal process, to any other party to this Agreement, in connection with the exercise of any remedies hereunder or any suit, action or proceeding relating to this Agreement or the enforcement of rights hereunder, subject to an agreement containing provisions substantially the same as those of this Section, to any assignee of or Participant in, or any prospective assignee of or Participant in, any of its rights or obligations under this Agreement or any actual or prospective counterparty (or its advisors) to any swap or derivative transaction relating to the Borrowers and their obligations, with the consent of the Borrowers or to the extent such Information becomes publicly available other than as a result of a breach of this Section or becomes available to the Administrative Agent, the Issuing Bank or any Lender on a non-confidential basis from a source other than the Borrowers.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2" w:lineRule="exact"/>
        <w:rPr>
          <w:sz w:val="20"/>
          <w:szCs w:val="20"/>
          <w:color w:val="auto"/>
        </w:rPr>
      </w:pPr>
    </w:p>
    <w:p>
      <w:pPr>
        <w:ind w:left="1960" w:hanging="656"/>
        <w:spacing w:after="0"/>
        <w:tabs>
          <w:tab w:leader="none" w:pos="196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EACH LENDER ACKNOWLEDGES THAT INFORMATION AS DEFINED IN </w:t>
      </w:r>
      <w:r>
        <w:rPr>
          <w:rFonts w:ascii="Arial" w:cs="Arial" w:eastAsia="Arial" w:hAnsi="Arial"/>
          <w:sz w:val="22"/>
          <w:szCs w:val="22"/>
          <w:u w:val="single" w:color="auto"/>
          <w:color w:val="auto"/>
        </w:rPr>
        <w:t>SECTION 9.13(a)</w:t>
      </w:r>
    </w:p>
    <w:p>
      <w:pPr>
        <w:spacing w:after="0" w:line="21" w:lineRule="exact"/>
        <w:rPr>
          <w:rFonts w:ascii="Arial" w:cs="Arial" w:eastAsia="Arial" w:hAnsi="Arial"/>
          <w:sz w:val="22"/>
          <w:szCs w:val="22"/>
          <w:color w:val="auto"/>
        </w:rPr>
      </w:pPr>
    </w:p>
    <w:p>
      <w:pPr>
        <w:jc w:val="both"/>
        <w:spacing w:after="0" w:line="258" w:lineRule="auto"/>
        <w:rPr>
          <w:rFonts w:ascii="Arial" w:cs="Arial" w:eastAsia="Arial" w:hAnsi="Arial"/>
          <w:sz w:val="22"/>
          <w:szCs w:val="22"/>
          <w:color w:val="auto"/>
        </w:rPr>
      </w:pPr>
      <w:r>
        <w:rPr>
          <w:rFonts w:ascii="Arial" w:cs="Arial" w:eastAsia="Arial" w:hAnsi="Arial"/>
          <w:sz w:val="21"/>
          <w:szCs w:val="21"/>
          <w:color w:val="auto"/>
        </w:rPr>
        <w:t>FURNISHED TO IT PURSUANT TO THIS AGREEMENT MAY INCLUDE MATERIAL NON-PUBLIC INFORMATION CONCERNING THE BORROWER AND ITS RELATED PARTIES OR THEIR RESPECTIVE SECURITIES,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207" w:name="page208"/>
    <w:bookmarkEnd w:id="207"/>
    <w:p>
      <w:pPr>
        <w:jc w:val="both"/>
        <w:ind w:firstLine="648"/>
        <w:spacing w:after="0" w:line="286"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No Fiduciary Duty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Company, for itself and the other Credit Parties, acknowledges and agrees that: the arranging and other services regarding this Agreement provided by the Lenders are arm’s-length commercial transactions between the Company and its Affiliates, on the one hand, and the Lenders, on the other hand, the Company has consulted its own legal, accounting, regulatory and tax advisors to the extent it has deemed appropriate, and the Company is capable of evaluating, and understands and accepts, the terms, risks and conditions of the transactions contemplated hereby and by the other Loan Documents; each of the Lenders is and has been acting solely as a principal and, except as expressly agreed in writing by the relevant parties, has not been, is not, and will not be acting as an advisor, agent or fiduciary for the Company or any of its Affiliates, or any other Person and no Lender has any obligation to the Company or any of its Affiliates with respect to the transactions contemplated hereby except those obligations expressly set forth herein and in the other Loan Documents; and each of the Lenders and their respective Affiliates may be engaged in a broad range of transactions that involve interests that differ from those of the Company and its Affiliates, and no Lender has any obligation to disclose any of such interests to the Company or its Affiliates. To the fullest extent permitted by law, the Company, for itself and the other Credit Parties, hereby waives and releases any claims that it may have against each of the Lenders with respect to any breach or alleged breach of agency or fiduciary duty in connection with any aspect of any transaction contemplated hereby.</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that is subject to the requirements of the USA Patriot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hereby notifies the Borrowers that pursuant to the requirements of the Patriot Act, it is required to obtain, verify and record information that identifies the Borrowers, which information includes the name and address of the Borrowers and other information that will allow such Lender to identify the Borrowers in accordance with the Patriot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9.17 </w:t>
      </w:r>
      <w:r>
        <w:rPr>
          <w:rFonts w:ascii="Arial" w:cs="Arial" w:eastAsia="Arial" w:hAnsi="Arial"/>
          <w:sz w:val="22"/>
          <w:szCs w:val="22"/>
          <w:u w:val="single" w:color="auto"/>
          <w:color w:val="auto"/>
        </w:rPr>
        <w:t>Judgment Currency Conversion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8" w:lineRule="auto"/>
        <w:tabs>
          <w:tab w:leader="none" w:pos="1932"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obligations of the Borrowers or any of the other Credit Parties hereunder and under the other Loan Documents to make payments in U.S. Dollars or in Foreign Currencies, as the case may be (the “</w:t>
      </w:r>
      <w:r>
        <w:rPr>
          <w:rFonts w:ascii="Arial" w:cs="Arial" w:eastAsia="Arial" w:hAnsi="Arial"/>
          <w:sz w:val="19"/>
          <w:szCs w:val="19"/>
          <w:u w:val="single" w:color="auto"/>
          <w:color w:val="auto"/>
        </w:rPr>
        <w:t>Obligation Currency</w:t>
      </w:r>
      <w:r>
        <w:rPr>
          <w:rFonts w:ascii="Arial" w:cs="Arial" w:eastAsia="Arial" w:hAnsi="Arial"/>
          <w:sz w:val="19"/>
          <w:szCs w:val="19"/>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a Lender of the full amount of the Obligation Currency expressed to be payable to the Administrative Agent or such Lender under this Agreement or the other Loan Documents. If, for the purpose of obtaining or enforcing judgment against any Credit Party in any court or in any jurisdiction, it becomes necessary to convert into or from any currency other than the Obligation Currency (such other currency being hereinafter referred to as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Arial" w:cs="Arial" w:eastAsia="Arial" w:hAnsi="Arial"/>
          <w:sz w:val="19"/>
          <w:szCs w:val="19"/>
          <w:u w:val="single" w:color="auto"/>
          <w:color w:val="auto"/>
        </w:rPr>
        <w:t>Judgment Currency Conversion Date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28" w:right="339" w:bottom="1440" w:gutter="0" w:footer="0" w:header="0"/>
        </w:sectPr>
      </w:pPr>
    </w:p>
    <w:bookmarkStart w:id="208" w:name="page209"/>
    <w:bookmarkEnd w:id="208"/>
    <w:p>
      <w:pPr>
        <w:jc w:val="both"/>
        <w:ind w:firstLine="1304"/>
        <w:spacing w:after="0" w:line="294" w:lineRule="auto"/>
        <w:tabs>
          <w:tab w:leader="none" w:pos="194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If there is a change in the rate of exchange prevailing between the Judgment Currency Conversion Date and the date of actual payment of the amount due, the Credit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76" w:lineRule="exact"/>
        <w:rPr>
          <w:rFonts w:ascii="Arial" w:cs="Arial" w:eastAsia="Arial" w:hAnsi="Arial"/>
          <w:sz w:val="19"/>
          <w:szCs w:val="19"/>
          <w:color w:val="auto"/>
        </w:rPr>
      </w:pPr>
    </w:p>
    <w:p>
      <w:pPr>
        <w:ind w:firstLine="1304"/>
        <w:spacing w:after="0" w:line="343" w:lineRule="auto"/>
        <w:tabs>
          <w:tab w:leader="none" w:pos="193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Any amount due from a Credit Party under this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shall be due as a separate debt and shall not be affected by judgment being obtained for any other amounts due under or in respect of any of the Loan Documents.</w:t>
      </w:r>
    </w:p>
    <w:p>
      <w:pPr>
        <w:spacing w:after="0" w:line="131" w:lineRule="exact"/>
        <w:rPr>
          <w:rFonts w:ascii="Arial" w:cs="Arial" w:eastAsia="Arial" w:hAnsi="Arial"/>
          <w:sz w:val="19"/>
          <w:szCs w:val="19"/>
          <w:color w:val="auto"/>
        </w:rPr>
      </w:pPr>
    </w:p>
    <w:p>
      <w:pPr>
        <w:ind w:firstLine="1304"/>
        <w:spacing w:after="0" w:line="263" w:lineRule="auto"/>
        <w:tabs>
          <w:tab w:leader="none" w:pos="1944" w:val="left"/>
        </w:tabs>
        <w:numPr>
          <w:ilvl w:val="0"/>
          <w:numId w:val="203"/>
        </w:numPr>
        <w:rPr>
          <w:rFonts w:ascii="Arial" w:cs="Arial" w:eastAsia="Arial" w:hAnsi="Arial"/>
          <w:sz w:val="22"/>
          <w:szCs w:val="22"/>
          <w:color w:val="auto"/>
        </w:rPr>
      </w:pPr>
      <w:r>
        <w:rPr>
          <w:rFonts w:ascii="Arial" w:cs="Arial" w:eastAsia="Arial" w:hAnsi="Arial"/>
          <w:sz w:val="22"/>
          <w:szCs w:val="22"/>
          <w:color w:val="auto"/>
        </w:rPr>
        <w:t>For purposes of determining the prevailing rate of exchange, such amounts shall include any premium and costs payable in connection with the purchase of the Obligation Currency.</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MIRE Events</w:t>
      </w:r>
      <w:r>
        <w:rPr>
          <w:rFonts w:ascii="Arial" w:cs="Arial" w:eastAsia="Arial" w:hAnsi="Arial"/>
          <w:sz w:val="19"/>
          <w:szCs w:val="19"/>
          <w:color w:val="auto"/>
        </w:rPr>
        <w:t>. Each of the parties to this Agreement acknowledges and agrees that, if there are any Mortgaged Properties, any increase, extension or renewal of any of the Revolving Commitments or Loans (but excluding any continuation or conversion of Borrowings, the making of any Revolving Loans or Swingline Loans or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 and as otherwise reasonably required by the Administrative Agent and Impacted Lender and the Administrative Agent shall have received written confirmation from the Impacted Lender that flood insurance due diligence and flood insurance compliance has been completed by the Impacted Lender (such written confirmation not to be unreasonably withheld, conditioned or delayed).</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9.19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2" w:lineRule="exact"/>
        <w:rPr>
          <w:sz w:val="20"/>
          <w:szCs w:val="20"/>
          <w:color w:val="auto"/>
        </w:rPr>
      </w:pPr>
    </w:p>
    <w:p>
      <w:pPr>
        <w:ind w:firstLine="1304"/>
        <w:spacing w:after="0" w:line="343" w:lineRule="auto"/>
        <w:tabs>
          <w:tab w:leader="none" w:pos="1932"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1840" w:right="2520" w:hanging="536"/>
        <w:spacing w:after="0" w:line="358" w:lineRule="auto"/>
        <w:tabs>
          <w:tab w:leader="none" w:pos="195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 i. 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28" w:right="339" w:bottom="1440" w:gutter="0" w:footer="0" w:header="0"/>
        </w:sectPr>
      </w:pPr>
    </w:p>
    <w:bookmarkStart w:id="209" w:name="page210"/>
    <w:bookmarkEnd w:id="209"/>
    <w:p>
      <w:pPr>
        <w:jc w:val="both"/>
        <w:ind w:left="660" w:firstLine="1118"/>
        <w:spacing w:after="0" w:line="247" w:lineRule="auto"/>
        <w:tabs>
          <w:tab w:leader="none" w:pos="202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 w:lineRule="exact"/>
        <w:rPr>
          <w:rFonts w:ascii="Arial" w:cs="Arial" w:eastAsia="Arial" w:hAnsi="Arial"/>
          <w:sz w:val="22"/>
          <w:szCs w:val="22"/>
          <w:color w:val="auto"/>
        </w:rPr>
      </w:pPr>
    </w:p>
    <w:p>
      <w:pPr>
        <w:ind w:left="660" w:firstLine="1058"/>
        <w:spacing w:after="0" w:line="246" w:lineRule="auto"/>
        <w:tabs>
          <w:tab w:leader="none" w:pos="205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Limitation of Liability of Foreign Borrowers</w:t>
      </w:r>
      <w:r>
        <w:rPr>
          <w:rFonts w:ascii="Arial" w:cs="Arial" w:eastAsia="Arial" w:hAnsi="Arial"/>
          <w:sz w:val="19"/>
          <w:szCs w:val="19"/>
          <w:color w:val="auto"/>
        </w:rPr>
        <w:t>. Notwithstanding anything to the contrary contained in this Agreement or in any other Loan Document, the parties agree that no Foreign Borrower shall be liable for any obligation of the Company or any Domestic Subsidiary arising under or with respect to the Loan Documents, the Company shall be liable for all of the obligations of each Credit Party arising under or with respect to the Loan Documents and none of the Administrative Agent, the Issuing Bank nor any Lender, nor any Affiliate thereof, may setoff and apply any deposits of a Foreign Borrower or any other obligations at the time owing to or for the credit of the account of any Foreign Borrower by the Administrative Agent, the Issuing Bank, such Lender or Affiliate thereof, against any or all of the obligations of the Company.</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This Agreement constitutes an amendment and restatement of the Existing Credit Agreement, effective from and after the Effective Date. The execution and delivery of this Agreement shall not constitute a novation of any loans or letters of credit owing to or issued by the Lenders, the Issuing Bank or the Administrative Agent under the Existing Credit Agreement. On the Effective Date, the credit facilities described in the Existing Credit Agreement shall be amended, supplemented, modified and restated in their entirety by the credit facilities described herein, and all loans and other obligations of the Borrowers outstanding as of the Effective Date under the Existing Credit Agreement shall be deemed to be Loans and Obligations outstanding under the credit facility described herein without any further action by any Person, except that the Administrative Agent shall make such transfers of funds as are necessary in order that the outstanding balance of such Loans, together with any Loans funded on the Effective Date, reflect the respective Revolving Commitments of the Lenders hereunder.</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9.22 </w:t>
      </w:r>
      <w:r>
        <w:rPr>
          <w:rFonts w:ascii="Arial" w:cs="Arial" w:eastAsia="Arial" w:hAnsi="Arial"/>
          <w:sz w:val="19"/>
          <w:szCs w:val="19"/>
          <w:u w:val="single" w:color="auto"/>
          <w:color w:val="auto"/>
        </w:rPr>
        <w:t>Keepwell</w:t>
      </w:r>
      <w:r>
        <w:rPr>
          <w:rFonts w:ascii="Arial" w:cs="Arial" w:eastAsia="Arial" w:hAnsi="Arial"/>
          <w:sz w:val="19"/>
          <w:szCs w:val="19"/>
          <w:color w:val="auto"/>
        </w:rPr>
        <w:t>. Each Qualified ECP Guarantor hereby jointly and severally, absolutely, unconditionally and irrevocably undertakes to provide such funds or other support as may be needed by each other Credit Party to honor all of its obligations hereunder in respect of Swap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Qualified ECP Guarantor shall only be liable under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or otherwise hereunder voidable under applicable law relating to fraudulent conveyance or fraudulent transfer, and not for any greater amount). The obligations of each Qualified ECP Guarantor under this Section shall remain in full force and effect until all Obligations shall have been indefeasibly paid in full, the Revolving Commitments shall have terminated or expired and all Letters of Credit (other than Letters of Credit as to which other arrangements satisfactory to the Administrative Agent and the Issuing Bank have been made) shall have terminated or expired. Each Qualified ECP Guarantor intends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28" w:right="339" w:bottom="1440" w:gutter="0" w:footer="0" w:header="0"/>
        </w:sectPr>
      </w:pPr>
    </w:p>
    <w:bookmarkStart w:id="210" w:name="page211"/>
    <w:bookmarkEnd w:id="210"/>
    <w:p>
      <w:pPr>
        <w:jc w:val="both"/>
        <w:spacing w:after="0" w:line="343" w:lineRule="auto"/>
        <w:rPr>
          <w:sz w:val="20"/>
          <w:szCs w:val="20"/>
          <w:color w:val="auto"/>
        </w:rPr>
      </w:pPr>
      <w:r>
        <w:rPr>
          <w:rFonts w:ascii="Arial" w:cs="Arial" w:eastAsia="Arial" w:hAnsi="Arial"/>
          <w:sz w:val="19"/>
          <w:szCs w:val="19"/>
          <w:color w:val="auto"/>
        </w:rPr>
        <w:t xml:space="preserve">that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shall be deemed to constitute, a “keepwell, support, or other agreement” for the benefit of each other Credit Party for all purposes of Section 1a(18)(A)(v)(II) of the Commodity Exchange Act.</w:t>
      </w:r>
    </w:p>
    <w:p>
      <w:pPr>
        <w:spacing w:after="0" w:line="1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9.23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Contracts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BORROWER GUARANTEES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Guarantee of the Company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order to induce the Lenders to extend credit to the other Borrowers hereunder, the Company hereby irrevocably and unconditionally guarantees, as a primary obligor and not merely as a surety, the payment when and as due of the Obligations of such other Borrowers. The Company further agrees that, except for any consent of the Company which is expressly required pursuant to this Agreement, the due and punctual payment of such Obligations may be extended or renewed, in whole or in part, without notice to or further assent from it, and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28" w:right="339" w:bottom="1440" w:gutter="0" w:footer="0" w:header="0"/>
        </w:sectPr>
      </w:pPr>
    </w:p>
    <w:bookmarkStart w:id="211" w:name="page212"/>
    <w:bookmarkEnd w:id="211"/>
    <w:p>
      <w:pPr>
        <w:spacing w:after="0"/>
        <w:rPr>
          <w:sz w:val="20"/>
          <w:szCs w:val="20"/>
          <w:color w:val="auto"/>
        </w:rPr>
      </w:pPr>
      <w:r>
        <w:rPr>
          <w:rFonts w:ascii="Arial" w:cs="Arial" w:eastAsia="Arial" w:hAnsi="Arial"/>
          <w:sz w:val="21"/>
          <w:szCs w:val="21"/>
          <w:color w:val="auto"/>
        </w:rPr>
        <w:t>will remain bound upon its guarantee hereunder notwithstanding any such extension or renewal of any such Obligation.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waives presentment to, demand of payment from and protest to any Borrower of any of the Obligations, and also waives notice of acceptance of its obligations and notice of protest for nonpayment. The obligations of the Company hereunder shall not be affected by the failure of the Administrative Agent or any Lender to assert any claim or demand or to enforce any right or remedy against any Credit Party under the provisions of this Agreement, any other Loan Document or otherwise, any extension or renewal of any of the Obligations, any rescission, waiver, amendment or modification of, or release from, any of the terms or provisions of this Agreement, or any other Loan Document or agreement, any default, failure or delay, willful or otherwise, in the performance of any of the Obligations or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further agrees that its obligations hereunder shall continue to be effective or be reinstated, as the case may be, if at any time payment, or any part thereof, of any Obligation is rescinded or must otherwise be restored by the Administrative Agent or any Lender upon the bankruptcy or reorganization of any Borrower or otherwise.</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furtherance of the foregoing and not in limitation of any other right which the Administrative Agent or any Lender may have at law or in equity against the Company 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or any Lender, forthwith pay, or cause to be paid, to the Administrative Agent or such Lender in cash an amount equal to the unpaid principal amount of such Obligations then due, together with accrued and unpaid interest thereon.</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payment by the Company of any sums as provided above, all rights of the Company against any Borrower arising as a result thereof by way of right of subrogation or otherwise shall in all respects be subordinated and junior in right of payment to the prior indefeasible payment in full of all the Obligations owed by such Borrower to the Administrative Agent, the Issuing Bank and the Lenders.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Nothing shall discharge or satisfy the liability of the Company under this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except the full performance and payment of the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Guarantee of the Foreign Borrowers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In order to induce the Lenders to extend credit to the other Foreign Borrowers hereunder, each Foreign Borrower hereby irrevocably and unconditionally guarantees, as a primary obligor and not merely as a surety, the payment when and as due of the Obligations of each other Foreign Borrower. Each Foreign Borrower further agrees that, except for any consent of such Foreign Borrower which is expressly required pursuant to this Agreement, the due and punctual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28" w:right="339" w:bottom="1440" w:gutter="0" w:footer="0" w:header="0"/>
        </w:sectPr>
      </w:pPr>
    </w:p>
    <w:bookmarkStart w:id="212" w:name="page213"/>
    <w:bookmarkEnd w:id="212"/>
    <w:p>
      <w:pPr>
        <w:jc w:val="both"/>
        <w:spacing w:after="0" w:line="343" w:lineRule="auto"/>
        <w:rPr>
          <w:sz w:val="20"/>
          <w:szCs w:val="20"/>
          <w:color w:val="auto"/>
        </w:rPr>
      </w:pPr>
      <w:r>
        <w:rPr>
          <w:rFonts w:ascii="Arial" w:cs="Arial" w:eastAsia="Arial" w:hAnsi="Arial"/>
          <w:sz w:val="19"/>
          <w:szCs w:val="19"/>
          <w:color w:val="auto"/>
        </w:rPr>
        <w:t>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0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Each Foreign Borrower waives presentment to, demand of payment from and protest to any other Borrower of any of the Obligations of any Foreign Borrower, and also waives notice of acceptance of its obligations and notice of protest for nonpayment. The obligations of the Foreign Borrowers hereunder shall not be affected by (a) the failure of the Administrative Agent or any Lender to assert any claim or demand or to enforce any right or remedy against any Credit Party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(d) any default, failure or delay, willful or otherwise, in the performance of any of the Obligations or (e) any other act, omission or delay to do any other act which may or might in any manner or to any extent vary the risk of any Foreign Borrower or otherwise operate as a discharge of a guarantor as a matter of law or equity or which would impair or eliminate any right of any Foreign Borrower to subrogation.</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Foreign Borrower further agrees that its obligations hereunder shall continue to be effective or be reinstated, as the case may be, if at any time payment, or any part thereof, or any Obligation of any Foreign Borrower is rescinded or must otherwise be restored by the Administrative Agent or any Lender upon the bankruptcy or reorganization of any Borrower or otherwise.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furtherance of the foregoing and not in limitation of any other right which the Administrative Agent or any Lender may have at law or in equity against any Foreign Borrower by virtue hereof, upon the failure of any Foreign Borrower to pay any Obligation of such Foreign Borrower when and as the same shall become due, whether at maturity, by acceleration, after notice of prepayment or otherwise, each Foreign Borrower hereby promises to and will, upon receipt of written demand by the Administrative Agent or any Lender, forthwith pay, or cause to be paid, to the Administrative Agent or such Lender in cash an amount equal to the unpaid principal amount of any Obligations of any other Foreign Borrowers then due, together with accrued and unpaid interest thereon.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payment by any Foreign Borrower of any sums as provided above, all rights of such Foreign Borrower against any other Foreign Borrower arising as a result thereof by way of right of subrogation or otherwise shall in all respects be subordinated and junior in right of payment to the prior indefeasible payment in full of all the Obligations owed by such Foreign Borrower to the Administrative Agent, the Issuing Banks and the Lenders.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Nothing shall discharge or satisfy the liability of any Foreign Borrower under this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except the full performance and payment of the Obligations of all Foreign Borrowers.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Limitation on Foreign Guarantees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28" w:right="339" w:bottom="1440" w:gutter="0" w:footer="0" w:header="0"/>
        </w:sectPr>
      </w:pPr>
    </w:p>
    <w:bookmarkStart w:id="213" w:name="page214"/>
    <w:bookmarkEnd w:id="213"/>
    <w:p>
      <w:pPr>
        <w:jc w:val="both"/>
        <w:ind w:firstLine="648"/>
        <w:spacing w:after="0" w:line="259" w:lineRule="auto"/>
        <w:rPr>
          <w:sz w:val="20"/>
          <w:szCs w:val="20"/>
          <w:color w:val="auto"/>
        </w:rPr>
      </w:pPr>
      <w:r>
        <w:rPr>
          <w:rFonts w:ascii="Arial" w:cs="Arial" w:eastAsia="Arial" w:hAnsi="Arial"/>
          <w:sz w:val="21"/>
          <w:szCs w:val="21"/>
          <w:color w:val="auto"/>
        </w:rPr>
        <w:t xml:space="preserve">Notwithstanding any other provisions of the Loan Documents, no Loan to the Company or other obligation of the Company or any Domestic Subsidiary under this Agreement or under any Loan Document may be, directly or indirectly, guaranteed by a Foreign Borrower or a Foreign Subsidiary, secured by any assets of any Foreign Borrower or Foreign Subsidiary (including any stock held directly or indirectly by a Foreign Borrower or Foreign Subsidiary) or secured by a pledge in excess of 65% of the stock (measured by the total combined voting power of the issued and outstanding voting stock) of a Foreign Borrower or Foreign Subsidiary. The Guarantee granted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does not apply to any liability to the extent that it would result in such Guarantee constituting unlawful financial assistance within the meaning of sections 678 or 679 of the English Companies Act 2006.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2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May 10,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10,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2021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May 10,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2021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10,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2021:</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of Legal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Actions</w:t>
            </w: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104(d)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110(b)(2)</w:t>
            </w:r>
          </w:p>
        </w:tc>
        <w:tc>
          <w:tcPr>
            <w:tcW w:w="7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5"/>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Legal Actions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107(a)</w:t>
            </w:r>
          </w:p>
        </w:tc>
        <w:tc>
          <w:tcPr>
            <w:tcW w:w="10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2"/>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Related</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Number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S&amp;S Citations</w:t>
            </w:r>
            <w:r>
              <w:rPr>
                <w:rFonts w:ascii="Arial" w:cs="Arial" w:eastAsia="Arial" w:hAnsi="Arial"/>
                <w:sz w:val="7"/>
                <w:szCs w:val="7"/>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Orders</w:t>
            </w:r>
            <w:r>
              <w:rPr>
                <w:rFonts w:ascii="Arial" w:cs="Arial" w:eastAsia="Arial" w:hAnsi="Arial"/>
                <w:sz w:val="7"/>
                <w:szCs w:val="7"/>
                <w:color w:val="auto"/>
                <w:w w:val="85"/>
              </w:rPr>
              <w:t>(2)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Violations</w:t>
            </w:r>
            <w:r>
              <w:rPr>
                <w:rFonts w:ascii="Arial" w:cs="Arial" w:eastAsia="Arial" w:hAnsi="Arial"/>
                <w:sz w:val="7"/>
                <w:szCs w:val="7"/>
                <w:color w:val="auto"/>
                <w:w w:val="92"/>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63"/>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None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160" w:hanging="252"/>
        <w:spacing w:after="0" w:line="273" w:lineRule="auto"/>
        <w:tabs>
          <w:tab w:leader="none" w:pos="221"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19" w:lineRule="exact"/>
        <w:rPr>
          <w:rFonts w:ascii="Arial" w:cs="Arial" w:eastAsia="Arial" w:hAnsi="Arial"/>
          <w:sz w:val="14"/>
          <w:szCs w:val="14"/>
          <w:color w:val="auto"/>
        </w:rPr>
      </w:pPr>
    </w:p>
    <w:p>
      <w:pPr>
        <w:ind w:left="220" w:hanging="212"/>
        <w:spacing w:after="0"/>
        <w:tabs>
          <w:tab w:leader="none" w:pos="2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174" w:lineRule="exact"/>
        <w:rPr>
          <w:rFonts w:ascii="Arial" w:cs="Arial" w:eastAsia="Arial" w:hAnsi="Arial"/>
          <w:sz w:val="13"/>
          <w:szCs w:val="13"/>
          <w:color w:val="auto"/>
        </w:rPr>
      </w:pPr>
    </w:p>
    <w:p>
      <w:pPr>
        <w:ind w:left="220" w:hanging="212"/>
        <w:spacing w:after="0"/>
        <w:tabs>
          <w:tab w:leader="none" w:pos="2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1)"/>
      <w:numFmt w:val="decimal"/>
      <w:start w:val="1"/>
    </w:lvl>
  </w:abstractNum>
  <w:abstractNum w:abstractNumId="4">
    <w:nsid w:val="59ADEA3D"/>
    <w:multiLevelType w:val="hybridMultilevel"/>
    <w:lvl w:ilvl="0">
      <w:lvlJc w:val="left"/>
      <w:lvlText w:val="(%1)"/>
      <w:numFmt w:val="decimal"/>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lvl w:ilvl="1">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1)"/>
      <w:numFmt w:val="decimal"/>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1)"/>
      <w:numFmt w:val="decimal"/>
      <w:start w:val="1"/>
    </w:lvl>
  </w:abstractNum>
  <w:abstractNum w:abstractNumId="16">
    <w:nsid w:val="5C10FE21"/>
    <w:multiLevelType w:val="hybridMultilevel"/>
    <w:lvl w:ilvl="0">
      <w:lvlJc w:val="left"/>
      <w:lvlText w:val="(%1)"/>
      <w:numFmt w:val="decimal"/>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lvl w:ilvl="1">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lvl w:ilvl="1">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1)"/>
      <w:numFmt w:val="upperLetter"/>
      <w:start w:val="1"/>
    </w:lvl>
  </w:abstractNum>
  <w:abstractNum w:abstractNumId="35">
    <w:nsid w:val="175DFCF0"/>
    <w:multiLevelType w:val="hybridMultilevel"/>
    <w:lvl w:ilvl="0">
      <w:lvlJc w:val="left"/>
      <w:lvlText w:val="%1."/>
      <w:numFmt w:val="decimal"/>
      <w:start w:val="1"/>
    </w:lvl>
  </w:abstractNum>
  <w:abstractNum w:abstractNumId="36">
    <w:nsid w:val="4F97E3E4"/>
    <w:multiLevelType w:val="hybridMultilevel"/>
    <w:lvl w:ilvl="0">
      <w:lvlJc w:val="left"/>
      <w:lvlText w:val="%1."/>
      <w:numFmt w:val="lowerLetter"/>
      <w:start w:val="1"/>
    </w:lvl>
  </w:abstractNum>
  <w:abstractNum w:abstractNumId="37">
    <w:nsid w:val="53B0A9E"/>
    <w:multiLevelType w:val="hybridMultilevel"/>
    <w:lvl w:ilvl="0">
      <w:lvlJc w:val="left"/>
      <w:lvlText w:val="%1."/>
      <w:numFmt w:val="decimal"/>
      <w:start w:val="3"/>
    </w:lvl>
  </w:abstractNum>
  <w:abstractNum w:abstractNumId="38">
    <w:nsid w:val="34FD6B4F"/>
    <w:multiLevelType w:val="hybridMultilevel"/>
    <w:lvl w:ilvl="0">
      <w:lvlJc w:val="left"/>
      <w:lvlText w:val="%1."/>
      <w:numFmt w:val="lowerLetter"/>
      <w:start w:val="1"/>
    </w:lvl>
  </w:abstractNum>
  <w:abstractNum w:abstractNumId="39">
    <w:nsid w:val="5915FF32"/>
    <w:multiLevelType w:val="hybridMultilevel"/>
    <w:lvl w:ilvl="0">
      <w:lvlJc w:val="left"/>
      <w:lvlText w:val="%1."/>
      <w:numFmt w:val="decimal"/>
      <w:start w:val="4"/>
    </w:lvl>
  </w:abstractNum>
  <w:abstractNum w:abstractNumId="40">
    <w:nsid w:val="56438D15"/>
    <w:multiLevelType w:val="hybridMultilevel"/>
    <w:lvl w:ilvl="0">
      <w:lvlJc w:val="left"/>
      <w:lvlText w:val="%1."/>
      <w:numFmt w:val="lowerLetter"/>
      <w:start w:val="1"/>
    </w:lvl>
  </w:abstractNum>
  <w:abstractNum w:abstractNumId="41">
    <w:nsid w:val="519E3149"/>
    <w:multiLevelType w:val="hybridMultilevel"/>
    <w:lvl w:ilvl="0">
      <w:lvlJc w:val="left"/>
      <w:lvlText w:val="%1."/>
      <w:numFmt w:val="lowerLetter"/>
      <w:start w:val="2"/>
    </w:lvl>
  </w:abstractNum>
  <w:abstractNum w:abstractNumId="42">
    <w:nsid w:val="2C6E4AFD"/>
    <w:multiLevelType w:val="hybridMultilevel"/>
    <w:lvl w:ilvl="0">
      <w:lvlJc w:val="left"/>
      <w:lvlText w:val="%1."/>
      <w:numFmt w:val="decimal"/>
      <w:start w:val="6"/>
    </w:lvl>
  </w:abstractNum>
  <w:abstractNum w:abstractNumId="43">
    <w:nsid w:val="17A1B582"/>
    <w:multiLevelType w:val="hybridMultilevel"/>
    <w:lvl w:ilvl="0">
      <w:lvlJc w:val="left"/>
      <w:lvlText w:val="%1."/>
      <w:numFmt w:val="lowerLetter"/>
      <w:start w:val="1"/>
    </w:lvl>
  </w:abstractNum>
  <w:abstractNum w:abstractNumId="44">
    <w:nsid w:val="4DF72E4E"/>
    <w:multiLevelType w:val="hybridMultilevel"/>
    <w:lvl w:ilvl="0">
      <w:lvlJc w:val="left"/>
      <w:lvlText w:val="%1."/>
      <w:numFmt w:val="decimal"/>
      <w:start w:val="7"/>
    </w:lvl>
  </w:abstractNum>
  <w:abstractNum w:abstractNumId="45">
    <w:nsid w:val="5046B5A9"/>
    <w:multiLevelType w:val="hybridMultilevel"/>
    <w:lvl w:ilvl="0">
      <w:lvlJc w:val="left"/>
      <w:lvlText w:val="%1."/>
      <w:numFmt w:val="decimal"/>
      <w:start w:val="10"/>
    </w:lvl>
  </w:abstractNum>
  <w:abstractNum w:abstractNumId="46">
    <w:nsid w:val="5D888A08"/>
    <w:multiLevelType w:val="hybridMultilevel"/>
    <w:lvl w:ilvl="0">
      <w:lvlJc w:val="left"/>
      <w:lvlText w:val="%1."/>
      <w:numFmt w:val="decimal"/>
      <w:start w:val="1"/>
    </w:lvl>
  </w:abstractNum>
  <w:abstractNum w:abstractNumId="47">
    <w:nsid w:val="2A082C70"/>
    <w:multiLevelType w:val="hybridMultilevel"/>
    <w:lvl w:ilvl="0">
      <w:lvlJc w:val="left"/>
      <w:lvlText w:val="%1."/>
      <w:numFmt w:val="decimal"/>
      <w:start w:val="1"/>
    </w:lvl>
    <w:lvl w:ilvl="1">
      <w:lvlJc w:val="left"/>
      <w:lvlText w:val="%2."/>
      <w:numFmt w:val="lowerLetter"/>
      <w:start w:val="1"/>
    </w:lvl>
  </w:abstractNum>
  <w:abstractNum w:abstractNumId="48">
    <w:nsid w:val="5EC6AFD4"/>
    <w:multiLevelType w:val="hybridMultilevel"/>
    <w:lvl w:ilvl="0">
      <w:lvlJc w:val="left"/>
      <w:lvlText w:val="%1."/>
      <w:numFmt w:val="decimal"/>
      <w:start w:val="1"/>
    </w:lvl>
  </w:abstractNum>
  <w:abstractNum w:abstractNumId="49">
    <w:nsid w:val="19E21BB2"/>
    <w:multiLevelType w:val="hybridMultilevel"/>
    <w:lvl w:ilvl="0">
      <w:lvlJc w:val="left"/>
      <w:lvlText w:val="(%1)"/>
      <w:numFmt w:val="lowerLetter"/>
      <w:start w:val="2"/>
    </w:lvl>
  </w:abstractNum>
  <w:abstractNum w:abstractNumId="50">
    <w:nsid w:val="75E0858A"/>
    <w:multiLevelType w:val="hybridMultilevel"/>
    <w:lvl w:ilvl="0">
      <w:lvlJc w:val="left"/>
      <w:lvlText w:val="(%1)"/>
      <w:numFmt w:val="lowerRoman"/>
      <w:start w:val="1"/>
    </w:lvl>
  </w:abstractNum>
  <w:abstractNum w:abstractNumId="51">
    <w:nsid w:val="57A61A29"/>
    <w:multiLevelType w:val="hybridMultilevel"/>
    <w:lvl w:ilvl="0">
      <w:lvlJc w:val="left"/>
      <w:lvlText w:val="%1."/>
      <w:numFmt w:val="lowerLetter"/>
      <w:start w:val="1"/>
    </w:lvl>
    <w:lvl w:ilvl="1">
      <w:lvlJc w:val="left"/>
      <w:lvlText w:val="%2."/>
      <w:numFmt w:val="decimal"/>
      <w:start w:val="1"/>
    </w:lvl>
  </w:abstractNum>
  <w:abstractNum w:abstractNumId="52">
    <w:nsid w:val="5399C654"/>
    <w:multiLevelType w:val="hybridMultilevel"/>
    <w:lvl w:ilvl="0">
      <w:lvlJc w:val="left"/>
      <w:lvlText w:val="(%1)"/>
      <w:numFmt w:val="lowerLetter"/>
      <w:start w:val="2"/>
    </w:lvl>
  </w:abstractNum>
  <w:abstractNum w:abstractNumId="53">
    <w:nsid w:val="20EE1348"/>
    <w:multiLevelType w:val="hybridMultilevel"/>
    <w:lvl w:ilvl="0">
      <w:lvlJc w:val="left"/>
      <w:lvlText w:val="(%1)"/>
      <w:numFmt w:val="lowerLetter"/>
      <w:start w:val="25"/>
    </w:lvl>
  </w:abstractNum>
  <w:abstractNum w:abstractNumId="54">
    <w:nsid w:val="4427069A"/>
    <w:multiLevelType w:val="hybridMultilevel"/>
    <w:lvl w:ilvl="0">
      <w:lvlJc w:val="left"/>
      <w:lvlText w:val="(%1)"/>
      <w:numFmt w:val="lowerLetter"/>
      <w:start w:val="35"/>
    </w:lvl>
  </w:abstractNum>
  <w:abstractNum w:abstractNumId="55">
    <w:nsid w:val="B37E80A"/>
    <w:multiLevelType w:val="hybridMultilevel"/>
    <w:lvl w:ilvl="0">
      <w:lvlJc w:val="left"/>
      <w:lvlText w:val="(%1)"/>
      <w:numFmt w:val="lowerLetter"/>
      <w:start w:val="1"/>
    </w:lvl>
  </w:abstractNum>
  <w:abstractNum w:abstractNumId="56">
    <w:nsid w:val="2157F6BC"/>
    <w:multiLevelType w:val="hybridMultilevel"/>
    <w:lvl w:ilvl="0">
      <w:lvlJc w:val="left"/>
      <w:lvlText w:val="(%1)"/>
      <w:numFmt w:val="lowerLetter"/>
      <w:start w:val="2"/>
    </w:lvl>
  </w:abstractNum>
  <w:abstractNum w:abstractNumId="57">
    <w:nsid w:val="704E1DD5"/>
    <w:multiLevelType w:val="hybridMultilevel"/>
    <w:lvl w:ilvl="0">
      <w:lvlJc w:val="left"/>
      <w:lvlText w:val="%1."/>
      <w:numFmt w:val="lowerLetter"/>
      <w:start w:val="1"/>
    </w:lvl>
  </w:abstractNum>
  <w:abstractNum w:abstractNumId="58">
    <w:nsid w:val="57D2F10E"/>
    <w:multiLevelType w:val="hybridMultilevel"/>
    <w:lvl w:ilvl="0">
      <w:lvlJc w:val="left"/>
      <w:lvlText w:val="%1."/>
      <w:numFmt w:val="lowerLetter"/>
      <w:start w:val="4"/>
    </w:lvl>
  </w:abstractNum>
  <w:abstractNum w:abstractNumId="59">
    <w:nsid w:val="BFFAE18"/>
    <w:multiLevelType w:val="hybridMultilevel"/>
    <w:lvl w:ilvl="0">
      <w:lvlJc w:val="left"/>
      <w:lvlText w:val="%1."/>
      <w:numFmt w:val="lowerLetter"/>
      <w:start w:val="1"/>
    </w:lvl>
  </w:abstractNum>
  <w:abstractNum w:abstractNumId="60">
    <w:nsid w:val="E3E47A8"/>
    <w:multiLevelType w:val="hybridMultilevel"/>
    <w:lvl w:ilvl="0">
      <w:lvlJc w:val="left"/>
      <w:lvlText w:val="%1."/>
      <w:numFmt w:val="lowerLetter"/>
      <w:start w:val="1"/>
    </w:lvl>
  </w:abstractNum>
  <w:abstractNum w:abstractNumId="61">
    <w:nsid w:val="2E48F044"/>
    <w:multiLevelType w:val="hybridMultilevel"/>
    <w:lvl w:ilvl="0">
      <w:lvlJc w:val="left"/>
      <w:lvlText w:val="%1."/>
      <w:numFmt w:val="lowerLetter"/>
      <w:start w:val="2"/>
    </w:lvl>
    <w:lvl w:ilvl="1">
      <w:lvlJc w:val="left"/>
      <w:lvlText w:val="(%2)"/>
      <w:numFmt w:val="lowerRoman"/>
    </w:lvl>
    <w:lvl w:ilvl="2">
      <w:lvlJc w:val="left"/>
      <w:lvlText w:val="%3."/>
      <w:numFmt w:val="lowerLetter"/>
      <w:start w:val="1"/>
    </w:lvl>
  </w:abstractNum>
  <w:abstractNum w:abstractNumId="62">
    <w:nsid w:val="49D0FEAC"/>
    <w:multiLevelType w:val="hybridMultilevel"/>
    <w:lvl w:ilvl="0">
      <w:lvlJc w:val="left"/>
      <w:lvlText w:val="(%1)"/>
      <w:numFmt w:val="lowerLetter"/>
      <w:start w:val="1"/>
    </w:lvl>
  </w:abstractNum>
  <w:abstractNum w:abstractNumId="63">
    <w:nsid w:val="4BEE5A5B"/>
    <w:multiLevelType w:val="hybridMultilevel"/>
    <w:lvl w:ilvl="0">
      <w:lvlJc w:val="left"/>
      <w:lvlText w:val="%1."/>
      <w:numFmt w:val="lowerLetter"/>
      <w:start w:val="1"/>
    </w:lvl>
  </w:abstractNum>
  <w:abstractNum w:abstractNumId="64">
    <w:nsid w:val="5551B9F3"/>
    <w:multiLevelType w:val="hybridMultilevel"/>
    <w:lvl w:ilvl="0">
      <w:lvlJc w:val="left"/>
      <w:lvlText w:val="%1."/>
      <w:numFmt w:val="lowerRoman"/>
      <w:start w:val="1"/>
    </w:lvl>
  </w:abstractNum>
  <w:abstractNum w:abstractNumId="65">
    <w:nsid w:val="24F6AB8E"/>
    <w:multiLevelType w:val="hybridMultilevel"/>
    <w:lvl w:ilvl="0">
      <w:lvlJc w:val="left"/>
      <w:lvlText w:val="%1."/>
      <w:numFmt w:val="lowerLetter"/>
      <w:start w:val="1"/>
    </w:lvl>
  </w:abstractNum>
  <w:abstractNum w:abstractNumId="66">
    <w:nsid w:val="634C574C"/>
    <w:multiLevelType w:val="hybridMultilevel"/>
    <w:lvl w:ilvl="0">
      <w:lvlJc w:val="left"/>
      <w:lvlText w:val="%1."/>
      <w:numFmt w:val="lowerLetter"/>
      <w:start w:val="3"/>
    </w:lvl>
    <w:lvl w:ilvl="1">
      <w:lvlJc w:val="left"/>
      <w:lvlText w:val="%2."/>
      <w:numFmt w:val="lowerLetter"/>
      <w:start w:val="1"/>
    </w:lvl>
  </w:abstractNum>
  <w:abstractNum w:abstractNumId="67">
    <w:nsid w:val="24E99DD7"/>
    <w:multiLevelType w:val="hybridMultilevel"/>
    <w:lvl w:ilvl="0">
      <w:lvlJc w:val="left"/>
      <w:lvlText w:val="%1."/>
      <w:numFmt w:val="lowerLetter"/>
      <w:start w:val="2"/>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Letter"/>
      <w:start w:val="3"/>
    </w:lvl>
  </w:abstractNum>
  <w:abstractNum w:abstractNumId="70">
    <w:nsid w:val="7DFF9D09"/>
    <w:multiLevelType w:val="hybridMultilevel"/>
    <w:lvl w:ilvl="0">
      <w:lvlJc w:val="left"/>
      <w:lvlText w:val="%1."/>
      <w:numFmt w:val="lowerLetter"/>
      <w:start w:val="4"/>
    </w:lvl>
  </w:abstractNum>
  <w:abstractNum w:abstractNumId="71">
    <w:nsid w:val="754342"/>
    <w:multiLevelType w:val="hybridMultilevel"/>
    <w:lvl w:ilvl="0">
      <w:lvlJc w:val="left"/>
      <w:lvlText w:val="%1"/>
      <w:numFmt w:val="lowerLetter"/>
      <w:start w:val="1"/>
    </w:lvl>
    <w:lvl w:ilvl="1">
      <w:lvlJc w:val="left"/>
      <w:lvlText w:val="%2."/>
      <w:numFmt w:val="lowerLetter"/>
      <w:start w:val="6"/>
    </w:lvl>
  </w:abstractNum>
  <w:abstractNum w:abstractNumId="72">
    <w:nsid w:val="69E7F3E5"/>
    <w:multiLevelType w:val="hybridMultilevel"/>
    <w:lvl w:ilvl="0">
      <w:lvlJc w:val="left"/>
      <w:lvlText w:val="(%1)"/>
      <w:numFmt w:val="lowerLetter"/>
      <w:start w:val="5"/>
    </w:lvl>
    <w:lvl w:ilvl="1">
      <w:lvlJc w:val="left"/>
      <w:lvlText w:val="%2"/>
      <w:numFmt w:val="lowerLetter"/>
      <w:start w:val="1"/>
    </w:lvl>
  </w:abstractNum>
  <w:abstractNum w:abstractNumId="73">
    <w:nsid w:val="2A6DE806"/>
    <w:multiLevelType w:val="hybridMultilevel"/>
    <w:lvl w:ilvl="0">
      <w:lvlJc w:val="left"/>
      <w:lvlText w:val="%1."/>
      <w:numFmt w:val="lowerLetter"/>
      <w:start w:val="7"/>
    </w:lvl>
  </w:abstractNum>
  <w:abstractNum w:abstractNumId="74">
    <w:nsid w:val="1816F8C4"/>
    <w:multiLevelType w:val="hybridMultilevel"/>
    <w:lvl w:ilvl="0">
      <w:lvlJc w:val="left"/>
      <w:lvlText w:val="%1."/>
      <w:numFmt w:val="lowerLetter"/>
      <w:start w:val="11"/>
    </w:lvl>
    <w:lvl w:ilvl="1">
      <w:lvlJc w:val="left"/>
      <w:lvlText w:val="%2."/>
      <w:numFmt w:val="lowerRoman"/>
      <w:start w:val="1"/>
    </w:lvl>
  </w:abstractNum>
  <w:abstractNum w:abstractNumId="75">
    <w:nsid w:val="37DF2233"/>
    <w:multiLevelType w:val="hybridMultilevel"/>
    <w:lvl w:ilvl="0">
      <w:lvlJc w:val="left"/>
      <w:lvlText w:val="%1"/>
      <w:numFmt w:val="lowerLetter"/>
      <w:start w:val="1"/>
    </w:lvl>
    <w:lvl w:ilvl="1">
      <w:lvlJc w:val="left"/>
      <w:lvlText w:val="%2."/>
      <w:numFmt w:val="lowerLetter"/>
      <w:start w:val="61"/>
    </w:lvl>
  </w:abstractNum>
  <w:abstractNum w:abstractNumId="76">
    <w:nsid w:val="7AB49DAF"/>
    <w:multiLevelType w:val="hybridMultilevel"/>
    <w:lvl w:ilvl="0">
      <w:lvlJc w:val="left"/>
      <w:lvlText w:val="%1."/>
      <w:numFmt w:val="lowerLetter"/>
      <w:start w:val="12"/>
    </w:lvl>
    <w:lvl w:ilvl="1">
      <w:lvlJc w:val="left"/>
      <w:lvlText w:val="%2"/>
      <w:numFmt w:val="lowerLetter"/>
      <w:start w:val="1"/>
    </w:lvl>
  </w:abstractNum>
  <w:abstractNum w:abstractNumId="77">
    <w:nsid w:val="759F82CD"/>
    <w:multiLevelType w:val="hybridMultilevel"/>
    <w:lvl w:ilvl="0">
      <w:lvlJc w:val="left"/>
      <w:lvlText w:val="%1."/>
      <w:numFmt w:val="lowerLetter"/>
      <w:start w:val="1"/>
    </w:lvl>
  </w:abstractNum>
  <w:abstractNum w:abstractNumId="78">
    <w:nsid w:val="61E74EA3"/>
    <w:multiLevelType w:val="hybridMultilevel"/>
    <w:lvl w:ilvl="0">
      <w:lvlJc w:val="left"/>
      <w:lvlText w:val="%1."/>
      <w:numFmt w:val="lowerLetter"/>
      <w:start w:val="1"/>
    </w:lvl>
  </w:abstractNum>
  <w:abstractNum w:abstractNumId="79">
    <w:nsid w:val="597B4D84"/>
    <w:multiLevelType w:val="hybridMultilevel"/>
    <w:lvl w:ilvl="0">
      <w:lvlJc w:val="left"/>
      <w:lvlText w:val="%1"/>
      <w:numFmt w:val="lowerRoman"/>
      <w:start w:val="1"/>
    </w:lvl>
    <w:lvl w:ilvl="1">
      <w:lvlJc w:val="left"/>
      <w:lvlText w:val="%2."/>
      <w:numFmt w:val="lowerRoman"/>
      <w:start w:val="2"/>
    </w:lvl>
  </w:abstractNum>
  <w:abstractNum w:abstractNumId="80">
    <w:nsid w:val="F819E7F"/>
    <w:multiLevelType w:val="hybridMultilevel"/>
    <w:lvl w:ilvl="0">
      <w:lvlJc w:val="left"/>
      <w:lvlText w:val="%1."/>
      <w:numFmt w:val="lowerRoman"/>
      <w:start w:val="4"/>
    </w:lvl>
    <w:lvl w:ilvl="1">
      <w:lvlJc w:val="left"/>
      <w:lvlText w:val="%2"/>
      <w:numFmt w:val="lowerRoman"/>
      <w:start w:val="1"/>
    </w:lvl>
  </w:abstractNum>
  <w:abstractNum w:abstractNumId="81">
    <w:nsid w:val="57C7D42D"/>
    <w:multiLevelType w:val="hybridMultilevel"/>
    <w:lvl w:ilvl="0">
      <w:lvlJc w:val="left"/>
      <w:lvlText w:val="%1."/>
      <w:numFmt w:val="lowerLetter"/>
      <w:start w:val="4"/>
    </w:lvl>
  </w:abstractNum>
  <w:abstractNum w:abstractNumId="82">
    <w:nsid w:val="312167AD"/>
    <w:multiLevelType w:val="hybridMultilevel"/>
    <w:lvl w:ilvl="0">
      <w:lvlJc w:val="left"/>
      <w:lvlText w:val="%1."/>
      <w:numFmt w:val="lowerLetter"/>
      <w:start w:val="1"/>
    </w:lvl>
  </w:abstractNum>
  <w:abstractNum w:abstractNumId="83">
    <w:nsid w:val="631B64D4"/>
    <w:multiLevelType w:val="hybridMultilevel"/>
    <w:lvl w:ilvl="0">
      <w:lvlJc w:val="left"/>
      <w:lvlText w:val="%1."/>
      <w:numFmt w:val="lowerLetter"/>
      <w:start w:val="2"/>
    </w:lvl>
  </w:abstractNum>
  <w:abstractNum w:abstractNumId="84">
    <w:nsid w:val="78B5E776"/>
    <w:multiLevelType w:val="hybridMultilevel"/>
    <w:lvl w:ilvl="0">
      <w:lvlJc w:val="left"/>
      <w:lvlText w:val="%1."/>
      <w:numFmt w:val="lowerLetter"/>
      <w:start w:val="1"/>
    </w:lvl>
  </w:abstractNum>
  <w:abstractNum w:abstractNumId="85">
    <w:nsid w:val="75486E47"/>
    <w:multiLevelType w:val="hybridMultilevel"/>
    <w:lvl w:ilvl="0">
      <w:lvlJc w:val="left"/>
      <w:lvlText w:val="%1."/>
      <w:numFmt w:val="lowerLetter"/>
      <w:start w:val="4"/>
    </w:lvl>
  </w:abstractNum>
  <w:abstractNum w:abstractNumId="86">
    <w:nsid w:val="6E534CDE"/>
    <w:multiLevelType w:val="hybridMultilevel"/>
    <w:lvl w:ilvl="0">
      <w:lvlJc w:val="left"/>
      <w:lvlText w:val="%1."/>
      <w:numFmt w:val="lowerLetter"/>
      <w:start w:val="1"/>
    </w:lvl>
  </w:abstractNum>
  <w:abstractNum w:abstractNumId="87">
    <w:nsid w:val="1A0DDE32"/>
    <w:multiLevelType w:val="hybridMultilevel"/>
    <w:lvl w:ilvl="0">
      <w:lvlJc w:val="left"/>
      <w:lvlText w:val="%1."/>
      <w:numFmt w:val="lowerLetter"/>
      <w:start w:val="1"/>
    </w:lvl>
  </w:abstractNum>
  <w:abstractNum w:abstractNumId="88">
    <w:nsid w:val="65968C1C"/>
    <w:multiLevelType w:val="hybridMultilevel"/>
    <w:lvl w:ilvl="0">
      <w:lvlJc w:val="left"/>
      <w:lvlText w:val="%1."/>
      <w:numFmt w:val="lowerLetter"/>
      <w:start w:val="3"/>
    </w:lvl>
  </w:abstractNum>
  <w:abstractNum w:abstractNumId="89">
    <w:nsid w:val="46263DEC"/>
    <w:multiLevelType w:val="hybridMultilevel"/>
    <w:lvl w:ilvl="0">
      <w:lvlJc w:val="left"/>
      <w:lvlText w:val="%1."/>
      <w:numFmt w:val="lowerLetter"/>
      <w:start w:val="1"/>
    </w:lvl>
  </w:abstractNum>
  <w:abstractNum w:abstractNumId="90">
    <w:nsid w:val="260D8C4A"/>
    <w:multiLevelType w:val="hybridMultilevel"/>
    <w:lvl w:ilvl="0">
      <w:lvlJc w:val="left"/>
      <w:lvlText w:val="%1."/>
      <w:numFmt w:val="lowerLetter"/>
      <w:start w:val="5"/>
    </w:lvl>
  </w:abstractNum>
  <w:abstractNum w:abstractNumId="91">
    <w:nsid w:val="73D4D3C4"/>
    <w:multiLevelType w:val="hybridMultilevel"/>
    <w:lvl w:ilvl="0">
      <w:lvlJc w:val="left"/>
      <w:lvlText w:val="%1."/>
      <w:numFmt w:val="lowerLetter"/>
      <w:start w:val="1"/>
    </w:lvl>
    <w:lvl w:ilvl="1">
      <w:lvlJc w:val="left"/>
      <w:lvlText w:val="%2."/>
      <w:numFmt w:val="lowerLetter"/>
      <w:start w:val="9"/>
    </w:lvl>
  </w:abstractNum>
  <w:abstractNum w:abstractNumId="92">
    <w:nsid w:val="746F2E30"/>
    <w:multiLevelType w:val="hybridMultilevel"/>
    <w:lvl w:ilvl="0">
      <w:lvlJc w:val="left"/>
      <w:lvlText w:val="%1."/>
      <w:numFmt w:val="lowerRoman"/>
      <w:start w:val="2"/>
    </w:lvl>
  </w:abstractNum>
  <w:abstractNum w:abstractNumId="93">
    <w:nsid w:val="6FDE8AF6"/>
    <w:multiLevelType w:val="hybridMultilevel"/>
    <w:lvl w:ilvl="0">
      <w:lvlJc w:val="left"/>
      <w:lvlText w:val="%1."/>
      <w:numFmt w:val="lowerLetter"/>
      <w:start w:val="3"/>
    </w:lvl>
  </w:abstractNum>
  <w:abstractNum w:abstractNumId="94">
    <w:nsid w:val="3FC32E20"/>
    <w:multiLevelType w:val="hybridMultilevel"/>
    <w:lvl w:ilvl="0">
      <w:lvlJc w:val="left"/>
      <w:lvlText w:val="%1."/>
      <w:numFmt w:val="lowerLetter"/>
      <w:start w:val="7"/>
    </w:lvl>
  </w:abstractNum>
  <w:abstractNum w:abstractNumId="95">
    <w:nsid w:val="49C0E823"/>
    <w:multiLevelType w:val="hybridMultilevel"/>
    <w:lvl w:ilvl="0">
      <w:lvlJc w:val="left"/>
      <w:lvlText w:val="(%1)"/>
      <w:numFmt w:val="upperLetter"/>
      <w:start w:val="2"/>
    </w:lvl>
  </w:abstractNum>
  <w:abstractNum w:abstractNumId="96">
    <w:nsid w:val="14D536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230F856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98">
    <w:nsid w:val="6EAA85FB"/>
    <w:multiLevelType w:val="hybridMultilevel"/>
    <w:lvl w:ilvl="0">
      <w:lvlJc w:val="left"/>
      <w:lvlText w:val="%1."/>
      <w:numFmt w:val="lowerLetter"/>
      <w:start w:val="2"/>
    </w:lvl>
  </w:abstractNum>
  <w:abstractNum w:abstractNumId="99">
    <w:nsid w:val="3F06ECB2"/>
    <w:multiLevelType w:val="hybridMultilevel"/>
    <w:lvl w:ilvl="0">
      <w:lvlJc w:val="left"/>
      <w:lvlText w:val="%1."/>
      <w:numFmt w:val="lowerLetter"/>
      <w:start w:val="1"/>
    </w:lvl>
  </w:abstractNum>
  <w:abstractNum w:abstractNumId="100">
    <w:nsid w:val="3B594807"/>
    <w:multiLevelType w:val="hybridMultilevel"/>
    <w:lvl w:ilvl="0">
      <w:lvlJc w:val="left"/>
      <w:lvlText w:val="%1."/>
      <w:numFmt w:val="lowerLetter"/>
      <w:start w:val="5"/>
    </w:lvl>
    <w:lvl w:ilvl="1">
      <w:lvlJc w:val="left"/>
      <w:lvlText w:val="%2"/>
      <w:numFmt w:val="lowerLetter"/>
      <w:start w:val="1"/>
    </w:lvl>
  </w:abstractNum>
  <w:abstractNum w:abstractNumId="101">
    <w:nsid w:val="6CAA2304"/>
    <w:multiLevelType w:val="hybridMultilevel"/>
    <w:lvl w:ilvl="0">
      <w:lvlJc w:val="left"/>
      <w:lvlText w:val="%1."/>
      <w:numFmt w:val="lowerLetter"/>
      <w:start w:val="1"/>
    </w:lvl>
    <w:lvl w:ilvl="1">
      <w:lvlJc w:val="left"/>
      <w:lvlText w:val="%2."/>
      <w:numFmt w:val="decimal"/>
      <w:start w:val="1"/>
    </w:lvl>
  </w:abstractNum>
  <w:abstractNum w:abstractNumId="102">
    <w:nsid w:val="3F7C2FF4"/>
    <w:multiLevelType w:val="hybridMultilevel"/>
    <w:lvl w:ilvl="0">
      <w:lvlJc w:val="left"/>
      <w:lvlText w:val="%1"/>
      <w:numFmt w:val="lowerRoman"/>
      <w:start w:val="1"/>
    </w:lvl>
    <w:lvl w:ilvl="1">
      <w:lvlJc w:val="left"/>
      <w:lvlText w:val="%2."/>
      <w:numFmt w:val="lowerLetter"/>
      <w:start w:val="3"/>
    </w:lvl>
  </w:abstractNum>
  <w:abstractNum w:abstractNumId="103">
    <w:nsid w:val="25413BEC"/>
    <w:multiLevelType w:val="hybridMultilevel"/>
    <w:lvl w:ilvl="0">
      <w:lvlJc w:val="left"/>
      <w:lvlText w:val="(%1)"/>
      <w:numFmt w:val="lowerRoman"/>
      <w:start w:val="1"/>
    </w:lvl>
    <w:lvl w:ilvl="1">
      <w:lvlJc w:val="left"/>
      <w:lvlText w:val="%2"/>
      <w:numFmt w:val="lowerLetter"/>
      <w:start w:val="1"/>
    </w:lvl>
  </w:abstractNum>
  <w:abstractNum w:abstractNumId="104">
    <w:nsid w:val="17180B0B"/>
    <w:multiLevelType w:val="hybridMultilevel"/>
    <w:lvl w:ilvl="0">
      <w:lvlJc w:val="left"/>
      <w:lvlText w:val="%1."/>
      <w:numFmt w:val="lowerLetter"/>
      <w:start w:val="7"/>
    </w:lvl>
  </w:abstractNum>
  <w:abstractNum w:abstractNumId="105">
    <w:nsid w:val="579328B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2"/>
    </w:lvl>
    <w:lvl w:ilvl="3">
      <w:lvlJc w:val="left"/>
      <w:lvlText w:val="%4"/>
      <w:numFmt w:val="decimal"/>
      <w:start w:val="1"/>
    </w:lvl>
  </w:abstractNum>
  <w:abstractNum w:abstractNumId="106">
    <w:nsid w:val="5D205E20"/>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7">
    <w:nsid w:val="11CCA8BA"/>
    <w:multiLevelType w:val="hybridMultilevel"/>
    <w:lvl w:ilvl="0">
      <w:lvlJc w:val="left"/>
      <w:lvlText w:val="%1."/>
      <w:numFmt w:val="lowerRoman"/>
      <w:start w:val="4"/>
    </w:lvl>
  </w:abstractNum>
  <w:abstractNum w:abstractNumId="108">
    <w:nsid w:val="4D32AB86"/>
    <w:multiLevelType w:val="hybridMultilevel"/>
    <w:lvl w:ilvl="0">
      <w:lvlJc w:val="left"/>
      <w:lvlText w:val="%1."/>
      <w:numFmt w:val="lowerLetter"/>
      <w:start w:val="8"/>
    </w:lvl>
  </w:abstractNum>
  <w:abstractNum w:abstractNumId="109">
    <w:nsid w:val="3F07ACC3"/>
    <w:multiLevelType w:val="hybridMultilevel"/>
    <w:lvl w:ilvl="0">
      <w:lvlJc w:val="left"/>
      <w:lvlText w:val="%1."/>
      <w:numFmt w:val="lowerLetter"/>
      <w:start w:val="1"/>
    </w:lvl>
  </w:abstractNum>
  <w:abstractNum w:abstractNumId="110">
    <w:nsid w:val="6B47F63E"/>
    <w:multiLevelType w:val="hybridMultilevel"/>
    <w:lvl w:ilvl="0">
      <w:lvlJc w:val="left"/>
      <w:lvlText w:val="%1."/>
      <w:numFmt w:val="lowerLetter"/>
      <w:start w:val="4"/>
    </w:lvl>
  </w:abstractNum>
  <w:abstractNum w:abstractNumId="111">
    <w:nsid w:val="5CB44A05"/>
    <w:multiLevelType w:val="hybridMultilevel"/>
    <w:lvl w:ilvl="0">
      <w:lvlJc w:val="left"/>
      <w:lvlText w:val="%1."/>
      <w:numFmt w:val="lowerLetter"/>
      <w:start w:val="1"/>
    </w:lvl>
  </w:abstractNum>
  <w:abstractNum w:abstractNumId="112">
    <w:nsid w:val="16CF80F1"/>
    <w:multiLevelType w:val="hybridMultilevel"/>
    <w:lvl w:ilvl="0">
      <w:lvlJc w:val="left"/>
      <w:lvlText w:val="%1."/>
      <w:numFmt w:val="lowerLetter"/>
      <w:start w:val="2"/>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2"/>
    </w:lvl>
  </w:abstractNum>
  <w:abstractNum w:abstractNumId="115">
    <w:nsid w:val="F856867"/>
    <w:multiLevelType w:val="hybridMultilevel"/>
    <w:lvl w:ilvl="0">
      <w:lvlJc w:val="left"/>
      <w:lvlText w:val="%1."/>
      <w:numFmt w:val="lowerLetter"/>
      <w:start w:val="4"/>
    </w:lvl>
    <w:lvl w:ilvl="1">
      <w:lvlJc w:val="left"/>
      <w:lvlText w:val="%2."/>
      <w:numFmt w:val="lowerRoman"/>
      <w:start w:val="3"/>
    </w:lvl>
    <w:lvl w:ilvl="2">
      <w:lvlJc w:val="left"/>
      <w:lvlText w:val="%3."/>
      <w:numFmt w:val="lowerRoman"/>
      <w:start w:val="1"/>
    </w:lvl>
  </w:abstractNum>
  <w:abstractNum w:abstractNumId="116">
    <w:nsid w:val="11B1CC33"/>
    <w:multiLevelType w:val="hybridMultilevel"/>
    <w:lvl w:ilvl="0">
      <w:lvlJc w:val="left"/>
      <w:lvlText w:val="%1."/>
      <w:numFmt w:val="lowerLetter"/>
      <w:start w:val="5"/>
    </w:lvl>
  </w:abstractNum>
  <w:abstractNum w:abstractNumId="117">
    <w:nsid w:val="2E22FBB7"/>
    <w:multiLevelType w:val="hybridMultilevel"/>
    <w:lvl w:ilvl="0">
      <w:lvlJc w:val="left"/>
      <w:lvlText w:val="%1."/>
      <w:numFmt w:val="lowerLetter"/>
      <w:start w:val="7"/>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3"/>
    </w:lvl>
  </w:abstractNum>
  <w:abstractNum w:abstractNumId="120">
    <w:nsid w:val="744939A3"/>
    <w:multiLevelType w:val="hybridMultilevel"/>
    <w:lvl w:ilvl="0">
      <w:lvlJc w:val="left"/>
      <w:lvlText w:val="%1."/>
      <w:numFmt w:val="lowerLetter"/>
      <w:start w:val="1"/>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Letter"/>
      <w:start w:val="1"/>
    </w:lvl>
  </w:abstractNum>
  <w:abstractNum w:abstractNumId="124">
    <w:nsid w:val="3F7F5DD9"/>
    <w:multiLevelType w:val="hybridMultilevel"/>
    <w:lvl w:ilvl="0">
      <w:lvlJc w:val="left"/>
      <w:lvlText w:val="%1."/>
      <w:numFmt w:val="lowerLetter"/>
      <w:start w:val="1"/>
    </w:lvl>
  </w:abstractNum>
  <w:abstractNum w:abstractNumId="125">
    <w:nsid w:val="2AE05A34"/>
    <w:multiLevelType w:val="hybridMultilevel"/>
    <w:lvl w:ilvl="0">
      <w:lvlJc w:val="left"/>
      <w:lvlText w:val="%1."/>
      <w:numFmt w:val="lowerLetter"/>
      <w:start w:val="1"/>
    </w:lvl>
  </w:abstractNum>
  <w:abstractNum w:abstractNumId="126">
    <w:nsid w:val="32794FF7"/>
    <w:multiLevelType w:val="hybridMultilevel"/>
    <w:lvl w:ilvl="0">
      <w:lvlJc w:val="left"/>
      <w:lvlText w:val="%1."/>
      <w:numFmt w:val="lowerLetter"/>
      <w:start w:val="2"/>
    </w:lvl>
  </w:abstractNum>
  <w:abstractNum w:abstractNumId="127">
    <w:nsid w:val="5454945E"/>
    <w:multiLevelType w:val="hybridMultilevel"/>
    <w:lvl w:ilvl="0">
      <w:lvlJc w:val="left"/>
      <w:lvlText w:val="%1."/>
      <w:numFmt w:val="lowerLetter"/>
      <w:start w:val="10"/>
    </w:lvl>
  </w:abstractNum>
  <w:abstractNum w:abstractNumId="128">
    <w:nsid w:val="4DEFDFA0"/>
    <w:multiLevelType w:val="hybridMultilevel"/>
    <w:lvl w:ilvl="0">
      <w:lvlJc w:val="left"/>
      <w:lvlText w:val="%1."/>
      <w:numFmt w:val="lowerLetter"/>
      <w:start w:val="1"/>
    </w:lvl>
  </w:abstractNum>
  <w:abstractNum w:abstractNumId="129">
    <w:nsid w:val="2123D5F2"/>
    <w:multiLevelType w:val="hybridMultilevel"/>
    <w:lvl w:ilvl="0">
      <w:lvlJc w:val="left"/>
      <w:lvlText w:val="%1."/>
      <w:numFmt w:val="lowerLetter"/>
      <w:start w:val="2"/>
    </w:lvl>
  </w:abstractNum>
  <w:abstractNum w:abstractNumId="130">
    <w:nsid w:val="135B8110"/>
    <w:multiLevelType w:val="hybridMultilevel"/>
    <w:lvl w:ilvl="0">
      <w:lvlJc w:val="left"/>
      <w:lvlText w:val="(%1)"/>
      <w:numFmt w:val="lowerLetter"/>
      <w:start w:val="2"/>
    </w:lvl>
  </w:abstractNum>
  <w:abstractNum w:abstractNumId="131">
    <w:nsid w:val="94927A8"/>
    <w:multiLevelType w:val="hybridMultilevel"/>
    <w:lvl w:ilvl="0">
      <w:lvlJc w:val="left"/>
      <w:lvlText w:val="%1."/>
      <w:numFmt w:val="lowerLetter"/>
      <w:start w:val="1"/>
    </w:lvl>
  </w:abstractNum>
  <w:abstractNum w:abstractNumId="132">
    <w:nsid w:val="DCDF8F6"/>
    <w:multiLevelType w:val="hybridMultilevel"/>
    <w:lvl w:ilvl="0">
      <w:lvlJc w:val="left"/>
      <w:lvlText w:val="%1."/>
      <w:numFmt w:val="lowerLetter"/>
      <w:start w:val="2"/>
    </w:lvl>
  </w:abstractNum>
  <w:abstractNum w:abstractNumId="133">
    <w:nsid w:val="52D7B105"/>
    <w:multiLevelType w:val="hybridMultilevel"/>
    <w:lvl w:ilvl="0">
      <w:lvlJc w:val="left"/>
      <w:lvlText w:val="%1"/>
      <w:numFmt w:val="decimal"/>
      <w:start w:val="1"/>
    </w:lvl>
    <w:lvl w:ilvl="1">
      <w:lvlJc w:val="left"/>
      <w:lvlText w:val="%2."/>
      <w:numFmt w:val="lowerLetter"/>
      <w:start w:val="5"/>
    </w:lvl>
  </w:abstractNum>
  <w:abstractNum w:abstractNumId="134">
    <w:nsid w:val="2E8A6394"/>
    <w:multiLevelType w:val="hybridMultilevel"/>
    <w:lvl w:ilvl="0">
      <w:lvlJc w:val="left"/>
      <w:lvlText w:val="(%1)"/>
      <w:numFmt w:val="decimal"/>
      <w:start w:val="45"/>
    </w:lvl>
    <w:lvl w:ilvl="1">
      <w:lvlJc w:val="left"/>
      <w:lvlText w:val="%2"/>
      <w:numFmt w:val="lowerLetter"/>
      <w:start w:val="1"/>
    </w:lvl>
  </w:abstractNum>
  <w:abstractNum w:abstractNumId="135">
    <w:nsid w:val="24E60401"/>
    <w:multiLevelType w:val="hybridMultilevel"/>
    <w:lvl w:ilvl="0">
      <w:lvlJc w:val="left"/>
      <w:lvlText w:val="%1."/>
      <w:numFmt w:val="lowerLetter"/>
      <w:start w:val="10"/>
    </w:lvl>
  </w:abstractNum>
  <w:abstractNum w:abstractNumId="136">
    <w:nsid w:val="2A6AD9BE"/>
    <w:multiLevelType w:val="hybridMultilevel"/>
    <w:lvl w:ilvl="0">
      <w:lvlJc w:val="left"/>
      <w:lvlText w:val="%1."/>
      <w:numFmt w:val="lowerLetter"/>
      <w:start w:val="1"/>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decimal"/>
      <w:start w:val="1"/>
    </w:lvl>
    <w:lvl w:ilvl="1">
      <w:lvlJc w:val="left"/>
      <w:lvlText w:val="%2."/>
      <w:numFmt w:val="lowerLetter"/>
      <w:start w:val="3"/>
    </w:lvl>
  </w:abstractNum>
  <w:abstractNum w:abstractNumId="139">
    <w:nsid w:val="779D8544"/>
    <w:multiLevelType w:val="hybridMultilevel"/>
    <w:lvl w:ilvl="0">
      <w:lvlJc w:val="left"/>
      <w:lvlText w:val="(%1)"/>
      <w:numFmt w:val="decimal"/>
      <w:start w:val="30"/>
    </w:lvl>
    <w:lvl w:ilvl="1">
      <w:lvlJc w:val="left"/>
      <w:lvlText w:val="%2."/>
      <w:numFmt w:val="lowerLetter"/>
      <w:start w:val="4"/>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lowerLetter"/>
      <w:start w:val="4"/>
    </w:lvl>
  </w:abstractNum>
  <w:abstractNum w:abstractNumId="142">
    <w:nsid w:val="5451CF49"/>
    <w:multiLevelType w:val="hybridMultilevel"/>
    <w:lvl w:ilvl="0">
      <w:lvlJc w:val="left"/>
      <w:lvlText w:val="%1."/>
      <w:numFmt w:val="lowerLetter"/>
      <w:start w:val="1"/>
    </w:lvl>
  </w:abstractNum>
  <w:abstractNum w:abstractNumId="143">
    <w:nsid w:val="6181EF69"/>
    <w:multiLevelType w:val="hybridMultilevel"/>
    <w:lvl w:ilvl="0">
      <w:lvlJc w:val="left"/>
      <w:lvlText w:val="%1."/>
      <w:numFmt w:val="lowerLetter"/>
      <w:start w:val="8"/>
    </w:lvl>
  </w:abstractNum>
  <w:abstractNum w:abstractNumId="144">
    <w:nsid w:val="3E6400E6"/>
    <w:multiLevelType w:val="hybridMultilevel"/>
    <w:lvl w:ilvl="0">
      <w:lvlJc w:val="left"/>
      <w:lvlText w:val="%1."/>
      <w:numFmt w:val="lowerLetter"/>
      <w:start w:val="1"/>
    </w:lvl>
  </w:abstractNum>
  <w:abstractNum w:abstractNumId="145">
    <w:nsid w:val="14217E23"/>
    <w:multiLevelType w:val="hybridMultilevel"/>
    <w:lvl w:ilvl="0">
      <w:lvlJc w:val="left"/>
      <w:lvlText w:val="%1."/>
      <w:numFmt w:val="lowerLetter"/>
      <w:start w:val="3"/>
    </w:lvl>
  </w:abstractNum>
  <w:abstractNum w:abstractNumId="146">
    <w:nsid w:val="710757D0"/>
    <w:multiLevelType w:val="hybridMultilevel"/>
    <w:lvl w:ilvl="0">
      <w:lvlJc w:val="left"/>
      <w:lvlText w:val="%1."/>
      <w:numFmt w:val="lowerLetter"/>
      <w:start w:val="1"/>
    </w:lvl>
  </w:abstractNum>
  <w:abstractNum w:abstractNumId="147">
    <w:nsid w:val="5015CD1A"/>
    <w:multiLevelType w:val="hybridMultilevel"/>
    <w:lvl w:ilvl="0">
      <w:lvlJc w:val="left"/>
      <w:lvlText w:val="%1."/>
      <w:numFmt w:val="lowerLetter"/>
      <w:start w:val="3"/>
    </w:lvl>
  </w:abstractNum>
  <w:abstractNum w:abstractNumId="148">
    <w:nsid w:val="424479DA"/>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49">
    <w:nsid w:val="1A9A9E6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abstractNum>
  <w:abstractNum w:abstractNumId="150">
    <w:nsid w:val="475E256A"/>
    <w:multiLevelType w:val="hybridMultilevel"/>
    <w:lvl w:ilvl="0">
      <w:lvlJc w:val="left"/>
      <w:lvlText w:val="%1."/>
      <w:numFmt w:val="lowerRoman"/>
      <w:start w:val="7"/>
    </w:lvl>
  </w:abstractNum>
  <w:abstractNum w:abstractNumId="151">
    <w:nsid w:val="368DB37E"/>
    <w:multiLevelType w:val="hybridMultilevel"/>
    <w:lvl w:ilvl="0">
      <w:lvlJc w:val="left"/>
      <w:lvlText w:val="%1."/>
      <w:numFmt w:val="lowerLetter"/>
      <w:start w:val="1"/>
    </w:lvl>
  </w:abstractNum>
  <w:abstractNum w:abstractNumId="152">
    <w:nsid w:val="6A3B714C"/>
    <w:multiLevelType w:val="hybridMultilevel"/>
    <w:lvl w:ilvl="0">
      <w:lvlJc w:val="left"/>
      <w:lvlText w:val="(%1)"/>
      <w:numFmt w:val="lowerLetter"/>
      <w:start w:val="1"/>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1"/>
    </w:lvl>
  </w:abstractNum>
  <w:abstractNum w:abstractNumId="155">
    <w:nsid w:val="29BACF25"/>
    <w:multiLevelType w:val="hybridMultilevel"/>
    <w:lvl w:ilvl="0">
      <w:lvlJc w:val="left"/>
      <w:lvlText w:val="%1"/>
      <w:numFmt w:val="lowerLetter"/>
      <w:start w:val="1"/>
    </w:lvl>
    <w:lvl w:ilvl="1">
      <w:lvlJc w:val="left"/>
      <w:lvlText w:val="%2."/>
      <w:numFmt w:val="lowerLetter"/>
      <w:start w:val="3"/>
    </w:lvl>
  </w:abstractNum>
  <w:abstractNum w:abstractNumId="156">
    <w:nsid w:val="5D5BABB3"/>
    <w:multiLevelType w:val="hybridMultilevel"/>
    <w:lvl w:ilvl="0">
      <w:lvlJc w:val="left"/>
      <w:lvlText w:val="(%1)"/>
      <w:numFmt w:val="lowerLetter"/>
      <w:start w:val="24"/>
    </w:lvl>
    <w:lvl w:ilvl="1">
      <w:lvlJc w:val="left"/>
      <w:lvlText w:val="%2."/>
      <w:numFmt w:val="lowerLetter"/>
      <w:start w:val="6"/>
    </w:lvl>
  </w:abstractNum>
  <w:abstractNum w:abstractNumId="157">
    <w:nsid w:val="51BF6B48"/>
    <w:multiLevelType w:val="hybridMultilevel"/>
    <w:lvl w:ilvl="0">
      <w:lvlJc w:val="left"/>
      <w:lvlText w:val="(%1)"/>
      <w:numFmt w:val="lowerLetter"/>
      <w:start w:val="7"/>
    </w:lvl>
    <w:lvl w:ilvl="1">
      <w:lvlJc w:val="left"/>
      <w:lvlText w:val="%2."/>
      <w:numFmt w:val="lowerLetter"/>
      <w:start w:val="8"/>
    </w:lvl>
  </w:abstractNum>
  <w:abstractNum w:abstractNumId="158">
    <w:nsid w:val="7E0F6384"/>
    <w:multiLevelType w:val="hybridMultilevel"/>
    <w:lvl w:ilvl="0">
      <w:lvlJc w:val="left"/>
      <w:lvlText w:val="%1."/>
      <w:numFmt w:val="lowerLetter"/>
      <w:start w:val="10"/>
    </w:lvl>
  </w:abstractNum>
  <w:abstractNum w:abstractNumId="159">
    <w:nsid w:val="2B4B8B53"/>
    <w:multiLevelType w:val="hybridMultilevel"/>
    <w:lvl w:ilvl="0">
      <w:lvlJc w:val="left"/>
      <w:lvlText w:val="(%1)"/>
      <w:numFmt w:val="decimal"/>
      <w:start w:val="30"/>
    </w:lvl>
    <w:lvl w:ilvl="1">
      <w:lvlJc w:val="left"/>
      <w:lvlText w:val="%2."/>
      <w:numFmt w:val="lowerLetter"/>
      <w:start w:val="17"/>
    </w:lvl>
  </w:abstractNum>
  <w:abstractNum w:abstractNumId="160">
    <w:nsid w:val="72E3413A"/>
    <w:multiLevelType w:val="hybridMultilevel"/>
    <w:lvl w:ilvl="0">
      <w:lvlJc w:val="left"/>
      <w:lvlText w:val="%1."/>
      <w:numFmt w:val="lowerLetter"/>
      <w:start w:val="1"/>
    </w:lvl>
  </w:abstractNum>
  <w:abstractNum w:abstractNumId="161">
    <w:nsid w:val="116AE494"/>
    <w:multiLevelType w:val="hybridMultilevel"/>
    <w:lvl w:ilvl="0">
      <w:lvlJc w:val="left"/>
      <w:lvlText w:val="%1."/>
      <w:numFmt w:val="lowerLetter"/>
      <w:start w:val="3"/>
    </w:lvl>
    <w:lvl w:ilvl="1">
      <w:lvlJc w:val="left"/>
      <w:lvlText w:val="%2."/>
      <w:numFmt w:val="lowerRoman"/>
      <w:start w:val="1"/>
    </w:lvl>
  </w:abstractNum>
  <w:abstractNum w:abstractNumId="162">
    <w:nsid w:val="3494B2FB"/>
    <w:multiLevelType w:val="hybridMultilevel"/>
    <w:lvl w:ilvl="0">
      <w:lvlJc w:val="left"/>
      <w:lvlText w:val="%1."/>
      <w:numFmt w:val="lowerRoman"/>
      <w:start w:val="2"/>
    </w:lvl>
  </w:abstractNum>
  <w:abstractNum w:abstractNumId="163">
    <w:nsid w:val="B13A31"/>
    <w:multiLevelType w:val="hybridMultilevel"/>
    <w:lvl w:ilvl="0">
      <w:lvlJc w:val="left"/>
      <w:lvlText w:val="%1."/>
      <w:numFmt w:val="lowerLetter"/>
      <w:start w:val="6"/>
    </w:lvl>
  </w:abstractNum>
  <w:abstractNum w:abstractNumId="164">
    <w:nsid w:val="64429599"/>
    <w:multiLevelType w:val="hybridMultilevel"/>
    <w:lvl w:ilvl="0">
      <w:lvlJc w:val="left"/>
      <w:lvlText w:val="%1."/>
      <w:numFmt w:val="lowerLetter"/>
      <w:start w:val="1"/>
    </w:lvl>
  </w:abstractNum>
  <w:abstractNum w:abstractNumId="165">
    <w:nsid w:val="631F1690"/>
    <w:multiLevelType w:val="hybridMultilevel"/>
    <w:lvl w:ilvl="0">
      <w:lvlJc w:val="left"/>
      <w:lvlText w:val="%1."/>
      <w:numFmt w:val="lowerLetter"/>
      <w:start w:val="2"/>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4"/>
    </w:lvl>
  </w:abstractNum>
  <w:abstractNum w:abstractNumId="168">
    <w:nsid w:val="6EC9D844"/>
    <w:multiLevelType w:val="hybridMultilevel"/>
    <w:lvl w:ilvl="0">
      <w:lvlJc w:val="left"/>
      <w:lvlText w:val="%1."/>
      <w:numFmt w:val="lowerLetter"/>
      <w:start w:val="1"/>
    </w:lvl>
  </w:abstractNum>
  <w:abstractNum w:abstractNumId="169">
    <w:nsid w:val="5C49EAEE"/>
    <w:multiLevelType w:val="hybridMultilevel"/>
    <w:lvl w:ilvl="0">
      <w:lvlJc w:val="left"/>
      <w:lvlText w:val="%1."/>
      <w:numFmt w:val="lowerLetter"/>
      <w:start w:val="1"/>
    </w:lvl>
  </w:abstractNum>
  <w:abstractNum w:abstractNumId="170">
    <w:nsid w:val="64AF49B"/>
    <w:multiLevelType w:val="hybridMultilevel"/>
    <w:lvl w:ilvl="0">
      <w:lvlJc w:val="left"/>
      <w:lvlText w:val="%1."/>
      <w:numFmt w:val="lowerRoman"/>
      <w:start w:val="2"/>
    </w:lvl>
  </w:abstractNum>
  <w:abstractNum w:abstractNumId="171">
    <w:nsid w:val="397C46BC"/>
    <w:multiLevelType w:val="hybridMultilevel"/>
    <w:lvl w:ilvl="0">
      <w:lvlJc w:val="left"/>
      <w:lvlText w:val="%1."/>
      <w:numFmt w:val="lowerRoman"/>
      <w:start w:val="4"/>
    </w:lvl>
  </w:abstractNum>
  <w:abstractNum w:abstractNumId="172">
    <w:nsid w:val="7E448DE9"/>
    <w:multiLevelType w:val="hybridMultilevel"/>
    <w:lvl w:ilvl="0">
      <w:lvlJc w:val="left"/>
      <w:lvlText w:val="%1."/>
      <w:numFmt w:val="lowerLetter"/>
      <w:start w:val="1"/>
    </w:lvl>
  </w:abstractNum>
  <w:abstractNum w:abstractNumId="173">
    <w:nsid w:val="5A9CC3E5"/>
    <w:multiLevelType w:val="hybridMultilevel"/>
    <w:lvl w:ilvl="0">
      <w:lvlJc w:val="left"/>
      <w:lvlText w:val="%1."/>
      <w:numFmt w:val="lowerLetter"/>
      <w:start w:val="1"/>
    </w:lvl>
    <w:lvl w:ilvl="1">
      <w:lvlJc w:val="left"/>
      <w:lvlText w:val="%2."/>
      <w:numFmt w:val="lowerRoman"/>
      <w:start w:val="1"/>
    </w:lvl>
  </w:abstractNum>
  <w:abstractNum w:abstractNumId="174">
    <w:nsid w:val="1AFE3625"/>
    <w:multiLevelType w:val="hybridMultilevel"/>
    <w:lvl w:ilvl="0">
      <w:lvlJc w:val="left"/>
      <w:lvlText w:val="%1"/>
      <w:numFmt w:val="lowerLetter"/>
      <w:start w:val="1"/>
    </w:lvl>
    <w:lvl w:ilvl="1">
      <w:lvlJc w:val="left"/>
      <w:lvlText w:val="%2."/>
      <w:numFmt w:val="lowerRoman"/>
      <w:start w:val="4"/>
    </w:lvl>
  </w:abstractNum>
  <w:abstractNum w:abstractNumId="175">
    <w:nsid w:val="3CA88ECF"/>
    <w:multiLevelType w:val="hybridMultilevel"/>
    <w:lvl w:ilvl="0">
      <w:lvlJc w:val="left"/>
      <w:lvlText w:val="%1."/>
      <w:numFmt w:val="lowerLetter"/>
      <w:start w:val="2"/>
    </w:lvl>
    <w:lvl w:ilvl="1">
      <w:lvlJc w:val="left"/>
      <w:lvlText w:val="%2"/>
      <w:numFmt w:val="lowerRoman"/>
      <w:start w:val="1"/>
    </w:lvl>
  </w:abstractNum>
  <w:abstractNum w:abstractNumId="176">
    <w:nsid w:val="6EBE4208"/>
    <w:multiLevelType w:val="hybridMultilevel"/>
    <w:lvl w:ilvl="0">
      <w:lvlJc w:val="left"/>
      <w:lvlText w:val="%1."/>
      <w:numFmt w:val="lowerLetter"/>
      <w:start w:val="1"/>
    </w:lvl>
  </w:abstractNum>
  <w:abstractNum w:abstractNumId="177">
    <w:nsid w:val="C058DF5"/>
    <w:multiLevelType w:val="hybridMultilevel"/>
    <w:lvl w:ilvl="0">
      <w:lvlJc w:val="left"/>
      <w:lvlText w:val="%1"/>
      <w:numFmt w:val="lowerRoman"/>
      <w:start w:val="1"/>
    </w:lvl>
    <w:lvl w:ilvl="1">
      <w:lvlJc w:val="left"/>
      <w:lvlText w:val="%2."/>
      <w:numFmt w:val="lowerRoman"/>
      <w:start w:val="2"/>
    </w:lvl>
  </w:abstractNum>
  <w:abstractNum w:abstractNumId="178">
    <w:nsid w:val="CBE5BE9"/>
    <w:multiLevelType w:val="hybridMultilevel"/>
    <w:lvl w:ilvl="0">
      <w:lvlJc w:val="left"/>
      <w:lvlText w:val="%1."/>
      <w:numFmt w:val="lowerRoman"/>
      <w:start w:val="4"/>
    </w:lvl>
    <w:lvl w:ilvl="1">
      <w:lvlJc w:val="left"/>
      <w:lvlText w:val="%2."/>
      <w:numFmt w:val="lowerRoman"/>
      <w:start w:val="6"/>
    </w:lvl>
  </w:abstractNum>
  <w:abstractNum w:abstractNumId="179">
    <w:nsid w:val="3102BBE2"/>
    <w:multiLevelType w:val="hybridMultilevel"/>
    <w:lvl w:ilvl="0">
      <w:lvlJc w:val="left"/>
      <w:lvlText w:val="%1."/>
      <w:numFmt w:val="lowerLetter"/>
      <w:start w:val="2"/>
    </w:lvl>
  </w:abstractNum>
  <w:abstractNum w:abstractNumId="180">
    <w:nsid w:val="26A02C5E"/>
    <w:multiLevelType w:val="hybridMultilevel"/>
    <w:lvl w:ilvl="0">
      <w:lvlJc w:val="left"/>
      <w:lvlText w:val="%1."/>
      <w:numFmt w:val="lowerLetter"/>
      <w:start w:val="4"/>
    </w:lvl>
  </w:abstractNum>
  <w:abstractNum w:abstractNumId="181">
    <w:nsid w:val="541C8153"/>
    <w:multiLevelType w:val="hybridMultilevel"/>
    <w:lvl w:ilvl="0">
      <w:lvlJc w:val="left"/>
      <w:lvlText w:val="%1."/>
      <w:numFmt w:val="lowerLetter"/>
      <w:start w:val="1"/>
    </w:lvl>
  </w:abstractNum>
  <w:abstractNum w:abstractNumId="182">
    <w:nsid w:val="67906F60"/>
    <w:multiLevelType w:val="hybridMultilevel"/>
    <w:lvl w:ilvl="0">
      <w:lvlJc w:val="left"/>
      <w:lvlText w:val="%1."/>
      <w:numFmt w:val="lowerLetter"/>
      <w:start w:val="3"/>
    </w:lvl>
  </w:abstractNum>
  <w:abstractNum w:abstractNumId="183">
    <w:nsid w:val="10DB9DAA"/>
    <w:multiLevelType w:val="hybridMultilevel"/>
    <w:lvl w:ilvl="0">
      <w:lvlJc w:val="left"/>
      <w:lvlText w:val="%1."/>
      <w:numFmt w:val="lowerLetter"/>
      <w:start w:val="1"/>
    </w:lvl>
  </w:abstractNum>
  <w:abstractNum w:abstractNumId="184">
    <w:nsid w:val="697D2D2"/>
    <w:multiLevelType w:val="hybridMultilevel"/>
    <w:lvl w:ilvl="0">
      <w:lvlJc w:val="left"/>
      <w:lvlText w:val="%1."/>
      <w:numFmt w:val="lowerLetter"/>
      <w:start w:val="2"/>
    </w:lvl>
  </w:abstractNum>
  <w:abstractNum w:abstractNumId="185">
    <w:nsid w:val="6D68AB2"/>
    <w:multiLevelType w:val="hybridMultilevel"/>
    <w:lvl w:ilvl="0">
      <w:lvlJc w:val="left"/>
      <w:lvlText w:val="%1."/>
      <w:numFmt w:val="lowerLetter"/>
      <w:start w:val="4"/>
    </w:lvl>
  </w:abstractNum>
  <w:abstractNum w:abstractNumId="186">
    <w:nsid w:val="3A966CD0"/>
    <w:multiLevelType w:val="hybridMultilevel"/>
    <w:lvl w:ilvl="0">
      <w:lvlJc w:val="left"/>
      <w:lvlText w:val="%1."/>
      <w:numFmt w:val="lowerLetter"/>
      <w:start w:val="1"/>
    </w:lvl>
  </w:abstractNum>
  <w:abstractNum w:abstractNumId="187">
    <w:nsid w:val="63F37E85"/>
    <w:multiLevelType w:val="hybridMultilevel"/>
    <w:lvl w:ilvl="0">
      <w:lvlJc w:val="left"/>
      <w:lvlText w:val="%1"/>
      <w:numFmt w:val="lowerLetter"/>
      <w:start w:val="1"/>
    </w:lvl>
    <w:lvl w:ilvl="1">
      <w:lvlJc w:val="left"/>
      <w:lvlText w:val="%2."/>
      <w:numFmt w:val="lowerLetter"/>
      <w:start w:val="1"/>
    </w:lvl>
  </w:abstractNum>
  <w:abstractNum w:abstractNumId="188">
    <w:nsid w:val="5895F5FA"/>
    <w:multiLevelType w:val="hybridMultilevel"/>
    <w:lvl w:ilvl="0">
      <w:lvlJc w:val="left"/>
      <w:lvlText w:val="%1."/>
      <w:numFmt w:val="lowerLetter"/>
      <w:start w:val="35"/>
    </w:lvl>
    <w:lvl w:ilvl="1">
      <w:lvlJc w:val="left"/>
      <w:lvlText w:val="%2."/>
      <w:numFmt w:val="lowerLetter"/>
      <w:start w:val="1"/>
    </w:lvl>
  </w:abstractNum>
  <w:abstractNum w:abstractNumId="189">
    <w:nsid w:val="38A5D054"/>
    <w:multiLevelType w:val="hybridMultilevel"/>
    <w:lvl w:ilvl="0">
      <w:lvlJc w:val="left"/>
      <w:lvlText w:val="%1"/>
      <w:numFmt w:val="decimal"/>
      <w:start w:val="1"/>
    </w:lvl>
    <w:lvl w:ilvl="1">
      <w:lvlJc w:val="left"/>
      <w:lvlText w:val="%2."/>
      <w:numFmt w:val="lowerLetter"/>
      <w:start w:val="3"/>
    </w:lvl>
  </w:abstractNum>
  <w:abstractNum w:abstractNumId="190">
    <w:nsid w:val="F3F09D8"/>
    <w:multiLevelType w:val="hybridMultilevel"/>
    <w:lvl w:ilvl="0">
      <w:lvlJc w:val="left"/>
      <w:lvlText w:val="(%1)"/>
      <w:numFmt w:val="decimal"/>
      <w:start w:val="1"/>
    </w:lvl>
    <w:lvl w:ilvl="1">
      <w:lvlJc w:val="left"/>
      <w:lvlText w:val="%2."/>
      <w:numFmt w:val="lowerLetter"/>
      <w:start w:val="4"/>
    </w:lvl>
  </w:abstractNum>
  <w:abstractNum w:abstractNumId="191">
    <w:nsid w:val="4B793735"/>
    <w:multiLevelType w:val="hybridMultilevel"/>
    <w:lvl w:ilvl="0">
      <w:lvlJc w:val="left"/>
      <w:lvlText w:val="%1."/>
      <w:numFmt w:val="lowerRoman"/>
      <w:start w:val="3"/>
    </w:lvl>
  </w:abstractNum>
  <w:abstractNum w:abstractNumId="192">
    <w:nsid w:val="4A10B4E8"/>
    <w:multiLevelType w:val="hybridMultilevel"/>
    <w:lvl w:ilvl="0">
      <w:lvlJc w:val="left"/>
      <w:lvlText w:val="%1."/>
      <w:numFmt w:val="lowerRoman"/>
      <w:start w:val="4"/>
    </w:lvl>
  </w:abstractNum>
  <w:abstractNum w:abstractNumId="193">
    <w:nsid w:val="43D3BCD4"/>
    <w:multiLevelType w:val="hybridMultilevel"/>
    <w:lvl w:ilvl="0">
      <w:lvlJc w:val="left"/>
      <w:lvlText w:val="(%1)"/>
      <w:numFmt w:val="upperLetter"/>
      <w:start w:val="2"/>
    </w:lvl>
  </w:abstractNum>
  <w:abstractNum w:abstractNumId="194">
    <w:nsid w:val="4C2A7166"/>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2"/>
    </w:lvl>
  </w:abstractNum>
  <w:abstractNum w:abstractNumId="195">
    <w:nsid w:val="2E534A82"/>
    <w:multiLevelType w:val="hybridMultilevel"/>
    <w:lvl w:ilvl="0">
      <w:lvlJc w:val="left"/>
      <w:lvlText w:val="%1."/>
      <w:numFmt w:val="lowerLetter"/>
      <w:start w:val="1"/>
    </w:lvl>
  </w:abstractNum>
  <w:abstractNum w:abstractNumId="196">
    <w:nsid w:val="26F2D364"/>
    <w:multiLevelType w:val="hybridMultilevel"/>
    <w:lvl w:ilvl="0">
      <w:lvlJc w:val="left"/>
      <w:lvlText w:val="%1."/>
      <w:numFmt w:val="lowerLetter"/>
      <w:start w:val="2"/>
    </w:lvl>
  </w:abstractNum>
  <w:abstractNum w:abstractNumId="197">
    <w:nsid w:val="71C1AF98"/>
    <w:multiLevelType w:val="hybridMultilevel"/>
    <w:lvl w:ilvl="0">
      <w:lvlJc w:val="left"/>
      <w:lvlText w:val="%1."/>
      <w:numFmt w:val="lowerLetter"/>
      <w:start w:val="1"/>
    </w:lvl>
  </w:abstractNum>
  <w:abstractNum w:abstractNumId="198">
    <w:nsid w:val="3D00B9D9"/>
    <w:multiLevelType w:val="hybridMultilevel"/>
    <w:lvl w:ilvl="0">
      <w:lvlJc w:val="left"/>
      <w:lvlText w:val="%1."/>
      <w:numFmt w:val="lowerLetter"/>
      <w:start w:val="3"/>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1."/>
      <w:numFmt w:val="lowerLetter"/>
      <w:start w:val="2"/>
    </w:lvl>
  </w:abstractNum>
  <w:abstractNum w:abstractNumId="201">
    <w:nsid w:val="434BAE75"/>
    <w:multiLevelType w:val="hybridMultilevel"/>
    <w:lvl w:ilvl="0">
      <w:lvlJc w:val="left"/>
      <w:lvlText w:val="%1."/>
      <w:numFmt w:val="lowerLetter"/>
      <w:start w:val="1"/>
    </w:lvl>
  </w:abstractNum>
  <w:abstractNum w:abstractNumId="202">
    <w:nsid w:val="4F38F265"/>
    <w:multiLevelType w:val="hybridMultilevel"/>
    <w:lvl w:ilvl="0">
      <w:lvlJc w:val="left"/>
      <w:lvlText w:val="%1."/>
      <w:numFmt w:val="lowerLetter"/>
      <w:start w:val="2"/>
    </w:lvl>
  </w:abstractNum>
  <w:abstractNum w:abstractNumId="203">
    <w:nsid w:val="4C502870"/>
    <w:multiLevelType w:val="hybridMultilevel"/>
    <w:lvl w:ilvl="0">
      <w:lvlJc w:val="left"/>
      <w:lvlText w:val="%1."/>
      <w:numFmt w:val="lowerLetter"/>
      <w:start w:val="1"/>
    </w:lvl>
    <w:lvl w:ilvl="1">
      <w:lvlJc w:val="left"/>
      <w:lvlText w:val="%2"/>
      <w:numFmt w:val="lowerLetter"/>
      <w:start w:val="1"/>
    </w:lvl>
  </w:abstractNum>
  <w:abstractNum w:abstractNumId="204">
    <w:nsid w:val="1DE8725A"/>
    <w:multiLevelType w:val="hybridMultilevel"/>
    <w:lvl w:ilvl="0">
      <w:lvlJc w:val="left"/>
      <w:lvlText w:val="%1."/>
      <w:numFmt w:val="lowerRoman"/>
      <w:start w:val="2"/>
    </w:lvl>
  </w:abstractNum>
  <w:abstractNum w:abstractNumId="205">
    <w:nsid w:val="6A37288A"/>
    <w:multiLevelType w:val="hybridMultilevel"/>
    <w:lvl w:ilvl="0">
      <w:lvlJc w:val="left"/>
      <w:lvlText w:val="%1."/>
      <w:numFmt w:val="decimal"/>
      <w:start w:val="1"/>
    </w:lvl>
    <w:lvl w:ilvl="1">
      <w:lvlJc w:val="left"/>
      <w:lvlText w:val="%2."/>
      <w:numFmt w:val="lowerLetter"/>
      <w:start w:val="1"/>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2021-05-10T15:27:46Z</dcterms:created>
  <dcterms:modified xsi:type="dcterms:W3CDTF">2021-05-10T15:27:46Z</dcterms:modified>
</cp:coreProperties>
</file>