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9"/>
        <w:spacing w:after="0"/>
        <w:tabs>
          <w:tab w:leader="none" w:pos="56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1620" w:space="160"/>
            <w:col w:w="160" w:space="540"/>
            <w:col w:w="2880" w:space="180"/>
            <w:col w:w="5780"/>
          </w:cols>
          <w:pgMar w:left="240" w:top="230"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2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2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w:t>
      </w:r>
    </w:p>
    <w:p>
      <w:pPr>
        <w:spacing w:after="0" w:line="4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2010 ANNUAL MEETING OF STOCKHOLDERS</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(the “Company” or “Matrix Service”), a Delaware corporation, will be held at Matrix Service’s Corporate Headquarters, 5100 East Skelly Drive, Tulsa, Oklahoma, on the 2nd day of December 2010, at 10:30 a.m., Central time, for the following purposes:</w:t>
      </w:r>
    </w:p>
    <w:p>
      <w:pPr>
        <w:spacing w:after="0" w:line="59" w:lineRule="exact"/>
        <w:rPr>
          <w:sz w:val="20"/>
          <w:szCs w:val="20"/>
          <w:color w:val="auto"/>
        </w:rPr>
      </w:pPr>
    </w:p>
    <w:p>
      <w:pPr>
        <w:ind w:left="900" w:right="4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2011 or until their successors have been elected and qualified;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Board of Directors has fixed the close of business on October 13, 2010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3666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6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895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895985"/>
                    </a:xfrm>
                    <a:prstGeom prst="rect">
                      <a:avLst/>
                    </a:prstGeom>
                    <a:noFill/>
                  </pic:spPr>
                </pic:pic>
              </a:graphicData>
            </a:graphic>
          </wp:anchor>
        </w:drawing>
      </w:r>
    </w:p>
    <w:p>
      <w:pPr>
        <w:spacing w:after="0" w:line="233" w:lineRule="exact"/>
        <w:rPr>
          <w:sz w:val="20"/>
          <w:szCs w:val="20"/>
          <w:color w:val="auto"/>
        </w:rPr>
      </w:pPr>
    </w:p>
    <w:p>
      <w:pPr>
        <w:ind w:left="260" w:right="260"/>
        <w:spacing w:after="0" w:line="293" w:lineRule="auto"/>
        <w:rPr>
          <w:sz w:val="20"/>
          <w:szCs w:val="20"/>
          <w:color w:val="auto"/>
        </w:rPr>
      </w:pPr>
      <w:r>
        <w:rPr>
          <w:rFonts w:ascii="Arial" w:cs="Arial" w:eastAsia="Arial" w:hAnsi="Arial"/>
          <w:sz w:val="16"/>
          <w:szCs w:val="16"/>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Stockholders Meeting to be held on December 2, 2010</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Stockholders may view this proxy statement, our form of proxy and our 2010 Annual Report to Stockholders over the Internet by accessing our website at </w:t>
      </w:r>
      <w:r>
        <w:rPr>
          <w:rFonts w:ascii="Arial" w:cs="Arial" w:eastAsia="Arial" w:hAnsi="Arial"/>
          <w:sz w:val="18"/>
          <w:szCs w:val="18"/>
          <w:b w:val="1"/>
          <w:bCs w:val="1"/>
          <w:u w:val="single" w:color="auto"/>
          <w:color w:val="auto"/>
        </w:rPr>
        <w:t>http://www.matrixservice.com</w:t>
      </w:r>
      <w:r>
        <w:rPr>
          <w:rFonts w:ascii="Arial" w:cs="Arial" w:eastAsia="Arial" w:hAnsi="Arial"/>
          <w:sz w:val="18"/>
          <w:szCs w:val="18"/>
          <w:b w:val="1"/>
          <w:bCs w:val="1"/>
          <w:color w:val="auto"/>
        </w:rPr>
        <w:t>.</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88"/>
              </w:rPr>
              <w:t>5100 East Skelly Drive, Suite 700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w w:val="88"/>
              </w:rPr>
              <w:t>Tulsa, Oklahoma 74135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1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Solicitation and Revocation of Proxies</w:t>
              </w:r>
            </w:hyperlink>
          </w:p>
        </w:tc>
        <w:tc>
          <w:tcPr>
            <w:tcW w:w="8320" w:type="dxa"/>
            <w:vAlign w:val="bottom"/>
            <w:gridSpan w:val="23"/>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7"/>
            <w:vMerge w:val="continue"/>
          </w:tcPr>
          <w:p>
            <w:pPr>
              <w:spacing w:after="0"/>
              <w:rPr>
                <w:sz w:val="14"/>
                <w:szCs w:val="14"/>
                <w:color w:val="auto"/>
              </w:rPr>
            </w:pPr>
          </w:p>
        </w:tc>
        <w:tc>
          <w:tcPr>
            <w:tcW w:w="8320" w:type="dxa"/>
            <w:vAlign w:val="bottom"/>
            <w:gridSpan w:val="23"/>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Change in Fiscal Year</w:t>
              </w:r>
            </w:hyperlink>
          </w:p>
        </w:tc>
        <w:tc>
          <w:tcPr>
            <w:tcW w:w="948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040" w:type="dxa"/>
            <w:vAlign w:val="bottom"/>
            <w:gridSpan w:val="4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Stockholders Entitled to Vote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Proposal Number 1: Election of Directors</w:t>
              </w:r>
            </w:hyperlink>
          </w:p>
        </w:tc>
        <w:tc>
          <w:tcPr>
            <w:tcW w:w="81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Nominated Director Biographies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Corporate Governance and Board Matters</w:t>
              </w:r>
            </w:hyperlink>
          </w:p>
        </w:tc>
        <w:tc>
          <w:tcPr>
            <w:tcW w:w="80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 Independence Guidelines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Board Leadership Structure and Role in Risk Oversight</w:t>
              </w:r>
            </w:hyperlink>
          </w:p>
        </w:tc>
        <w:tc>
          <w:tcPr>
            <w:tcW w:w="67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Meetings and Committees of the Board of Directors</w:t>
              </w:r>
            </w:hyperlink>
          </w:p>
        </w:tc>
        <w:tc>
          <w:tcPr>
            <w:tcW w:w="69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Nomination Process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Executive Sessions</w:t>
              </w:r>
            </w:hyperlink>
          </w:p>
        </w:tc>
        <w:tc>
          <w:tcPr>
            <w:tcW w:w="680" w:type="dxa"/>
            <w:vAlign w:val="bottom"/>
            <w:tcBorders>
              <w:top w:val="single" w:sz="8" w:color="0000EE"/>
            </w:tcBorders>
            <w:gridSpan w:val="8"/>
          </w:tcPr>
          <w:p>
            <w:pPr>
              <w:spacing w:after="0"/>
              <w:rPr>
                <w:sz w:val="17"/>
                <w:szCs w:val="17"/>
                <w:color w:val="auto"/>
              </w:rPr>
            </w:pPr>
          </w:p>
        </w:tc>
        <w:tc>
          <w:tcPr>
            <w:tcW w:w="85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 of Directors</w:t>
              </w:r>
            </w:hyperlink>
          </w:p>
        </w:tc>
        <w:tc>
          <w:tcPr>
            <w:tcW w:w="74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Equity Ownership Guidelines for Directors</w:t>
              </w:r>
            </w:hyperlink>
          </w:p>
        </w:tc>
        <w:tc>
          <w:tcPr>
            <w:tcW w:w="75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Director Compensation</w:t>
              </w:r>
            </w:hyperlink>
          </w:p>
        </w:tc>
        <w:tc>
          <w:tcPr>
            <w:tcW w:w="938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2">
              <w:r>
                <w:rPr>
                  <w:rFonts w:ascii="Arial" w:cs="Arial" w:eastAsia="Arial" w:hAnsi="Arial"/>
                  <w:sz w:val="18"/>
                  <w:szCs w:val="18"/>
                  <w:color w:val="0000EE"/>
                  <w:w w:val="81"/>
                </w:rPr>
                <w:t>General</w:t>
              </w:r>
            </w:hyperlink>
          </w:p>
        </w:tc>
        <w:tc>
          <w:tcPr>
            <w:tcW w:w="1004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Audit Committee Matters</w:t>
              </w:r>
            </w:hyperlink>
          </w:p>
        </w:tc>
        <w:tc>
          <w:tcPr>
            <w:tcW w:w="922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Report of the Audit Committee of the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Fees of Independent Registered Public Accounting Firm</w:t>
              </w:r>
            </w:hyperlink>
          </w:p>
        </w:tc>
        <w:tc>
          <w:tcPr>
            <w:tcW w:w="40" w:type="dxa"/>
            <w:vAlign w:val="bottom"/>
            <w:tcBorders>
              <w:top w:val="single" w:sz="8" w:color="0000EE"/>
            </w:tcBorders>
          </w:tcPr>
          <w:p>
            <w:pPr>
              <w:spacing w:after="0"/>
              <w:rPr>
                <w:sz w:val="17"/>
                <w:szCs w:val="17"/>
                <w:color w:val="auto"/>
              </w:rPr>
            </w:pPr>
          </w:p>
        </w:tc>
        <w:tc>
          <w:tcPr>
            <w:tcW w:w="66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Audit Committee Pre-Approval Policy</w:t>
              </w:r>
            </w:hyperlink>
          </w:p>
        </w:tc>
        <w:tc>
          <w:tcPr>
            <w:tcW w:w="78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104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Number 2: Ratification of Selection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 Information</w:t>
              </w:r>
            </w:hyperlink>
          </w:p>
        </w:tc>
        <w:tc>
          <w:tcPr>
            <w:tcW w:w="42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 Biographies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Compensation Discussion and Analysis</w:t>
              </w:r>
            </w:hyperlink>
          </w:p>
        </w:tc>
        <w:tc>
          <w:tcPr>
            <w:tcW w:w="82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Key Elements of Executive Officer Compensation</w:t>
              </w:r>
            </w:hyperlink>
          </w:p>
        </w:tc>
        <w:tc>
          <w:tcPr>
            <w:tcW w:w="7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Report of the Compensation Committee of the Board of Directors</w:t>
              </w:r>
            </w:hyperlink>
          </w:p>
        </w:tc>
        <w:tc>
          <w:tcPr>
            <w:tcW w:w="59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Executive Officer Compensation</w:t>
              </w:r>
            </w:hyperlink>
          </w:p>
        </w:tc>
        <w:tc>
          <w:tcPr>
            <w:tcW w:w="87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Summary Compensation Table</w:t>
              </w:r>
            </w:hyperlink>
          </w:p>
        </w:tc>
        <w:tc>
          <w:tcPr>
            <w:tcW w:w="84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Grants of Plan-Based Awards</w:t>
              </w:r>
            </w:hyperlink>
          </w:p>
        </w:tc>
        <w:tc>
          <w:tcPr>
            <w:tcW w:w="84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Outstanding Equity Awards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40" w:type="dxa"/>
            <w:vAlign w:val="bottom"/>
            <w:tcBorders>
              <w:bottom w:val="single" w:sz="8" w:color="0000EE"/>
            </w:tcBorders>
            <w:gridSpan w:val="19"/>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Option Exercises and Stock Vested</w:t>
              </w:r>
            </w:hyperlink>
          </w:p>
        </w:tc>
        <w:tc>
          <w:tcPr>
            <w:tcW w:w="81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Potential Payments Upon Termination or Change of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540" w:type="dxa"/>
            <w:vAlign w:val="bottom"/>
            <w:tcBorders>
              <w:right w:val="single" w:sz="8" w:color="0000EE"/>
            </w:tcBorders>
            <w:gridSpan w:val="16"/>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Certain Relationships and Related Transactions</w:t>
              </w:r>
            </w:hyperlink>
          </w:p>
        </w:tc>
        <w:tc>
          <w:tcPr>
            <w:tcW w:w="76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Review, Approval or Ratification of Transactions with Related Parties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300" w:type="dxa"/>
            <w:vAlign w:val="bottom"/>
            <w:gridSpan w:val="21"/>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520" w:type="dxa"/>
            <w:vAlign w:val="bottom"/>
            <w:tcBorders>
              <w:left w:val="single" w:sz="8" w:color="0000EE"/>
            </w:tcBorders>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Security Ownership of Certain Beneficial Owners and Management</w:t>
              </w:r>
            </w:hyperlink>
          </w:p>
        </w:tc>
        <w:tc>
          <w:tcPr>
            <w:tcW w:w="62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8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Equity Ownership Guidelines for Executive Officers</w:t>
              </w:r>
            </w:hyperlink>
          </w:p>
        </w:tc>
        <w:tc>
          <w:tcPr>
            <w:tcW w:w="69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Section 16(a) Beneficial Ownership Reporting Compliance</w:t>
              </w:r>
            </w:hyperlink>
          </w:p>
        </w:tc>
        <w:tc>
          <w:tcPr>
            <w:tcW w:w="63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 Authorized for Issuance Under Equity Compensation Plans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300" w:type="dxa"/>
            <w:vAlign w:val="bottom"/>
            <w:gridSpan w:val="21"/>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Proposals of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Matters</w:t>
              </w:r>
            </w:hyperlink>
          </w:p>
        </w:tc>
        <w:tc>
          <w:tcPr>
            <w:tcW w:w="920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7"/>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Matters That May Come Before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8"/>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3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Availability of Form 10-K and Annual Report to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340" w:type="dxa"/>
            <w:vAlign w:val="bottom"/>
            <w:gridSpan w:val="34"/>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Important Notice Regarding the Availability of Proxy Materials for the Stockholders Meeting to be held on December 2,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December 2, 2010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proxy is solicited by the Board of Directors of Matrix Service Company (“Matrix Service”, the “Company”, “we”, “our” or “us”) for use at the Annual Meeting of Stockholders to be held on December 2, 2010, and at any adjournments thereof for the purposes set forth in the accompanying Notice of 2010 Annual Meeting of Stockholders. The Annual Meeting will be held at 10:30 a.m., Central time, at the Company’s Corporate Headquarters, 5100 East Skelly Drive, Tulsa, Oklahoma. This proxy statement and accompanying proxy were first sent on or about October 28, 2010 to stockholders of record on October 13, 2010. The annual report of the Company on Form 10-K for the fiscal year ended June 30, 2010 accompanies this proxy statement.</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Thomas E. Long, Secretary, Matrix Service Company, 5100 East Skelly Drive, Suite 700, Tulsa, Oklahoma, 74135, or by a later dated vote by Internet or by telephone. The proxy also may be revoked if the stockholder is present at the meeting and elects to vote in person.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FISCAL YEAR</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July 30, 2009 the Company’s Board of Directors approved a change in the Company’s fiscal year end from May 31 to June 30, effective July 1, 2009. As a result of the change, the Company had a transition period for the one month ended June 30, 2009. When we refer to any fiscal year prior to 2010 we mean the twelve months ended May 31. When we refer to fiscal 2010, we mean the twelve months ended June 30, 2010. We refer to the one month ended June 30, 2009 as the June Transition Period.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the close of business on the record date there were 26,352,477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which may be specified on all proposals, except the election of directors, will have the effect of a negative vote. A “broker non-vote” will have no effect on the outcome of the election of directors, or the other proposal.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 no longer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1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If, at the time of the 2010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Michael J. Bradley</w:t>
      </w:r>
      <w:r>
        <w:rPr>
          <w:rFonts w:ascii="Arial" w:cs="Arial" w:eastAsia="Arial" w:hAnsi="Arial"/>
          <w:sz w:val="16"/>
          <w:szCs w:val="16"/>
          <w:color w:val="auto"/>
        </w:rPr>
        <w:t>, age 56, was appointed as a director of the Company effective January 2007. Mr. Bradley has served as President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(CEO) of the Company since November 2006. Prior to joining Matrix Service, Mr. Bradley served as President and CEO of DCP Midstream Partners and was a member of the board. Mr. Bradley was named Group Vice President of Gathering and Processing for Duke Energy Field Services (DEFS) in 2004 and served as Executive Vice President DEFS from 2002 to 2004. From 1994 to 2002, he served as Senior Vice President DEFS and was responsible for business development and commercial activities. Mr. Bradley graduated from the University of Kansas with a Bachelor of Science degree in Civil Engineering. He also completed the Duke University Executive Management Program. Mr. Bradley currently serves on the Board of Directors of Regency Energy Partners, LP and previously served on the Board of Directors of DCP Midstream Partners, LP from December 2005 to November 2006. He is a member of the American Society of Civil Engineers and a former board member of the American Cancer Society and Tulsa Area United Way. He also serves on the advisory board for the University of Kansas, School of Engineering and on the boards of the Junior Achievement, the Tulsa Metro Chamber of Commerce and the Indian Nations Scout Council.</w:t>
      </w:r>
    </w:p>
    <w:p>
      <w:pPr>
        <w:spacing w:after="0" w:line="1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the current President and CEO of the Company, Mr. Bradley provides a management representative on the Board of Directors with extensive knowledge of our day-to-day operations. As a result, he can facilitate the Board of Directors’ access to timely and relevant information and its oversight of management’s strategy, planning and performance. In addition, Mr. Bradley brings to the Board of Directors considerable management and leadership experience, extensive knowledge of the energy industry and our business, and significant experience with mergers and acquisitions.</w:t>
      </w:r>
    </w:p>
    <w:p>
      <w:pPr>
        <w:spacing w:after="0" w:line="10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66, was first elected as a director of the Company effective October 1998 and was elected Chairman of the Board in November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Hall previously served as President and Chief Executive Officer of the Company from March 2005 until his retirement in November 2006. Mr. Hall also previously served as Vice President, Finance and Chief Financial Officer (CFO) of the Company from November 1998 until his initial retirement in May 2004. Prior to working for Matrix Service, Mr. Hall was Vice President and Chief Financial Officer for Pexco Holdings, Inc. from 1994 to 1997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director and Chairman of the Board of Integrated Electrical Services, Inc.; a member of the Board of Directors of Alliance G.P., LLC (the general partner of Alliance Holdings, G.P., L.P.); a member of the Board of Directors of Alliance Resource Management G.P., LLC (the managing general partner of Alliance Resources Partners, L.P.); and a former Independent Trustee and Chairman of the Board of Trustees for American Performance Funds.</w:t>
      </w:r>
    </w:p>
    <w:p>
      <w:pPr>
        <w:spacing w:after="0" w:line="11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his extensive experience and expertise in complex financial matters gained from his service as Chief Financial Officer of various private and public companies, and his extensive knowledge of our business resulting from his prior service as the Company’s CEO and CFO.</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66, was first elected as a director of the Company effective October 2000 and served as Chairman of the Board of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until November 2006. Mr. Hendrix has served as President of Patriot Energy Resources, LLC since 2005.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3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67, was first elected as a director of the Company effective October 2000. Mr. Lackey has served as Chairman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a director of the Oklahoma Business Roundtable, a director of the Tulsa Community Hospital Authority, and a director of St. John Health Systems.</w:t>
      </w:r>
    </w:p>
    <w:p>
      <w:pPr>
        <w:spacing w:after="0" w:line="1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3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65,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ranked 14</w:t>
      </w:r>
      <w:r>
        <w:rPr>
          <w:rFonts w:ascii="Arial" w:cs="Arial" w:eastAsia="Arial" w:hAnsi="Arial"/>
          <w:sz w:val="10"/>
          <w:szCs w:val="10"/>
          <w:color w:val="auto"/>
        </w:rPr>
        <w:t>th</w:t>
      </w:r>
      <w:r>
        <w:rPr>
          <w:rFonts w:ascii="Arial" w:cs="Arial" w:eastAsia="Arial" w:hAnsi="Arial"/>
          <w:sz w:val="16"/>
          <w:szCs w:val="16"/>
          <w:color w:val="auto"/>
        </w:rPr>
        <w:t xml:space="preserve"> by Engineering News-Record (ENR) among commercial construction companies in the United States. He has held this position for twenty-two years, and prior to his election to President and Chief Executive Officer of Flintco, Mr. Maxwell was the Chief Financial Officer of Flintco for five years. Mr. Maxwell began his career with five years at Deloitte and Touche and was the Chief Financial Officer of a public company, Kinark Corporation, for nine years. Mr. Maxwell earned Undergraduate and Masters Degrees in Accounting at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University of Oklahoma and is a Certified Public Accountant (inactive). Mr. Maxwell is a director of Summit Bank. In addition, Mr. Maxwell serves as a director for the Tulsa Metro Chamber of Commerce and the Oklahoma Business Roundtable, and as trustee for the Friends of Fairgrounds Foundation.</w:t>
      </w:r>
    </w:p>
    <w:p>
      <w:pPr>
        <w:spacing w:after="0" w:line="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70,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Inc.,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also previously served as Chief Executive Officer of UNOVEN and as Executive Vice President and director of Phillips Petroleum Company. Mr. Tippeconnic has a Bachelor of Science degree in Chemical Engineering from Oklahoma State University and a Masters of Science degree in Chemical Engineering from the University of Arizona and attended the Advanced Management Program at Harvard University. Mr. Tippeconnic serves as director for Rive Technology, ONEOK, Inc. and Cherokee Nation Businesses.</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Tippeconnic should serve as a Director include his long history of service in senior corporate leadership positions, his significant knowledge of the energy industry, and his extensive experience and expertise in complex financial matters gained from his service as Chief Executive Officer of large international energy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Pursuant to the applicable rules for companies traded on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Board of Directors has affirmatively determined that each of Mr. Hall, Mr. Hendrix, Mr. Lackey, Mr. Maxwell and Mr. Tippeconnic are “independent” under the guidelines. Mr. Bradley is not considered to be independent because of his current employment as President and Chief Executive Officer of the Company.</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five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Company’s Board of Directors met nine times during fiscal year 2010 and the June Transition Period. The Board has three standing committees – Audit Committee, Compensation Committee, and Nominating and Corporate Governance Committee. Each of the members of each of the committees qualifies as an “independent director” under the NASDAQ listing standards. During the 2010 fiscal year, each director attended a minimum of 75% of the total number of meetings of the Board and of the total number of meetings held by all committees of which he was a member.</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2009 annual meeting.</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3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2"/>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200" w:type="dxa"/>
            <w:vAlign w:val="bottom"/>
          </w:tcPr>
          <w:p>
            <w:pPr>
              <w:spacing w:after="0"/>
              <w:rPr>
                <w:sz w:val="24"/>
                <w:szCs w:val="24"/>
                <w:color w:val="auto"/>
              </w:rPr>
            </w:pPr>
          </w:p>
        </w:tc>
        <w:tc>
          <w:tcPr>
            <w:tcW w:w="2960" w:type="dxa"/>
            <w:vAlign w:val="bottom"/>
            <w:gridSpan w:val="3"/>
          </w:tcPr>
          <w:p>
            <w:pPr>
              <w:ind w:left="1080"/>
              <w:spacing w:after="0"/>
              <w:rPr>
                <w:sz w:val="20"/>
                <w:szCs w:val="20"/>
                <w:color w:val="auto"/>
              </w:rPr>
            </w:pPr>
            <w:r>
              <w:rPr>
                <w:rFonts w:ascii="Arial" w:cs="Arial" w:eastAsia="Arial" w:hAnsi="Arial"/>
                <w:sz w:val="14"/>
                <w:szCs w:val="14"/>
                <w:b w:val="1"/>
                <w:bCs w:val="1"/>
                <w:color w:val="auto"/>
                <w:w w:val="90"/>
              </w:rPr>
              <w:t>Fiscal 2010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I. Edgar</w:t>
            </w:r>
          </w:p>
        </w:tc>
        <w:tc>
          <w:tcPr>
            <w:tcW w:w="2900" w:type="dxa"/>
            <w:vAlign w:val="bottom"/>
          </w:tcPr>
          <w:p>
            <w:pPr>
              <w:ind w:left="120"/>
              <w:spacing w:after="0" w:line="201" w:lineRule="exact"/>
              <w:rPr>
                <w:sz w:val="20"/>
                <w:szCs w:val="20"/>
                <w:color w:val="auto"/>
              </w:rPr>
            </w:pPr>
            <w:r>
              <w:rPr>
                <w:rFonts w:ascii="Arial" w:cs="Arial" w:eastAsia="Arial" w:hAnsi="Arial"/>
                <w:sz w:val="18"/>
                <w:szCs w:val="18"/>
                <w:color w:val="auto"/>
              </w:rPr>
              <w:t>Hendrix, Chairman</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2010</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1200" w:type="dxa"/>
            <w:vAlign w:val="bottom"/>
          </w:tcPr>
          <w:p>
            <w:pPr>
              <w:spacing w:after="0"/>
              <w:rPr>
                <w:sz w:val="18"/>
                <w:szCs w:val="18"/>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2010</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1200" w:type="dxa"/>
            <w:vAlign w:val="bottom"/>
          </w:tcPr>
          <w:p>
            <w:pPr>
              <w:spacing w:after="0"/>
              <w:rPr>
                <w:sz w:val="18"/>
                <w:szCs w:val="18"/>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2010</w:t>
            </w: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1200" w:type="dxa"/>
            <w:vAlign w:val="bottom"/>
          </w:tcPr>
          <w:p>
            <w:pPr>
              <w:spacing w:after="0"/>
              <w:rPr>
                <w:sz w:val="19"/>
                <w:szCs w:val="19"/>
                <w:color w:val="auto"/>
              </w:rPr>
            </w:pPr>
          </w:p>
        </w:tc>
        <w:tc>
          <w:tcPr>
            <w:tcW w:w="2960" w:type="dxa"/>
            <w:vAlign w:val="bottom"/>
            <w:gridSpan w:val="3"/>
          </w:tcPr>
          <w:p>
            <w:pPr>
              <w:ind w:left="1080"/>
              <w:spacing w:after="0"/>
              <w:rPr>
                <w:sz w:val="20"/>
                <w:szCs w:val="20"/>
                <w:color w:val="auto"/>
              </w:rPr>
            </w:pPr>
            <w:r>
              <w:rPr>
                <w:rFonts w:ascii="Arial" w:cs="Arial" w:eastAsia="Arial" w:hAnsi="Arial"/>
                <w:sz w:val="18"/>
                <w:szCs w:val="18"/>
                <w:color w:val="auto"/>
                <w:w w:val="94"/>
              </w:rPr>
              <w:t>Served all of Fiscal 2010</w:t>
            </w:r>
          </w:p>
        </w:tc>
      </w:tr>
    </w:tbl>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Audit Committee held four meetings during fiscal 2010 and the June Transition Period.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Compensation Committee</w:t>
            </w:r>
          </w:p>
        </w:tc>
        <w:tc>
          <w:tcPr>
            <w:tcW w:w="1320" w:type="dxa"/>
            <w:vAlign w:val="bottom"/>
          </w:tcPr>
          <w:p>
            <w:pPr>
              <w:spacing w:after="0"/>
              <w:rPr>
                <w:sz w:val="18"/>
                <w:szCs w:val="18"/>
                <w:color w:val="auto"/>
              </w:rPr>
            </w:pPr>
          </w:p>
        </w:tc>
      </w:tr>
      <w:tr>
        <w:trPr>
          <w:trHeight w:val="372"/>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28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Fiscal 2010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Paul K.</w:t>
            </w:r>
          </w:p>
        </w:tc>
        <w:tc>
          <w:tcPr>
            <w:tcW w:w="3780" w:type="dxa"/>
            <w:vAlign w:val="bottom"/>
          </w:tcPr>
          <w:p>
            <w:pPr>
              <w:ind w:left="80"/>
              <w:spacing w:after="0" w:line="201" w:lineRule="exact"/>
              <w:rPr>
                <w:sz w:val="20"/>
                <w:szCs w:val="20"/>
                <w:color w:val="auto"/>
              </w:rPr>
            </w:pPr>
            <w:r>
              <w:rPr>
                <w:rFonts w:ascii="Arial" w:cs="Arial" w:eastAsia="Arial" w:hAnsi="Arial"/>
                <w:sz w:val="18"/>
                <w:szCs w:val="18"/>
                <w:color w:val="auto"/>
              </w:rPr>
              <w:t>Lackey, Chairman</w:t>
            </w:r>
          </w:p>
        </w:tc>
        <w:tc>
          <w:tcPr>
            <w:tcW w:w="140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2010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2010</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3280" w:type="dxa"/>
            <w:vAlign w:val="bottom"/>
            <w:gridSpan w:val="3"/>
          </w:tcPr>
          <w:p>
            <w:pPr>
              <w:ind w:left="1400"/>
              <w:spacing w:after="0"/>
              <w:rPr>
                <w:sz w:val="20"/>
                <w:szCs w:val="20"/>
                <w:color w:val="auto"/>
              </w:rPr>
            </w:pPr>
            <w:r>
              <w:rPr>
                <w:rFonts w:ascii="Arial" w:cs="Arial" w:eastAsia="Arial" w:hAnsi="Arial"/>
                <w:sz w:val="18"/>
                <w:szCs w:val="18"/>
                <w:color w:val="auto"/>
                <w:w w:val="94"/>
              </w:rPr>
              <w:t>Served all of Fiscal 2010</w:t>
            </w:r>
          </w:p>
        </w:tc>
      </w:tr>
    </w:tbl>
    <w:p>
      <w:pPr>
        <w:spacing w:after="0" w:line="15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The Compensation Committee held five meetings during fiscal 2010 and the June Transition Period. The Compensation Committee has no authority under its charter to delegate some or all of its authority to subcommittees or other persons and it has no current plans to do so.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fiscal 2010, the Compensation Committee was composed of I. Edgar Hendrix, Paul K. Lackey, Tom E. Maxwell and David J. Tippeconnic, all of whom are non-employee directors of the Company. During fiscal 2010,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Arial" w:cs="Arial" w:eastAsia="Arial" w:hAnsi="Arial"/>
                <w:sz w:val="18"/>
                <w:szCs w:val="18"/>
                <w:b w:val="1"/>
                <w:bCs w:val="1"/>
                <w:color w:val="auto"/>
                <w:w w:val="97"/>
              </w:rPr>
              <w:t>Nominating and Corporate Governance Committee</w:t>
            </w:r>
          </w:p>
        </w:tc>
      </w:tr>
      <w:tr>
        <w:trPr>
          <w:trHeight w:val="20"/>
        </w:trPr>
        <w:tc>
          <w:tcPr>
            <w:tcW w:w="3320" w:type="dxa"/>
            <w:vAlign w:val="bottom"/>
            <w:gridSpan w:val="2"/>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240" w:type="dxa"/>
            <w:vAlign w:val="bottom"/>
            <w:gridSpan w:val="3"/>
          </w:tcPr>
          <w:p>
            <w:pPr>
              <w:ind w:left="2360"/>
              <w:spacing w:after="0"/>
              <w:rPr>
                <w:sz w:val="20"/>
                <w:szCs w:val="20"/>
                <w:color w:val="auto"/>
              </w:rPr>
            </w:pPr>
            <w:r>
              <w:rPr>
                <w:rFonts w:ascii="Arial" w:cs="Arial" w:eastAsia="Arial" w:hAnsi="Arial"/>
                <w:sz w:val="14"/>
                <w:szCs w:val="14"/>
                <w:b w:val="1"/>
                <w:bCs w:val="1"/>
                <w:color w:val="auto"/>
                <w:w w:val="90"/>
              </w:rPr>
              <w:t>Fiscal 2010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Tom E.</w:t>
            </w: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Maxwell, Chairman</w:t>
            </w:r>
          </w:p>
        </w:tc>
        <w:tc>
          <w:tcPr>
            <w:tcW w:w="236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2010</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4240" w:type="dxa"/>
            <w:vAlign w:val="bottom"/>
            <w:gridSpan w:val="3"/>
          </w:tcPr>
          <w:p>
            <w:pPr>
              <w:ind w:left="2360"/>
              <w:spacing w:after="0"/>
              <w:rPr>
                <w:sz w:val="20"/>
                <w:szCs w:val="20"/>
                <w:color w:val="auto"/>
              </w:rPr>
            </w:pPr>
            <w:r>
              <w:rPr>
                <w:rFonts w:ascii="Arial" w:cs="Arial" w:eastAsia="Arial" w:hAnsi="Arial"/>
                <w:sz w:val="18"/>
                <w:szCs w:val="18"/>
                <w:color w:val="auto"/>
                <w:w w:val="94"/>
              </w:rPr>
              <w:t>Served all of Fiscal 2010</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4240" w:type="dxa"/>
            <w:vAlign w:val="bottom"/>
            <w:gridSpan w:val="3"/>
          </w:tcPr>
          <w:p>
            <w:pPr>
              <w:ind w:left="2360"/>
              <w:spacing w:after="0"/>
              <w:rPr>
                <w:sz w:val="20"/>
                <w:szCs w:val="20"/>
                <w:color w:val="auto"/>
              </w:rPr>
            </w:pPr>
            <w:r>
              <w:rPr>
                <w:rFonts w:ascii="Arial" w:cs="Arial" w:eastAsia="Arial" w:hAnsi="Arial"/>
                <w:sz w:val="18"/>
                <w:szCs w:val="18"/>
                <w:color w:val="auto"/>
                <w:w w:val="94"/>
              </w:rPr>
              <w:t>Served all of Fiscal 2010</w:t>
            </w:r>
          </w:p>
        </w:tc>
      </w:tr>
      <w:tr>
        <w:trPr>
          <w:trHeight w:val="222"/>
        </w:trPr>
        <w:tc>
          <w:tcPr>
            <w:tcW w:w="332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4240" w:type="dxa"/>
            <w:vAlign w:val="bottom"/>
            <w:gridSpan w:val="3"/>
          </w:tcPr>
          <w:p>
            <w:pPr>
              <w:ind w:left="2360"/>
              <w:spacing w:after="0"/>
              <w:rPr>
                <w:sz w:val="20"/>
                <w:szCs w:val="20"/>
                <w:color w:val="auto"/>
              </w:rPr>
            </w:pPr>
            <w:r>
              <w:rPr>
                <w:rFonts w:ascii="Arial" w:cs="Arial" w:eastAsia="Arial" w:hAnsi="Arial"/>
                <w:sz w:val="18"/>
                <w:szCs w:val="18"/>
                <w:color w:val="auto"/>
                <w:w w:val="94"/>
              </w:rPr>
              <w:t>Served all of Fiscal 2010</w:t>
            </w:r>
          </w:p>
        </w:tc>
      </w:tr>
    </w:tbl>
    <w:p>
      <w:pPr>
        <w:spacing w:after="0" w:line="1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2010 and the June Transition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Thomas E. Long,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Executive sessions of the non-management directors are held periodically. The sessions are chaired by the independent, non-executive Chairman of the Board. Any non-management director may request that an additional executive session be scheduled. Executive sessions of the independent directors only are held at least once each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use the Company’s online submission form at the FAQ section of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xml:space="preserve"> to contact the Board or any of the directors. All communications will be compiled by the Company’s Corporate Secretary and submitted to the Board or the individual director on a periodic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non-employee director is strongly encouraged to have a significant investment in the Company evidenced by the ownership, from time to time, either directly or indirectly, of an approximate value of $100,000 of Matrix Service Common Stock. For purposes of these guidelines, “indirect ownership” includes the pre-tax “in the money” market value of stock options and phantom stock in the director’s deferred compensation plan. Non-employee directors have five years from the date of their initial election to the Board to meet this requirement. As of September 1, 2010, all non-employee directors were in compliance with the Equity Ownership Guidelines.</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Since Mr. Bradley is the Chief Executive Officer of the Company, he must comply with the Equity Ownership Guidelines for Executive Officers, which are discussed in this proxy statement under the caption “Equity Ownership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elements of our non-employee director compensation consist of cash compensation and equity compensation. Our objective with director compensation is to position ourselves to attract and retain individuals with relevant business and leadership backgrounds and experience by providing a competitive package of cash and equity compensation.</w:t>
      </w:r>
    </w:p>
    <w:p>
      <w:pPr>
        <w:spacing w:after="0" w:line="14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Board’s philosophy is to keep director compensation competitive, simple and aligned with the interests of our stockholders. The Committee reviews benchmark data from outside consultants and makes recommendations to the full Board for approval.</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Director compensation review is conducted on a bi-annual basis. This review was last completed in July 2008 and, most recently, in September 2010. Compensation was adjusted in July 2008, as outlined below. Director compensation was formally benchmarked and evaluated again in September 2010 and no adjustments to any element of the compensation package were made.</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fiscal 2008, the Committee engaged a third party compensation consultant, Hewitt Associates LLC (“Hewitt”), to conduct a current market study of director compensation. Hewitt obtained benchmark data using published compensation surveys and proxy analysis of selected benchmark companies similar in size, location and industry. For fiscal 2009, the proxy analysis consisted of a review of the director pay at the same peer companies that were used to perform a proxy analysis of the pay of our executive officers.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Based on the consultant’s findings and recommendations, the Committee determined that total compensation for directors should be approximately $125,000 with approximately 50% in cash and 50% in equity. The objective is to provide a long-term component to total compensation that aligns the interests of directors with those of our stockholders through stock ownership. Therefore, the Committee recommended that the equity component of direction compensation should be performance-based Restricted Stock Units (“RSU’s”), which ties a director’s compensation directly to our performance.</w:t>
      </w:r>
    </w:p>
    <w:p>
      <w:pPr>
        <w:spacing w:after="0" w:line="113"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At the July 2008 Board meeting, adjustments were made to the annual retainer, Committee Chair and Chairman fees for fiscal 2009. The annual retainer was established as $60,000 plus $5,000 for each of the Committee Chairmen. The additional fee for the Chairman of the Board is 25% of the annual retainer, or $15,000. Cash compensation may be taken in the form of cash payments or may be deferred with interest.</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Equity compensation for fiscal 2009 was granted at a value of $65,000 and was all performance-based. The performance measure utilized was Matrix Service’s consolidated fully-diluted earnings per share (“EPS”) for a three-year period beginning in fiscal 2009. Restrictions will lapse at the end of the three-year period, based on the Company’s performance and have Threshold, Target and Maximum levels of achievement. In the event the minimum performance goal is not achieved, the RSU’s will be forfeited.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October 2009, the Committee requested Hewitt review the prevalence of performance-based director compensation.</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Based on Hewitt’s findings and, after extensive discussion with the Hewitt consultant, the Committee approved a change in director RSU awards to be 100% time-based, in light of the perceived risk that tying director awards to company performance could promote excessive risk taking.</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Beginning with the October 2009 grant, RSU awards for directors are 100% time-based with cliff vesting which occurs on the earlier of the third anniversary of the date of the award or the director’s departure from the Board for any reason.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2009 RSU awards to non-employee directors is detailed below:</w:t>
      </w:r>
    </w:p>
    <w:p>
      <w:pPr>
        <w:spacing w:after="0" w:line="90" w:lineRule="exact"/>
        <w:rPr>
          <w:sz w:val="20"/>
          <w:szCs w:val="20"/>
          <w:color w:val="auto"/>
        </w:rPr>
      </w:pPr>
    </w:p>
    <w:p>
      <w:pPr>
        <w:ind w:left="5680" w:right="3960" w:hanging="5226"/>
        <w:spacing w:after="0" w:line="440" w:lineRule="auto"/>
        <w:tabs>
          <w:tab w:leader="none" w:pos="9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$65,000 annual value of the award represents approximately 50% of total compensation. 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number of RSU’s is determined by dividing annual value by the 20-day moving average of the Company’s common stock price calculated five days prior to the grant date.</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with the RSU awards for Named Executive Officers, for the October 2009 RSU award, we followed this standard plan formula, but because of the stock price, the number of RSU’s awarded to directors and management would have resulted in using more than half of the number of shares approved by stockholders at the 2009 Annual Meeting in one annual grant. In order to achieve a sustainable “burn rate” for RSU awards, management proposed and the Board approved a reduction in the award to each director to 60% of what would otherwise be awarded, the same approach than was taken with executive management.</w:t>
      </w:r>
    </w:p>
    <w:p>
      <w:pPr>
        <w:spacing w:after="0" w:line="143"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color w:val="auto"/>
        </w:rPr>
        <w:t>As noted above, in July 2010, the Committee once again engaged Hewitt to conduct a current market study of director compensation. Hewitt obtained benchmark data using published compensation surveys and proxy analysis of selected benchmark companies similar in size, location and industry. For fiscal 2011, the proxy analysis consisted of a review of the director pay at the same peer companies that were used to perform a proxy analysis of the pay of our executive officers.</w:t>
      </w:r>
    </w:p>
    <w:p>
      <w:pPr>
        <w:spacing w:after="0" w:line="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Based on Hewitt’s findings and, after consultation with the Hewitt consultant, the Committee recommended no adjustment to director compensation for fiscal 2011, which the Board approved. The fiscal 2011 RSU award is expected to have an annual value of $65,000 and to cliff vest in three years.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also has a Deferred Fee Plan which allows directors to defer all or a portion of their cash compensation with interest. The effective interest rate for the subsequent calendar year is researched and recommended by the CFO for approval by the Committee at the regularly-scheduled meeting each November. For 2010, the interest rate is 5.25%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also eligible to participate in our medical, dental and vision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2010 and for the June Transition Period is summarized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 in</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Deferred</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or Paid in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Cash</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Earnings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80" w:type="dxa"/>
            <w:vAlign w:val="bottom"/>
          </w:tcPr>
          <w:p>
            <w:pPr>
              <w:spacing w:after="0"/>
              <w:rPr>
                <w:sz w:val="12"/>
                <w:szCs w:val="12"/>
                <w:color w:val="auto"/>
              </w:rPr>
            </w:pPr>
          </w:p>
        </w:tc>
        <w:tc>
          <w:tcPr>
            <w:tcW w:w="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8"/>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Name (1)</w:t>
            </w:r>
          </w:p>
        </w:tc>
        <w:tc>
          <w:tcPr>
            <w:tcW w:w="2160" w:type="dxa"/>
            <w:vAlign w:val="bottom"/>
            <w:gridSpan w:val="2"/>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(5) (6)</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(7)</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Hall</w:t>
            </w:r>
          </w:p>
        </w:tc>
        <w:tc>
          <w:tcPr>
            <w:tcW w:w="7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2010</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35,372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9"/>
              </w:rPr>
              <w:t>6,607</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116,979</w:t>
            </w: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June</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2009</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551</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6,801</w:t>
            </w: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I. Edgar Hendrix</w:t>
            </w:r>
          </w:p>
        </w:tc>
        <w:tc>
          <w:tcPr>
            <w:tcW w:w="740" w:type="dxa"/>
            <w:vAlign w:val="bottom"/>
          </w:tcPr>
          <w:p>
            <w:pPr>
              <w:spacing w:after="0"/>
              <w:rPr>
                <w:sz w:val="11"/>
                <w:szCs w:val="11"/>
                <w:color w:val="auto"/>
              </w:rPr>
            </w:pPr>
          </w:p>
        </w:tc>
        <w:tc>
          <w:tcPr>
            <w:tcW w:w="4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9"/>
              </w:rPr>
              <w:t>2010</w:t>
            </w:r>
          </w:p>
        </w:tc>
        <w:tc>
          <w:tcPr>
            <w:tcW w:w="120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65,000</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35,372</w:t>
            </w:r>
          </w:p>
        </w:tc>
        <w:tc>
          <w:tcPr>
            <w:tcW w:w="320" w:type="dxa"/>
            <w:vAlign w:val="bottom"/>
          </w:tcPr>
          <w:p>
            <w:pPr>
              <w:spacing w:after="0"/>
              <w:rPr>
                <w:sz w:val="11"/>
                <w:szCs w:val="11"/>
                <w:color w:val="auto"/>
              </w:rPr>
            </w:pPr>
          </w:p>
        </w:tc>
        <w:tc>
          <w:tcPr>
            <w:tcW w:w="4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3,913</w:t>
            </w:r>
          </w:p>
        </w:tc>
        <w:tc>
          <w:tcPr>
            <w:tcW w:w="300" w:type="dxa"/>
            <w:vAlign w:val="bottom"/>
          </w:tcPr>
          <w:p>
            <w:pPr>
              <w:spacing w:after="0"/>
              <w:rPr>
                <w:sz w:val="11"/>
                <w:szCs w:val="11"/>
                <w:color w:val="auto"/>
              </w:rPr>
            </w:pPr>
          </w:p>
        </w:tc>
        <w:tc>
          <w:tcPr>
            <w:tcW w:w="900" w:type="dxa"/>
            <w:vAlign w:val="bottom"/>
          </w:tcPr>
          <w:p>
            <w:pPr>
              <w:ind w:left="600"/>
              <w:spacing w:after="0" w:line="138" w:lineRule="exact"/>
              <w:rPr>
                <w:sz w:val="20"/>
                <w:szCs w:val="20"/>
                <w:color w:val="auto"/>
              </w:rPr>
            </w:pPr>
            <w:r>
              <w:rPr>
                <w:rFonts w:ascii="Arial" w:cs="Arial" w:eastAsia="Arial" w:hAnsi="Arial"/>
                <w:sz w:val="14"/>
                <w:szCs w:val="14"/>
                <w:color w:val="auto"/>
                <w:w w:val="79"/>
              </w:rPr>
              <w:t>6,607</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110,891</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ind w:left="240"/>
              <w:spacing w:after="0" w:line="159" w:lineRule="exact"/>
              <w:rPr>
                <w:sz w:val="20"/>
                <w:szCs w:val="20"/>
                <w:color w:val="auto"/>
              </w:rPr>
            </w:pPr>
            <w:r>
              <w:rPr>
                <w:rFonts w:ascii="Arial" w:cs="Arial" w:eastAsia="Arial" w:hAnsi="Arial"/>
                <w:sz w:val="14"/>
                <w:szCs w:val="14"/>
                <w:color w:val="auto"/>
              </w:rPr>
              <w:t>June</w:t>
            </w:r>
          </w:p>
        </w:tc>
        <w:tc>
          <w:tcPr>
            <w:tcW w:w="4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9"/>
              </w:rPr>
              <w:t>2009</w:t>
            </w:r>
          </w:p>
        </w:tc>
        <w:tc>
          <w:tcPr>
            <w:tcW w:w="12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5,417</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4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323</w:t>
            </w:r>
          </w:p>
        </w:tc>
        <w:tc>
          <w:tcPr>
            <w:tcW w:w="300" w:type="dxa"/>
            <w:vAlign w:val="bottom"/>
          </w:tcPr>
          <w:p>
            <w:pPr>
              <w:spacing w:after="0"/>
              <w:rPr>
                <w:sz w:val="13"/>
                <w:szCs w:val="13"/>
                <w:color w:val="auto"/>
              </w:rPr>
            </w:pPr>
          </w:p>
        </w:tc>
        <w:tc>
          <w:tcPr>
            <w:tcW w:w="900" w:type="dxa"/>
            <w:vAlign w:val="bottom"/>
          </w:tcPr>
          <w:p>
            <w:pPr>
              <w:ind w:left="700"/>
              <w:spacing w:after="0" w:line="159" w:lineRule="exact"/>
              <w:rPr>
                <w:sz w:val="20"/>
                <w:szCs w:val="20"/>
                <w:color w:val="auto"/>
              </w:rPr>
            </w:pPr>
            <w:r>
              <w:rPr>
                <w:rFonts w:ascii="Arial" w:cs="Arial" w:eastAsia="Arial" w:hAnsi="Arial"/>
                <w:sz w:val="14"/>
                <w:szCs w:val="14"/>
                <w:color w:val="auto"/>
                <w:w w:val="76"/>
              </w:rPr>
              <w:t>551</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6,290</w:t>
            </w: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Paul K. Lackey</w:t>
            </w:r>
          </w:p>
        </w:tc>
        <w:tc>
          <w:tcPr>
            <w:tcW w:w="7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2010</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35,372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3,414</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103,786</w:t>
            </w: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June</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2009</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5,668</w:t>
            </w: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Tom E. Maxwell</w:t>
            </w:r>
          </w:p>
        </w:tc>
        <w:tc>
          <w:tcPr>
            <w:tcW w:w="740" w:type="dxa"/>
            <w:vAlign w:val="bottom"/>
          </w:tcPr>
          <w:p>
            <w:pPr>
              <w:spacing w:after="0"/>
              <w:rPr>
                <w:sz w:val="11"/>
                <w:szCs w:val="11"/>
                <w:color w:val="auto"/>
              </w:rPr>
            </w:pPr>
          </w:p>
        </w:tc>
        <w:tc>
          <w:tcPr>
            <w:tcW w:w="4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9"/>
              </w:rPr>
              <w:t>2010</w:t>
            </w:r>
          </w:p>
        </w:tc>
        <w:tc>
          <w:tcPr>
            <w:tcW w:w="120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65,000</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35,372</w:t>
            </w:r>
          </w:p>
        </w:tc>
        <w:tc>
          <w:tcPr>
            <w:tcW w:w="320" w:type="dxa"/>
            <w:vAlign w:val="bottom"/>
          </w:tcPr>
          <w:p>
            <w:pPr>
              <w:spacing w:after="0"/>
              <w:rPr>
                <w:sz w:val="11"/>
                <w:szCs w:val="11"/>
                <w:color w:val="auto"/>
              </w:rPr>
            </w:pPr>
          </w:p>
        </w:tc>
        <w:tc>
          <w:tcPr>
            <w:tcW w:w="4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3,113</w:t>
            </w:r>
          </w:p>
        </w:tc>
        <w:tc>
          <w:tcPr>
            <w:tcW w:w="900" w:type="dxa"/>
            <w:vAlign w:val="bottom"/>
          </w:tcPr>
          <w:p>
            <w:pPr>
              <w:ind w:left="7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103,485</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ind w:left="240"/>
              <w:spacing w:after="0" w:line="159" w:lineRule="exact"/>
              <w:rPr>
                <w:sz w:val="20"/>
                <w:szCs w:val="20"/>
                <w:color w:val="auto"/>
              </w:rPr>
            </w:pPr>
            <w:r>
              <w:rPr>
                <w:rFonts w:ascii="Arial" w:cs="Arial" w:eastAsia="Arial" w:hAnsi="Arial"/>
                <w:sz w:val="14"/>
                <w:szCs w:val="14"/>
                <w:color w:val="auto"/>
              </w:rPr>
              <w:t>June</w:t>
            </w:r>
          </w:p>
        </w:tc>
        <w:tc>
          <w:tcPr>
            <w:tcW w:w="4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9"/>
              </w:rPr>
              <w:t>2009</w:t>
            </w:r>
          </w:p>
        </w:tc>
        <w:tc>
          <w:tcPr>
            <w:tcW w:w="12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5,417</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4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227</w:t>
            </w:r>
          </w:p>
        </w:tc>
        <w:tc>
          <w:tcPr>
            <w:tcW w:w="300" w:type="dxa"/>
            <w:vAlign w:val="bottom"/>
          </w:tcPr>
          <w:p>
            <w:pPr>
              <w:spacing w:after="0"/>
              <w:rPr>
                <w:sz w:val="13"/>
                <w:szCs w:val="13"/>
                <w:color w:val="auto"/>
              </w:rPr>
            </w:pPr>
          </w:p>
        </w:tc>
        <w:tc>
          <w:tcPr>
            <w:tcW w:w="900" w:type="dxa"/>
            <w:vAlign w:val="bottom"/>
          </w:tcPr>
          <w:p>
            <w:pPr>
              <w:ind w:left="7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5,644</w:t>
            </w: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 J. Tippeconnic</w:t>
            </w:r>
          </w:p>
        </w:tc>
        <w:tc>
          <w:tcPr>
            <w:tcW w:w="7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2010</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35,372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4,148</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9"/>
              </w:rPr>
              <w:t>6,607</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106,127</w:t>
            </w: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June</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2009</w:t>
            </w:r>
          </w:p>
        </w:tc>
        <w:tc>
          <w:tcPr>
            <w:tcW w:w="12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311</w:t>
            </w: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551</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5,861</w:t>
            </w:r>
          </w:p>
        </w:tc>
      </w:tr>
    </w:tbl>
    <w:p>
      <w:pPr>
        <w:spacing w:after="0" w:line="192" w:lineRule="exact"/>
        <w:rPr>
          <w:sz w:val="20"/>
          <w:szCs w:val="20"/>
          <w:color w:val="auto"/>
        </w:rPr>
      </w:pPr>
    </w:p>
    <w:p>
      <w:pPr>
        <w:ind w:left="800" w:right="140" w:hanging="454"/>
        <w:spacing w:after="0" w:line="239"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Michael J. Bradley, our CEO, is not included in this table since he is an employee and thus receives no compensation for his services as a director. Mr. Bradley’s compensation received as an employee is shown in the Summary Compensation Table for our Named Executive Officers.</w:t>
      </w:r>
    </w:p>
    <w:p>
      <w:pPr>
        <w:spacing w:after="0" w:line="43" w:lineRule="exact"/>
        <w:rPr>
          <w:rFonts w:ascii="Arial" w:cs="Arial" w:eastAsia="Arial" w:hAnsi="Arial"/>
          <w:sz w:val="14"/>
          <w:szCs w:val="14"/>
          <w:color w:val="auto"/>
        </w:rPr>
      </w:pPr>
    </w:p>
    <w:p>
      <w:pPr>
        <w:ind w:left="800" w:right="100" w:hanging="454"/>
        <w:spacing w:after="0" w:line="239"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fees earned in the fiscal year but paid subsequent to the completion of the fiscal year and fees earned in the fiscal year but deferred under the Deferred Fee Plan for members of the Board of Directors of Matrix Service Company. The following directors deferred cash compensation into an interest-bearing account.</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Fees Deferred</w:t>
            </w:r>
          </w:p>
        </w:tc>
      </w:tr>
      <w:tr>
        <w:trPr>
          <w:trHeight w:val="161"/>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w:t>
            </w:r>
          </w:p>
        </w:tc>
        <w:tc>
          <w:tcPr>
            <w:tcW w:w="60" w:type="dxa"/>
            <w:vAlign w:val="bottom"/>
          </w:tcPr>
          <w:p>
            <w:pPr>
              <w:spacing w:after="0"/>
              <w:rPr>
                <w:sz w:val="11"/>
                <w:szCs w:val="11"/>
                <w:color w:val="auto"/>
              </w:rPr>
            </w:pPr>
          </w:p>
        </w:tc>
      </w:tr>
      <w:tr>
        <w:trPr>
          <w:trHeight w:val="149"/>
        </w:trPr>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Transition</w:t>
            </w:r>
          </w:p>
        </w:tc>
      </w:tr>
      <w:tr>
        <w:trPr>
          <w:trHeight w:val="161"/>
        </w:trPr>
        <w:tc>
          <w:tcPr>
            <w:tcW w:w="42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Period</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9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I. Edgar Hendrix</w:t>
            </w:r>
          </w:p>
        </w:tc>
        <w:tc>
          <w:tcPr>
            <w:tcW w:w="56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4"/>
                <w:szCs w:val="14"/>
                <w:color w:val="auto"/>
              </w:rPr>
              <w:t>36,563</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2,708</w:t>
            </w:r>
          </w:p>
        </w:tc>
        <w:tc>
          <w:tcPr>
            <w:tcW w:w="60" w:type="dxa"/>
            <w:vAlign w:val="bottom"/>
            <w:shd w:val="clear" w:color="auto" w:fill="CCEEFF"/>
          </w:tcPr>
          <w:p>
            <w:pPr>
              <w:spacing w:after="0"/>
              <w:rPr>
                <w:sz w:val="12"/>
                <w:szCs w:val="12"/>
                <w:color w:val="auto"/>
              </w:rPr>
            </w:pPr>
          </w:p>
        </w:tc>
      </w:tr>
      <w:tr>
        <w:trPr>
          <w:trHeight w:val="149"/>
        </w:trPr>
        <w:tc>
          <w:tcPr>
            <w:tcW w:w="7940" w:type="dxa"/>
            <w:vAlign w:val="bottom"/>
            <w:gridSpan w:val="3"/>
          </w:tcPr>
          <w:p>
            <w:pPr>
              <w:spacing w:after="0" w:line="149" w:lineRule="exact"/>
              <w:rPr>
                <w:sz w:val="20"/>
                <w:szCs w:val="20"/>
                <w:color w:val="auto"/>
              </w:rPr>
            </w:pPr>
            <w:r>
              <w:rPr>
                <w:rFonts w:ascii="Arial" w:cs="Arial" w:eastAsia="Arial" w:hAnsi="Arial"/>
                <w:sz w:val="14"/>
                <w:szCs w:val="14"/>
                <w:color w:val="auto"/>
              </w:rPr>
              <w:t>Paul K. Lackey</w:t>
            </w: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65,000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5,417</w:t>
            </w:r>
          </w:p>
        </w:tc>
        <w:tc>
          <w:tcPr>
            <w:tcW w:w="60" w:type="dxa"/>
            <w:vAlign w:val="bottom"/>
          </w:tcPr>
          <w:p>
            <w:pPr>
              <w:spacing w:after="0"/>
              <w:rPr>
                <w:sz w:val="12"/>
                <w:szCs w:val="12"/>
                <w:color w:val="auto"/>
              </w:rPr>
            </w:pPr>
          </w:p>
        </w:tc>
      </w:tr>
      <w:tr>
        <w:trPr>
          <w:trHeight w:val="149"/>
        </w:trPr>
        <w:tc>
          <w:tcPr>
            <w:tcW w:w="7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Tom E. Maxwell</w:t>
            </w: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65,000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5,417</w:t>
            </w:r>
          </w:p>
        </w:tc>
        <w:tc>
          <w:tcPr>
            <w:tcW w:w="60" w:type="dxa"/>
            <w:vAlign w:val="bottom"/>
            <w:shd w:val="clear" w:color="auto" w:fill="CCEEFF"/>
          </w:tcPr>
          <w:p>
            <w:pPr>
              <w:spacing w:after="0"/>
              <w:rPr>
                <w:sz w:val="12"/>
                <w:szCs w:val="12"/>
                <w:color w:val="auto"/>
              </w:rPr>
            </w:pPr>
          </w:p>
        </w:tc>
      </w:tr>
      <w:tr>
        <w:trPr>
          <w:trHeight w:val="172"/>
        </w:trPr>
        <w:tc>
          <w:tcPr>
            <w:tcW w:w="7940" w:type="dxa"/>
            <w:vAlign w:val="bottom"/>
            <w:gridSpan w:val="3"/>
          </w:tcPr>
          <w:p>
            <w:pPr>
              <w:spacing w:after="0"/>
              <w:rPr>
                <w:sz w:val="20"/>
                <w:szCs w:val="20"/>
                <w:color w:val="auto"/>
              </w:rPr>
            </w:pPr>
            <w:r>
              <w:rPr>
                <w:rFonts w:ascii="Arial" w:cs="Arial" w:eastAsia="Arial" w:hAnsi="Arial"/>
                <w:sz w:val="14"/>
                <w:szCs w:val="14"/>
                <w:color w:val="auto"/>
              </w:rPr>
              <w:t>David J. Tippeconnic</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60,000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r>
    </w:tbl>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800" w:right="20" w:hanging="454"/>
        <w:spacing w:after="0" w:line="230"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the applicable accounting guidance for equity-based awards. For further information on the valuation of these awards see Note 1 to the Consolidated Financial Statements included in our fiscal 2010 Annual Report on Form 10-K. Each non-employee director received an award of 3,700 restricted stock units in fiscal 2010 with a grant date fair value of $35,372. As of June 30, 2010, Mr. Hall, Mr. Hendrix, Mr. Lackey, Mr. Maxwell and Mr. Tippeconnic each had 10,000 restricted stock units outstanding.</w:t>
      </w:r>
    </w:p>
    <w:p>
      <w:pPr>
        <w:spacing w:after="0" w:line="44" w:lineRule="exact"/>
        <w:rPr>
          <w:rFonts w:ascii="Arial" w:cs="Arial" w:eastAsia="Arial" w:hAnsi="Arial"/>
          <w:sz w:val="14"/>
          <w:szCs w:val="14"/>
          <w:color w:val="auto"/>
        </w:rPr>
      </w:pPr>
    </w:p>
    <w:p>
      <w:pPr>
        <w:ind w:left="800" w:right="100" w:hanging="454"/>
        <w:spacing w:after="0" w:line="239"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2010. As of June 30, 2010, Mr. Hendrix had 5,000 stock options outstanding, Mr. Lackey had 15,000 stock options outstanding, Mr. Maxwell had 15,000 stock options outstanding, and Mr. Tippeconnic had 5,000 stock options outstanding.</w:t>
      </w:r>
    </w:p>
    <w:p>
      <w:pPr>
        <w:spacing w:after="0" w:line="43" w:lineRule="exact"/>
        <w:rPr>
          <w:rFonts w:ascii="Arial" w:cs="Arial" w:eastAsia="Arial" w:hAnsi="Arial"/>
          <w:sz w:val="14"/>
          <w:szCs w:val="14"/>
          <w:color w:val="auto"/>
        </w:rPr>
      </w:pPr>
    </w:p>
    <w:p>
      <w:pPr>
        <w:ind w:left="800" w:hanging="454"/>
        <w:spacing w:after="0" w:line="278"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non-employee director may defer all or part of director fees earned into the Deferred Fee Plan for Members of the Board of Directors of Matrix Service Company (Deferred Fee Plan). Under the Deferred Fee Plan, directors are allowed to defer fees and earn interest. The amounts shown represent interest earned under the plan in excess of a market rate. For the June Transition Period the market rate for the deferrals was 4.6% compared to the actual rate paid of 6.5%. For fiscal 2010, the market rate for the deferrals was 4.0% as compared to the actual rate paid of 6.5% in calendar year 2009 and 5.25% for calendar year 2010. The rate earned is our incremental borrowing rate as of the beginning of each calendar year.</w:t>
      </w:r>
    </w:p>
    <w:p>
      <w:pPr>
        <w:spacing w:after="0" w:line="22" w:lineRule="exact"/>
        <w:rPr>
          <w:rFonts w:ascii="Arial" w:cs="Arial" w:eastAsia="Arial" w:hAnsi="Arial"/>
          <w:sz w:val="12"/>
          <w:szCs w:val="12"/>
          <w:color w:val="auto"/>
        </w:rPr>
      </w:pPr>
    </w:p>
    <w:p>
      <w:pPr>
        <w:ind w:left="800" w:right="380" w:hanging="454"/>
        <w:spacing w:after="0" w:line="233"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Previously, directors were also allowed to defer fees in the form of Phantom Shares of our stock. The fees were converted into phantom shares based on the price of our stock on the deferral election date. For the 13 months ended June 30, 2010, Mr. Lackey’s and Mr. Maxwell’s phantom shares declined in value by $13,297 and $9,794, respectively. Mr. Lackey redeemed 6,152 phantom shares valued at $65,519 while Mr. Maxwell redeemed 3,078 phantom shares valued at $32,781.</w:t>
      </w:r>
    </w:p>
    <w:p>
      <w:pPr>
        <w:spacing w:after="0" w:line="44" w:lineRule="exact"/>
        <w:rPr>
          <w:rFonts w:ascii="Arial" w:cs="Arial" w:eastAsia="Arial" w:hAnsi="Arial"/>
          <w:sz w:val="14"/>
          <w:szCs w:val="14"/>
          <w:color w:val="auto"/>
        </w:rPr>
      </w:pPr>
    </w:p>
    <w:p>
      <w:pPr>
        <w:ind w:left="800" w:hanging="454"/>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the portion of premiums we pay related to directors’ participation in our health and welfare plans.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900" w:right="400" w:hanging="446"/>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month ended June 30, 2009 and the year ended June 30, 2010;</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114, The Auditor’s </w:t>
      </w:r>
      <w:r>
        <w:rPr>
          <w:rFonts w:ascii="Arial" w:cs="Arial" w:eastAsia="Arial" w:hAnsi="Arial"/>
          <w:sz w:val="18"/>
          <w:szCs w:val="18"/>
          <w:u w:val="single" w:color="auto"/>
          <w:color w:val="auto"/>
        </w:rPr>
        <w:t>Communication with Those Charged with Governance</w:t>
      </w:r>
      <w:r>
        <w:rPr>
          <w:rFonts w:ascii="Arial" w:cs="Arial" w:eastAsia="Arial" w:hAnsi="Arial"/>
          <w:sz w:val="18"/>
          <w:szCs w:val="18"/>
          <w:color w:val="auto"/>
        </w:rPr>
        <w:t xml:space="preserve">, as currently in effect (which Statement on Auditing Standards superseded Statement on Auditing Standards No. 61, </w:t>
      </w:r>
      <w:r>
        <w:rPr>
          <w:rFonts w:ascii="Arial" w:cs="Arial" w:eastAsia="Arial" w:hAnsi="Arial"/>
          <w:sz w:val="18"/>
          <w:szCs w:val="18"/>
          <w:u w:val="single" w:color="auto"/>
          <w:color w:val="auto"/>
        </w:rPr>
        <w:t>Communication with Audit Committees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month ended June 30, 2009 and the year ended June 30, 2010 for filing with the Securities and Exchange Commission. The Audit Committee, subject to ratification by the stockholders has selected Deloitte &amp; Touche LLP as the Company’s independent registered public accounting firm for the year ending June 30, 2011.</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Fees billed for audit services in fiscal 2010 and 2009 include fees associated with the annual audit, the reviews of our quarterly reports on Form 10-Q, the audit of our internal controls, and services performed in connection with other filings with the SEC. Fees billed for audit-related services were for assurance and related services that are reasonably related to the performance of the audit or review and consisted of consulting services related to our planned international expansion, special construction project review services, due diligence on acquisitions and review procedures related to filing of a shelf registration statement.</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220" w:type="dxa"/>
            <w:vAlign w:val="bottom"/>
            <w:gridSpan w:val="4"/>
          </w:tcPr>
          <w:p>
            <w:pPr>
              <w:ind w:left="400"/>
              <w:spacing w:after="0"/>
              <w:rPr>
                <w:sz w:val="20"/>
                <w:szCs w:val="20"/>
                <w:color w:val="auto"/>
              </w:rPr>
            </w:pPr>
            <w:r>
              <w:rPr>
                <w:rFonts w:ascii="Arial" w:cs="Arial" w:eastAsia="Arial" w:hAnsi="Arial"/>
                <w:sz w:val="14"/>
                <w:szCs w:val="14"/>
                <w:b w:val="1"/>
                <w:bCs w:val="1"/>
                <w:color w:val="auto"/>
              </w:rPr>
              <w:t>Deloitte &amp; Touche LLP</w:t>
            </w:r>
          </w:p>
        </w:tc>
      </w:tr>
      <w:tr>
        <w:trPr>
          <w:trHeight w:val="142"/>
        </w:trPr>
        <w:tc>
          <w:tcPr>
            <w:tcW w:w="82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Fiscal 2010 (1)</w:t>
            </w: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Fiscal 2009</w:t>
            </w:r>
          </w:p>
        </w:tc>
        <w:tc>
          <w:tcPr>
            <w:tcW w:w="100" w:type="dxa"/>
            <w:vAlign w:val="bottom"/>
          </w:tcPr>
          <w:p>
            <w:pPr>
              <w:spacing w:after="0"/>
              <w:rPr>
                <w:sz w:val="12"/>
                <w:szCs w:val="12"/>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$ 1,022,359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$734,548</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Audit-Related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15,700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46,926</w:t>
            </w: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Tax Services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$ 1,038,059</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781,474</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fees related to the audit of the June Transition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 xml:space="preserve">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The Company has also made the Audit Committee’s pre-approval policy available in the “Investors” section of the Company’s website at </w:t>
      </w:r>
      <w:r>
        <w:rPr>
          <w:rFonts w:ascii="Arial" w:cs="Arial" w:eastAsia="Arial" w:hAnsi="Arial"/>
          <w:sz w:val="18"/>
          <w:szCs w:val="18"/>
          <w:u w:val="single" w:color="auto"/>
          <w:color w:val="auto"/>
        </w:rPr>
        <w:t>http://www.matrixservice.com.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2011. Deloitte &amp; Touche LLP has served as independent auditors for the Company since January 2006.</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5"/>
          <w:szCs w:val="15"/>
          <w:b w:val="1"/>
          <w:bCs w:val="1"/>
          <w:i w:val="1"/>
          <w:iCs w:val="1"/>
          <w:color w:val="auto"/>
        </w:rPr>
        <w:t>The Board of Directors recommends that the stockholders vote “For” ratification of Deloitte &amp; Touche LLP’s engagement.</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Mr. Bradley,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Nancy E. Austin</w:t>
      </w:r>
      <w:r>
        <w:rPr>
          <w:rFonts w:ascii="Arial" w:cs="Arial" w:eastAsia="Arial" w:hAnsi="Arial"/>
          <w:sz w:val="18"/>
          <w:szCs w:val="18"/>
          <w:color w:val="auto"/>
        </w:rPr>
        <w:t>, age 43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(PHR). She is also a member of the Society for Human Resource Management and World-at-Work.</w:t>
      </w:r>
    </w:p>
    <w:p>
      <w:pPr>
        <w:spacing w:after="0" w:line="13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Kevin S. Cavanah</w:t>
      </w:r>
      <w:r>
        <w:rPr>
          <w:rFonts w:ascii="Arial" w:cs="Arial" w:eastAsia="Arial" w:hAnsi="Arial"/>
          <w:sz w:val="16"/>
          <w:szCs w:val="16"/>
          <w:color w:val="auto"/>
        </w:rPr>
        <w:t>, age 46, has served as Vice President, Accounting and Financial Reporting for the Company since August 2007 and as Controller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2003. Prior to joining the Company, Mr. Cavanah served as an Accounting Manager for Williams Communications from 2001 to 2003 and as an Accounting Manager for The Williams Companies, Inc. from 1998 to 2001. Prior to joining Williams, Mr. Cavanah served as an Audit Manager for Ernst &amp; Young, LLP. Mr. Cavanah has a Bachelor of Science in Business Administration degree in Accounting from the University of Arkansas. He is a Certified Public Accountant (inactive) and is a member of Financial Executives International.</w:t>
      </w:r>
    </w:p>
    <w:p>
      <w:pPr>
        <w:spacing w:after="0" w:line="10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Kevin A. Durkin</w:t>
      </w:r>
      <w:r>
        <w:rPr>
          <w:rFonts w:ascii="Arial" w:cs="Arial" w:eastAsia="Arial" w:hAnsi="Arial"/>
          <w:sz w:val="16"/>
          <w:szCs w:val="16"/>
          <w:color w:val="auto"/>
        </w:rPr>
        <w:t>, age 48, has served as Vice President, Business Development for Matrix Service Inc., a subsidiary of the Company, since June 2008. He has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Pre-Construction Manager for the Orange Region from November 2006 to May 2008; Small Capital Construction Division Manager for the Orange Region from June 2000 to October 2006; Business Development Manager for Matrix Service Inc. from June 1998 to May 2000; Southwest Turnaround Manager for Colt Construction Division from June 1996 to May 1998; and as assistant Regional Manager for the Orange Region from July 1989 to May 1996. Prior to joining Matrix Service, Mr. Durkin worked for HMT Tank Service holding numerous positions in operations, engineering and marketing. Mr. Durkin holds a Bachelor of Arts degree in Business Administration, Marketing from California State University, Fullerton.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55, has served as Vice President, Matrix Service Industrial Contractors, Inc., a subsidiary of the Company, since June 2004.</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Fosbenner previously served as Vice President of Finance, Treasurer and Acting Chief Financial Officer from December 2001 through 2003 for Western Integrated Networks LLC, who filed for relief under Chapter 11 of the U.S. Bankruptcy Code on March 11, 2002 and was later dissolved. He also served as President and Chief Executive Officer of CCS Fitness, Inc. from January 2000 through December 2001 and Senior Vice President and Treasurer of Frontiervision Partners LLP during 1998 and 1999. Mr. Fosbenner has a Bachelor of Science degree in Accounting from Philadelphia University. He is a Certified Public Accountant (inactive) and is a Certified Management Accountant (inactive). Mr. Fosbenner is a member of Financial Executives International and the Association for Corporate Growth.</w:t>
      </w:r>
    </w:p>
    <w:p>
      <w:pPr>
        <w:spacing w:after="0" w:line="14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Robert A. Long</w:t>
      </w:r>
      <w:r>
        <w:rPr>
          <w:rFonts w:ascii="Arial" w:cs="Arial" w:eastAsia="Arial" w:hAnsi="Arial"/>
          <w:sz w:val="16"/>
          <w:szCs w:val="16"/>
          <w:color w:val="auto"/>
        </w:rPr>
        <w:t>, age 67, has served as Vice President of Matrix Service Inc. since June 2008. From June 2007 to June 2008, Mr. Long served, in a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as Project Manager for the Matrix Service Sabine Pass LNG Project until its completion in June 2008. Mr. Long was previously employed with Chicago Bridge &amp; Iron from 1966 until his retirement in 1998 after holding numerous management and senior level positions, including President of CB&amp;I Constructors, Inc. Mr. Long graduated from the University of Alabama-Birmingham with a Bachelor of Science degree in Engineering.</w:t>
      </w:r>
    </w:p>
    <w:p>
      <w:pPr>
        <w:spacing w:after="0" w:line="10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Thomas E. Long</w:t>
      </w:r>
      <w:r>
        <w:rPr>
          <w:rFonts w:ascii="Arial" w:cs="Arial" w:eastAsia="Arial" w:hAnsi="Arial"/>
          <w:sz w:val="16"/>
          <w:szCs w:val="16"/>
          <w:color w:val="auto"/>
        </w:rPr>
        <w:t>, age 53, has served as Vice President Finance, Treasurer and Chief Financial Officer from April 2008 until May 2010, and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and Secretary since May, 2010. Prior to joining Matrix Service, Mr. Long served as Vice President and Chief Financial Officer of DCP Midstream Partners, LP, a publicly traded natural gas and natural gas liquids midstream company located in Denver, Colorado. In that position, he was responsible for all financial aspects of the company since its formation in December 2005. From 1998 to 2005, Mr. Long served in several executive positions with subsidiaries of Duke Energy Corp., Charlotte, North Carolina, one of the nation’s largest electric power companies. During his tenure at Duke Energy, Mr. Long served as Vice President and Chief Financial Officer of its publicly owned power company in Ecuador; Vice President and Treasurer of Duke Energy Field Services, Denver; and Executive Vice President of National Methanol Company, a Duke Energy Corp. chemical joint-venture in Saudi Arabia. Starting in 1991, Mr. Long held financial management positions at PanEnergy Corp., Houston. He began his career in 1979 at Texas Eastern Corp., Houston. As a Certified Public Accountant, Mr. Long has a Bachelor of Arts degree in Accounting from Lamar University, Beaumont, TX.</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61, has served as Vice President and Chief Operating Officer since May 2008. From 2002 to 2008, Mr. Montalbano served as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3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Matthew J. Petrizzo</w:t>
      </w:r>
      <w:r>
        <w:rPr>
          <w:rFonts w:ascii="Arial" w:cs="Arial" w:eastAsia="Arial" w:hAnsi="Arial"/>
          <w:sz w:val="16"/>
          <w:szCs w:val="16"/>
          <w:color w:val="auto"/>
        </w:rPr>
        <w:t>, age 48, has served as President, Matrix Service Industrial Contractors, Inc., since June 2008. He previously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Matrix Service Industrial Contractors, Inc. from November 2007 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0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Bradley J. Rinehart</w:t>
      </w:r>
      <w:r>
        <w:rPr>
          <w:rFonts w:ascii="Arial" w:cs="Arial" w:eastAsia="Arial" w:hAnsi="Arial"/>
          <w:sz w:val="16"/>
          <w:szCs w:val="16"/>
          <w:color w:val="auto"/>
        </w:rPr>
        <w:t>, age 46, has served as Vice President, Matrix Service Inc. since May 1997. He previously served as Regional Manager for the Michigan</w:t>
      </w:r>
      <w:r>
        <w:rPr>
          <w:rFonts w:ascii="Arial" w:cs="Arial" w:eastAsia="Arial" w:hAnsi="Arial"/>
          <w:sz w:val="16"/>
          <w:szCs w:val="16"/>
          <w:b w:val="1"/>
          <w:bCs w:val="1"/>
          <w:color w:val="auto"/>
        </w:rPr>
        <w:t xml:space="preserve"> </w:t>
      </w:r>
      <w:r>
        <w:rPr>
          <w:rFonts w:ascii="Arial" w:cs="Arial" w:eastAsia="Arial" w:hAnsi="Arial"/>
          <w:sz w:val="16"/>
          <w:szCs w:val="16"/>
          <w:color w:val="auto"/>
        </w:rPr>
        <w:t>Region from April 1991 to April 1997; Operations Manager for the Michigan Region from January 1990 to March 1991; and as a Project Manager – Michigan Region from January 1988 to December 1989. Mr. Rinehart holds a Bachelor of Science degree in Construction Science from the University of Oklahoma.</w:t>
      </w:r>
    </w:p>
    <w:p>
      <w:pPr>
        <w:spacing w:after="0" w:line="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James P. Ryan, age 55</w:t>
      </w:r>
      <w:r>
        <w:rPr>
          <w:rFonts w:ascii="Arial" w:cs="Arial" w:eastAsia="Arial" w:hAnsi="Arial"/>
          <w:sz w:val="16"/>
          <w:szCs w:val="16"/>
          <w:color w:val="auto"/>
        </w:rPr>
        <w:t>, has served as President, Matrix Service Inc. since August 2005. He previously served the Company as Chief Operating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2004 to August 2005 and as Vice President of Matrix Service Inc. from October 1999 to October 2004. Prior to joining Matrix Service,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 in 1979.</w:t>
      </w:r>
    </w:p>
    <w:p>
      <w:pPr>
        <w:spacing w:after="0" w:line="108" w:lineRule="exact"/>
        <w:rPr>
          <w:sz w:val="20"/>
          <w:szCs w:val="20"/>
          <w:color w:val="auto"/>
        </w:rPr>
      </w:pPr>
    </w:p>
    <w:p>
      <w:pPr>
        <w:jc w:val="both"/>
        <w:ind w:right="300"/>
        <w:spacing w:after="0" w:line="310" w:lineRule="auto"/>
        <w:rPr>
          <w:sz w:val="20"/>
          <w:szCs w:val="20"/>
          <w:color w:val="auto"/>
        </w:rPr>
      </w:pPr>
      <w:r>
        <w:rPr>
          <w:rFonts w:ascii="Arial" w:cs="Arial" w:eastAsia="Arial" w:hAnsi="Arial"/>
          <w:sz w:val="16"/>
          <w:szCs w:val="16"/>
          <w:b w:val="1"/>
          <w:bCs w:val="1"/>
          <w:color w:val="auto"/>
        </w:rPr>
        <w:t>William R. Sullivan</w:t>
      </w:r>
      <w:r>
        <w:rPr>
          <w:rFonts w:ascii="Arial" w:cs="Arial" w:eastAsia="Arial" w:hAnsi="Arial"/>
          <w:sz w:val="16"/>
          <w:szCs w:val="16"/>
          <w:color w:val="auto"/>
        </w:rPr>
        <w:t>, age 45, has served as Vice President, Matrix Service Inc., since June 2008. He previously served as Regional Manager of the Southwest</w:t>
      </w:r>
      <w:r>
        <w:rPr>
          <w:rFonts w:ascii="Arial" w:cs="Arial" w:eastAsia="Arial" w:hAnsi="Arial"/>
          <w:sz w:val="16"/>
          <w:szCs w:val="16"/>
          <w:b w:val="1"/>
          <w:bCs w:val="1"/>
          <w:color w:val="auto"/>
        </w:rPr>
        <w:t xml:space="preserve"> </w:t>
      </w:r>
      <w:r>
        <w:rPr>
          <w:rFonts w:ascii="Arial" w:cs="Arial" w:eastAsia="Arial" w:hAnsi="Arial"/>
          <w:sz w:val="16"/>
          <w:szCs w:val="16"/>
          <w:color w:val="auto"/>
        </w:rPr>
        <w:t>Region from 2002 to 2008 and Operations Manager for the Southwest AST Region from 1989 to 2002. Prior to joining the Company, Mr. Sullivan worked in various capacities for HMT Tank Service holding numerous positions in operations, project management, and manufacturing.</w:t>
      </w:r>
    </w:p>
    <w:p>
      <w:pPr>
        <w:spacing w:after="0" w:line="9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Jason W. Turner</w:t>
      </w:r>
      <w:r>
        <w:rPr>
          <w:rFonts w:ascii="Arial" w:cs="Arial" w:eastAsia="Arial" w:hAnsi="Arial"/>
          <w:sz w:val="16"/>
          <w:szCs w:val="16"/>
          <w:color w:val="auto"/>
        </w:rPr>
        <w:t>, age 39, has served as Vice President and Treasurer since May 2010. Mr. Turner served as Director of Finance for Matrix Service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overarching objectives.</w:t>
      </w:r>
    </w:p>
    <w:p>
      <w:pPr>
        <w:spacing w:after="0" w:line="14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Our basic compensation philosophy is to provide the opportunity for outstanding compensation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our compensation philosophy and competitive market practices. We use the following basic principles in the design and administration of our executive compensation program:</w:t>
      </w:r>
    </w:p>
    <w:p>
      <w:pPr>
        <w:spacing w:after="0" w:line="32" w:lineRule="exact"/>
        <w:rPr>
          <w:sz w:val="20"/>
          <w:szCs w:val="20"/>
          <w:color w:val="auto"/>
        </w:rPr>
      </w:pPr>
    </w:p>
    <w:p>
      <w:pPr>
        <w:ind w:left="900" w:right="4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4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4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Committee is supported by our Vice President, Human Resources, and other executive officers as needed or requested, in the design, review and administration of our executive compensation programs. The Committee engages a third party compensation consulting firm to evaluate Board and executive officer compensation, benchmark Company practices compared to other companies and provide associated recommendations.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2009, Hewitt Associates LLC (“Hewitt”) was engaged by the Committee to evaluate the mix of targeted compensation and the other types of programs offered. Hewitt was engaged exclusively by the Committee and does not provide other services to senior management. The Committee sought to ensure that the compensation package offered to our executives is competitive in form and structure. Due to the uncertainty of the market and the economy and, after consultation with Hewitt, the Committee decided that no adjustments would be made to the base pay of the CEO and other named executive officers at the start of the fiscal 2010. While the Committee indicated it would consider merit increases at a later date if conditions improved, no merit increases were given to the CEO or other named executive officers during fiscal 2010. Hewitt’s executive compensation and benefits practices analysis for fiscal 2010 included the review of proxy information for the following companies:</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Aecom Technology Corp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Chicago Bridge and Iron Co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Emcor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Englobal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Fluor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FMC Technologies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Foster Wheeler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Furmanite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Granite Construction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Jacobs Engineering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KBR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McDermott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Quanta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Shaw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Willbros Group</w:t>
      </w:r>
    </w:p>
    <w:p>
      <w:pPr>
        <w:spacing w:after="0" w:line="381"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When adjustments are considered, the CEO reviews the third party consultant’s findings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management present.</w:t>
      </w:r>
    </w:p>
    <w:p>
      <w:pPr>
        <w:spacing w:after="0" w:line="11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over time.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executive officers.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typically reviews base salaries for executive officers at its regularly-scheduled meeting in August or September. At this meeting, the Committee also reviews and approves incentive payments for the previous fiscal year and establishes incentive targets for the coming fiscal year under the short-term incentive plan. Long-term incentive awards are approved by the Committee at a meeting immediately following the annual stockholders meeting each November or December. The Committee may also approve base pay, short-term incentive and long-term incentive (equity) grants for executive officers during the year for promotions or new hires.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Annual/Short-Term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Incentive Compensation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Perquisites and Other Benefits;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10"/>
          <w:szCs w:val="10"/>
          <w:color w:val="auto"/>
        </w:rPr>
        <w:t>th</w:t>
      </w:r>
      <w:r>
        <w:rPr>
          <w:rFonts w:ascii="Arial" w:cs="Arial" w:eastAsia="Arial" w:hAnsi="Arial"/>
          <w:sz w:val="15"/>
          <w:szCs w:val="15"/>
          <w:color w:val="auto"/>
        </w:rPr>
        <w:t xml:space="preserve"> percentile” among comparable companies. This data is obtained through our third party compensation consultant. Base pay is then established based on the named executive officer’s responsibilities, role in the organization, level and type of work experience, and individual job performance. We expect to engage a compensation consultant to review and benchmark competitive market pay data on no less than a bi-annual basis.</w:t>
      </w:r>
    </w:p>
    <w:p>
      <w:pPr>
        <w:spacing w:after="0" w:line="9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Each executive officer, like other employees, is assigned to a salary grade. Broad ranges of salary are associated with each grade. The position within the salary grade/pay range for a position is determined based on the respective level of experience, skill and demonstrated performance.</w:t>
      </w:r>
    </w:p>
    <w:p>
      <w:pPr>
        <w:spacing w:after="0" w:line="14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reflected as a percentage of base salary and long-term incentives are based on a named executive officer’s salary grade.</w:t>
      </w:r>
    </w:p>
    <w:p>
      <w:pPr>
        <w:spacing w:after="0" w:line="13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Michael J. Bradley became President and Chief Executive Officer of the Company effective November 6, 2006. His initial annual base salary was $475,000. Effective August 1, 2007, based on the Committee’s assessment of Mr. Bradley’s initial performance, Mr. Bradley’s salary was increased to $525,000 by the Committee. In July 2008 following data provided by the third party compensation consultant, Hewitt Associates, showing that Mr. Bradley’s base salary was significantly below the median and in recognition of Mr. Bradley’s outstanding performance in fiscal 2008, the Committee approved Mr. Bradley’s base pay at $670,000 effective June 1, 2008. Although the Committee continues to view Mr. Bradley’s performance as excellent, based on market uncertainty, difficult economic conditions and compensation data from Hewitt, the Committee made no adjustments to Mr. Bradley’s base pay in June 2009 for fiscal 2010 or in September 2010 for fiscal 2011.</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Base pay compensation for our other Named Executive Officers (Mr. Joseph F. Montalbano, Mr. Thomas E. Long, Mr. James P. Ryan, Mr. Matthew J. Petrizzo and Ms. Judith S. Eliot) is administered in line with our established compensation philosophy discussed above. Based on market uncertainty and economic conditions at the inception of fiscal 2010, Mr. Bradley recommended no base pay adjustments for fiscal 2010 for the Named Executive Officers, which the Committee approved.</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Ms. Eliot joined the company as Vice President and General Counsel in September 2009 at an annual base pay of $225,000, which was not adjusted during the fiscal year. Ms. Eliot’s position was eliminated in May 2010 as the result of our efforts to reduce corporate overhead costs due to the continued challenging market conditions. Ms. Eliot was paid severance in the amount of $337,500, which was pursuant to the change of control/severance agreement the Company entered into with Ms. Eliot at the onset of her employment, which provided for a payment of one year’s base pay and target bonus (50% of base pay) in the event of separation from employment for reasons other than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annual/short-term incentive compensation plan is designed to offer the opportunity for substantial incentive awards for delivering outstanding performance. Rewards under our short-term incentive compensation plans are based on overall company, business unit and individual performance, as compared to pre-established objectives that are tied to enhancement of stockholder value. Our short-term incentive compensation objectives are designed to:</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Emphasize overall company, business unit and individual performance in the structuring of reward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2010, our annual/short-term incentive targets were established for all of our Named Executive Officers as follows:</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Short-term incentive compensation was based on three primary factors: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safety performance, and</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business objectives, including financial strength, diversification, strategic acquisitions, standardized business processes and succession planning</w:t>
      </w:r>
    </w:p>
    <w:p>
      <w:pPr>
        <w:spacing w:after="0" w:line="50" w:lineRule="exact"/>
        <w:rPr>
          <w:rFonts w:ascii="Arial" w:cs="Arial" w:eastAsia="Arial" w:hAnsi="Arial"/>
          <w:sz w:val="18"/>
          <w:szCs w:val="18"/>
          <w:color w:val="auto"/>
        </w:rPr>
      </w:pPr>
    </w:p>
    <w:p>
      <w:pPr>
        <w:ind w:left="900" w:right="26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base calculation of incentives is tied to defined measures for financial performance and safety performance while the calculation for business objectives is more subjective in nature. Incentives for executive officers below the CEO are recommended by the CEO and approved by the Committee. Incentive Compensation payments to the CEO are determined solely by the Committee in executive session, without management present.</w:t>
      </w:r>
    </w:p>
    <w:p>
      <w:pPr>
        <w:spacing w:after="0" w:line="62"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July 2009, for the fiscal 2010 plan, management recommended and the Committee approved, the establishment of a hurdle rate based on Return on Sales. At the beginning of each fiscal year, a hurdle rate will be established based on a minimum level of Pre-Incentive Operating Income that must be earned before any incentives are paid. Once the hurdle rate is earned, an incentive pool will be funded with 25% of each dollar earned above the hurdle rate. The size of the incentive pool may not exceed an amount equal to the maximum incentive which may be paid under the plan for all participants, based on a percentage of each participant’s salary.</w:t>
      </w:r>
    </w:p>
    <w:p>
      <w:pPr>
        <w:spacing w:after="0" w:line="3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fiscal 2010 financial performance, a consolidated annual income goal was recommended by the CEO and approved by the Committee at the July 2009 meeting.</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performance measure for the Mr. Bradley, Mr. Montalbano, Mr. Long and Ms. Eliot was based on fully-diluted earnings per share, or “EPS.”</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Mr. Petrizzo and Mr. Ryan, an additional financial performance measure, defined as pre-tax, pre-interest, post-incentive income (“Pre-Tax Income”) was used.</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Corresponding financial targets for Pre-Tax Income were established for each operating company, business unit and organizational unit based on business plans, which were designed to drive growth and/or improve profitability.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right="4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Once all targets were established for the Company, “Threshold” and “Maximum” levels of performance were defined. Threshold was defined as 80.7% of Target and Maximum was defined as 117.3% of Target. No incentives are paid for performance below the Threshold level.</w:t>
      </w:r>
    </w:p>
    <w:p>
      <w:pPr>
        <w:spacing w:after="0" w:line="4" w:lineRule="exact"/>
        <w:rPr>
          <w:rFonts w:ascii="Arial" w:cs="Arial" w:eastAsia="Arial" w:hAnsi="Arial"/>
          <w:sz w:val="16"/>
          <w:szCs w:val="16"/>
          <w:color w:val="auto"/>
        </w:rPr>
      </w:pPr>
    </w:p>
    <w:p>
      <w:pPr>
        <w:ind w:left="900" w:right="7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incentives for Mr. Bradley, Mr. Montalbano, Mr. Long and Ms. Eliot were tied to our EPS. Financial incentives for Mr. Ryan and Mr. Petrizzo were tied to both our EPS and their respective operating company Pre-Tax Income.</w:t>
      </w:r>
    </w:p>
    <w:p>
      <w:pPr>
        <w:spacing w:after="0" w:line="50"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performance targets were established based on Total Recordable Incident Rate, or “TRIR.” The TRIR levels for fiscal 2010 were 1.25 for Threshold payout, 1.0 for Target payout and 0.75 for Maximum payout. Incentives for Mr. Bradley, Mr. Montalbano, Mr. Long and Ms. Eliot were tied to our consolidated safety performance. Incentives for Mr. Ryan and Mr. Petrizzo were tied to the safety performance of their respective operating companies. Other more subjective criteria, including the implementation of behavioral-based safety program, continuation of safety audits, and safety accountability were also evaluated.</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performance criteria in the form of business objectives were established for all executive officers in line with the Company’s fiscal 2010 plan.</w:t>
      </w:r>
    </w:p>
    <w:p>
      <w:pPr>
        <w:spacing w:after="0" w:line="113"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Discretionary awards outside of the annual/short-term incentive compensation plan may be recommended by the CEO and approved by the Committee in the event there are special circumstances or achievements that need to be recognized.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actual performance in relation to established measures was presented to, and evaluated by, the Committee at the September 2010 meeting.</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Performance measures established shortly after the beginning of the fiscal year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10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For fiscal 2010, our Return on Sales hurdle rate was established at $21,726,180 of Pre-Incentive Operating Income. If the hurdle rate had been achieved, the short-term incentive compensation payable to Mr. Bradley would have been based on the attainment of the following objectives: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TRIR of 1.0 Target; 1.25 Threshold; 0.75 Maximum.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toward building consistency and strengthening the safety culture.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fully-diluted EPS of $1.00 Target; $0.85 Threshold; $1.15 Maximum.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Objectives:</w:t>
      </w:r>
    </w:p>
    <w:p>
      <w:pPr>
        <w:spacing w:after="0" w:line="90" w:lineRule="exact"/>
        <w:rPr>
          <w:sz w:val="20"/>
          <w:szCs w:val="20"/>
          <w:color w:val="auto"/>
        </w:rPr>
      </w:pPr>
    </w:p>
    <w:p>
      <w:pPr>
        <w:ind w:left="900" w:hanging="446"/>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Named Executive Officers, including Mr. Bradley, were evaluated in light of a number of objectives, including enhancing our safety leadership and culture, maintaining a strong balance sheet and external profile, diversifying the scale and scope of our business, standardizing business processes, enhancing project execution capabilities, branding the company beyond AST, improving risk management protocols, expanding the supply chain management process, strengthening management succession planning, and conducting an employee engagement survey.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expected levels of performance: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In fiscal 2010, we achieved a TRIR of 0.67 and made significant enhancements to our behavioral-based safety programs and our overall safety culture.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xml:space="preserve"> Our fiscal 2010 fully diluted EPS was $0.18.</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u w:val="single" w:color="auto"/>
          <w:color w:val="auto"/>
        </w:rPr>
        <w:t>Business Objectives:</w:t>
      </w:r>
      <w:r>
        <w:rPr>
          <w:rFonts w:ascii="Arial" w:cs="Arial" w:eastAsia="Arial" w:hAnsi="Arial"/>
          <w:sz w:val="16"/>
          <w:szCs w:val="16"/>
          <w:color w:val="auto"/>
        </w:rPr>
        <w:t xml:space="preserve"> The Committee evaluated performance in relation to these objectives and, while significant progress was made in many areas, the established business objectives were not considered for incentive compensation purposes, as the minimum hurdle rate was not achieved.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Although the Company achieved safety results at the maximum performance level and completed several key business objectives, because the Company failed to achieve Pre-Incentive Operating Income for fiscal 2010 at the minimum hurdle rate, the incentive pool was not funded and no incentives were paid the Named Executive Officers, other than Mr. Montalbano, in accordance with his offer letter, and Ms. Eliot, in accordance with her change of control/severance agreement.</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Mr. Montalbano, his fiscal 2010 incentive was guaranteed to be no less than Target, which was a condition of his employment. The Target incentive opportunity for this position is 50% of base pay. Based on our previous commitment to Mr. Montalbano, the Committee approved a Target incentive payment for him of $175,000.</w:t>
      </w:r>
    </w:p>
    <w:p>
      <w:pPr>
        <w:spacing w:after="0" w:line="14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its objectives and may be modified, discontinued or replaced based on our changing objectives and requirements.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fiscal year 2011, we will continue to use a Return on Sales hurdle rate metric under our annual/short-term incentive compensation plan, which more directly links our financial performance with the level of incentive payouts under the plan. For fiscal 2011, Mr. Bradley recommended, and the Committee approved, a change in the plan to exclude the safety performance metric from the hurdle rate calculation. Financial performance and business/personal objectives will be funded and paid based on first achieving the hurdle rate and creating an incentive pool as described above, while safety performance will be measured and paid regardless of achieving the hurdle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 (Equity)</w:t>
      </w:r>
    </w:p>
    <w:p>
      <w:pPr>
        <w:spacing w:after="0" w:line="90"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managers)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our long-term growth and profitability.</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2006, we amended and restated our 2004 Stock Incentive Plan to permit the grant of restricted stock, restricted stock units, stock appreciation rights, and performance shares, in addition to stock options which were previously authorized. Beginning in October 2006, we changed the form of equity grants awarded to executive officers and key management personnel from stock options to restricted stock units or RSU’s.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believes that the use of RSU’s is the most appropriate form of equity to achieve our stated objectives, as it is a full value award that strongly and directly links management and stockholder interests. As a full value award, RSU’s are less dilutive to stockholders, since we are able to issue fewer shares in order to attain the desired level of equity compensation for our executive officers and managers. RSU awards are granted on an annual basis and generally contain both a performance- and a time-based element. Performance criteria link the equity reward to our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objective is to provide a long-term component to overall compensation that aligns the interests of executives with those of our stockholders through stock ownership. For our long-term incentive compensation plan, the performance measure we use is a three-year measurement of fully-diluted EPS, which is designed to promote teamwork and align management toward a common, strategic goal.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2009 Restricted Stock awards to executive officers is detailed below:</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October 2009, the Committee engaged Hewitt to evaluate long-term incentive target award values for the Company’s senior executives.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 RSU awards for the Named Executive Officers were 100% performance-based, with a three-year fully-diluted EPS target.</w:t>
      </w:r>
    </w:p>
    <w:p>
      <w:pPr>
        <w:spacing w:after="0" w:line="90"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Hewitt’s findings and, after extensive discussion with the Hewitt consultant, the Committee determined that basing 100% of the Named Executive Officers’ long-term equity compensation on the achievement of performance-based measures is not desirable since it may eliminate any retention incentive during periods in which the Company is unlikely to achieve the performance measure.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right="1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Therefore, beginning with the October 2009 RSU award grant, the Committee approved a change in the type of awards granted to Named Executive Officers.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each of the Named Executive Officers, the October 2009 RSU award was based on the following:</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50% of the award consists of time-based RSU’s, with restrictions lapsing in equal annual installments over a five-year period;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50% of the award consists of performance-based RSU’s, with two components:</w:t>
      </w:r>
    </w:p>
    <w:p>
      <w:pPr>
        <w:spacing w:after="0" w:line="90" w:lineRule="exact"/>
        <w:rPr>
          <w:rFonts w:ascii="Arial" w:cs="Arial" w:eastAsia="Arial" w:hAnsi="Arial"/>
          <w:sz w:val="18"/>
          <w:szCs w:val="18"/>
          <w:color w:val="auto"/>
        </w:rPr>
      </w:pPr>
    </w:p>
    <w:p>
      <w:pPr>
        <w:ind w:left="2960" w:right="40" w:hanging="562"/>
        <w:spacing w:after="0" w:line="268" w:lineRule="auto"/>
        <w:tabs>
          <w:tab w:leader="none" w:pos="2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Restrictions lapse with respect to half of the performance-based RSU’s (25% of the total) based on the achievement of a cumulative three-year fully-diluted EPS target; and</w:t>
      </w:r>
    </w:p>
    <w:p>
      <w:pPr>
        <w:spacing w:after="0" w:line="50" w:lineRule="exact"/>
        <w:rPr>
          <w:rFonts w:ascii="Arial" w:cs="Arial" w:eastAsia="Arial" w:hAnsi="Arial"/>
          <w:sz w:val="18"/>
          <w:szCs w:val="18"/>
          <w:color w:val="auto"/>
        </w:rPr>
      </w:pPr>
    </w:p>
    <w:p>
      <w:pPr>
        <w:ind w:left="2960" w:right="180" w:hanging="562"/>
        <w:spacing w:after="0" w:line="335" w:lineRule="auto"/>
        <w:tabs>
          <w:tab w:leader="none" w:pos="2960" w:val="left"/>
        </w:tabs>
        <w:numPr>
          <w:ilvl w:val="2"/>
          <w:numId w:val="22"/>
        </w:numPr>
        <w:rPr>
          <w:rFonts w:ascii="Arial" w:cs="Arial" w:eastAsia="Arial" w:hAnsi="Arial"/>
          <w:sz w:val="15"/>
          <w:szCs w:val="15"/>
          <w:color w:val="auto"/>
        </w:rPr>
      </w:pPr>
      <w:r>
        <w:rPr>
          <w:rFonts w:ascii="Arial" w:cs="Arial" w:eastAsia="Arial" w:hAnsi="Arial"/>
          <w:sz w:val="15"/>
          <w:szCs w:val="15"/>
          <w:color w:val="auto"/>
        </w:rPr>
        <w:t>Restrictions lapse with respect to the remainder of the performance-based RSU’s (25% of the total) upon achievement of a total shareholder return, or “TSR” target over a three-year period. TSR will be measured by reference to a peer group and will be based on a relative change in stock price, assuming reinvestment of dividends, where applicable.</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for the three-year period is measured at the end of the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minimum performance objectives are not met, the performance-based RSU’s are forfeited.</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performance achieved above the Target level, phantom share rights will be used. Within 10 days after the vesting date, the Company will pay in cash for each vested phantom share right an amount equal to the closing price per share of the Company’s common stock on the vesting date.</w:t>
      </w:r>
    </w:p>
    <w:p>
      <w:pPr>
        <w:spacing w:after="0" w:line="4" w:lineRule="exact"/>
        <w:rPr>
          <w:rFonts w:ascii="Arial" w:cs="Arial" w:eastAsia="Arial" w:hAnsi="Arial"/>
          <w:sz w:val="16"/>
          <w:szCs w:val="16"/>
          <w:color w:val="auto"/>
        </w:rPr>
      </w:pPr>
    </w:p>
    <w:p>
      <w:pPr>
        <w:ind w:left="900" w:right="18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October 2009 RSU award, we initially followed our standard plan formula for determining the number of RSU’s to award to each Named Executive Officer, but because of the low prevailing stock price, the number of RSU’s awarded would have resulted in using more than half of the number of shares approved by stockholders at the 2009 Annual Meeting in one annual grant. In order to achieve a more sustainable “burn rate” for RSU awards, management proposed, and the Committee approved, a reduction in the award to each individual to 60% of the number of RSU’s that would otherwise have been awarded under the plan.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Grants made during fiscal 2010 are shown in the Grants of Plan-Based Awards table. Long-term equity awards are granted on an annual basis each November or December at the Committee meeting following the Company’s annual stockholders meeting.</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our objectives and may be modified, discontinued or replaced based on the changing objectives and requirements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annual incentive awards stated above, the Committee approved a special award of a total of 32,000 Restricted Stock Units (RSU) for</w:t>
      </w:r>
    </w:p>
    <w:p>
      <w:pPr>
        <w:spacing w:after="0" w:line="38" w:lineRule="exact"/>
        <w:rPr>
          <w:sz w:val="20"/>
          <w:szCs w:val="20"/>
          <w:color w:val="auto"/>
        </w:rPr>
      </w:pPr>
    </w:p>
    <w:p>
      <w:pPr>
        <w:jc w:val="both"/>
        <w:ind w:right="20"/>
        <w:spacing w:after="0" w:line="361" w:lineRule="auto"/>
        <w:rPr>
          <w:sz w:val="20"/>
          <w:szCs w:val="20"/>
          <w:color w:val="auto"/>
        </w:rPr>
      </w:pPr>
      <w:r>
        <w:rPr>
          <w:rFonts w:ascii="Arial" w:cs="Arial" w:eastAsia="Arial" w:hAnsi="Arial"/>
          <w:sz w:val="15"/>
          <w:szCs w:val="15"/>
          <w:color w:val="auto"/>
        </w:rPr>
        <w:t>Mr. Bradley and the other Named Executive Officers. The special RSU awards were intended as a retention tool and to supplement the fiscal 2009 cash incentives and further reward the executive management team for our record earnings, excellent safety performance and advancement of the long-term strategic plan.</w:t>
      </w:r>
    </w:p>
    <w:p>
      <w:pPr>
        <w:spacing w:after="0" w:line="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special RSU awards were granted on August 14, 2009 and were time-based awards. Restrictions will lapse on the third anniversary of the award. Specific RSU award levels are detailed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vMerge w:val="restart"/>
          </w:tcPr>
          <w:p>
            <w:pPr>
              <w:spacing w:after="0"/>
              <w:rPr>
                <w:sz w:val="20"/>
                <w:szCs w:val="20"/>
                <w:color w:val="auto"/>
              </w:rPr>
            </w:pPr>
            <w:r>
              <w:rPr>
                <w:rFonts w:ascii="Arial" w:cs="Arial" w:eastAsia="Arial" w:hAnsi="Arial"/>
                <w:sz w:val="18"/>
                <w:szCs w:val="18"/>
                <w:color w:val="auto"/>
              </w:rPr>
              <w:t>Mr. Bradley</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Number of RSU’s Granted</w:t>
            </w:r>
          </w:p>
        </w:tc>
        <w:tc>
          <w:tcPr>
            <w:tcW w:w="0" w:type="dxa"/>
            <w:vAlign w:val="bottom"/>
          </w:tcPr>
          <w:p>
            <w:pPr>
              <w:spacing w:after="0"/>
              <w:rPr>
                <w:sz w:val="1"/>
                <w:szCs w:val="1"/>
                <w:color w:val="auto"/>
              </w:rPr>
            </w:pPr>
          </w:p>
        </w:tc>
      </w:tr>
      <w:tr>
        <w:trPr>
          <w:trHeight w:val="201"/>
        </w:trPr>
        <w:tc>
          <w:tcPr>
            <w:tcW w:w="8860" w:type="dxa"/>
            <w:vAlign w:val="bottom"/>
            <w:vMerge w:val="continue"/>
          </w:tcPr>
          <w:p>
            <w:pPr>
              <w:spacing w:after="0"/>
              <w:rPr>
                <w:sz w:val="17"/>
                <w:szCs w:val="17"/>
                <w:color w:val="auto"/>
              </w:rPr>
            </w:pP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Mr. Montalbano</w:t>
            </w:r>
          </w:p>
        </w:tc>
        <w:tc>
          <w:tcPr>
            <w:tcW w:w="15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Mr. Long</w:t>
            </w:r>
          </w:p>
        </w:tc>
        <w:tc>
          <w:tcPr>
            <w:tcW w:w="15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Mr. Petrizzo</w:t>
            </w:r>
          </w:p>
        </w:tc>
        <w:tc>
          <w:tcPr>
            <w:tcW w:w="15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Mr. Ryan</w:t>
            </w:r>
          </w:p>
        </w:tc>
        <w:tc>
          <w:tcPr>
            <w:tcW w:w="15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officers do not receive a significant value in perquisites or supplemental benefits. In general, our executive officers are eligible to participate in the same retirement and health and welfare plans as all eligible employees. However, to remain competitive in our benefit offerings, we offer the following benefits to executive officers:</w:t>
      </w:r>
    </w:p>
    <w:p>
      <w:pPr>
        <w:spacing w:after="0" w:line="59"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u w:val="single" w:color="auto"/>
          <w:color w:val="auto"/>
        </w:rPr>
        <w:t>Retirement Benefits</w:t>
      </w:r>
      <w:r>
        <w:rPr>
          <w:rFonts w:ascii="Arial" w:cs="Arial" w:eastAsia="Arial" w:hAnsi="Arial"/>
          <w:sz w:val="16"/>
          <w:szCs w:val="16"/>
          <w:color w:val="auto"/>
        </w:rPr>
        <w:t xml:space="preserve"> – We sponsor a 401(k) Savings Plan which allows executive officers, and other employees, to contribute up to 25% of their salary (up to the annual IRS maximum). Executive officers participate and receive benefits under the plan in the same manner as all other eligible participants. We do not sponsor or maintain any other pension, deferred compensation plans or other supplemental retirement plans for executive officers.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xml:space="preserve"> – In addition to the group term life policy offered to all eligible employees, we provide additional life insurance to our executive officers, at no cost to the officer.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xml:space="preserve"> – The Company provides a $500,000 term life insurance policy for the CEO.</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u w:val="single" w:color="auto"/>
          <w:color w:val="auto"/>
        </w:rPr>
        <w:t>Executive Officers and Managers</w:t>
      </w:r>
      <w:r>
        <w:rPr>
          <w:rFonts w:ascii="Arial" w:cs="Arial" w:eastAsia="Arial" w:hAnsi="Arial"/>
          <w:sz w:val="18"/>
          <w:szCs w:val="18"/>
          <w:color w:val="auto"/>
        </w:rPr>
        <w:t xml:space="preserve"> – We provide an additional corporate term life insurance policy for all executive officers at the levels outlined below:</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CEO, COO and CFO – $600,000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Named Executive Officers – $400,000</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 – Named Executive Officers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entered into Change of Control/Severance Agreements with each of the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90" w:lineRule="exact"/>
        <w:rPr>
          <w:sz w:val="20"/>
          <w:szCs w:val="20"/>
          <w:color w:val="auto"/>
        </w:rPr>
      </w:pPr>
    </w:p>
    <w:p>
      <w:pPr>
        <w:ind w:left="900" w:right="2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event payment of benefits is triggered under these agreements,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 Named Executive Officer suffers an adverse event within 24 months of a change of control:</w:t>
      </w:r>
    </w:p>
    <w:p>
      <w:pPr>
        <w:spacing w:after="0" w:line="62" w:lineRule="exact"/>
        <w:rPr>
          <w:sz w:val="20"/>
          <w:szCs w:val="20"/>
          <w:color w:val="auto"/>
        </w:rPr>
      </w:pPr>
    </w:p>
    <w:p>
      <w:pPr>
        <w:jc w:val="both"/>
        <w:ind w:left="900" w:right="12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Bradley, Mr. Montalbano or Mr. Long will receive an amount equal to two years of annual salary plus his annual bonus compensation based on the average bonus compensation for the lesser of the previous three years or the number of full fiscal years the executive has been employed in the position. In addition, all forms of equity benefits will vest and restrictions on those benefits will lapse immediately.</w:t>
      </w:r>
    </w:p>
    <w:p>
      <w:pPr>
        <w:spacing w:after="0" w:line="25"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Ryan and Mr. Petrizzo will receive an amount equal to one year of annual salary plus the average annual bonus compensation paid to the executive in previous three calendar years. In addition, all forms of equity benefits will vest and restrictions on those benefits will lapse immediately.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the event a Named Executive Officer is terminated from employment for reasons other than cause:</w:t>
      </w:r>
    </w:p>
    <w:p>
      <w:pPr>
        <w:spacing w:after="0" w:line="90" w:lineRule="exact"/>
        <w:rPr>
          <w:sz w:val="20"/>
          <w:szCs w:val="20"/>
          <w:color w:val="auto"/>
        </w:rPr>
      </w:pPr>
    </w:p>
    <w:p>
      <w:pPr>
        <w:ind w:left="900" w:right="1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Named Executive Officer will receive an amount equal to one year of annual salary plus an additional amount with respect to the executive’s annual bonus which varies for each executive. In addition, restrictions on certain of the initial RSU awards to Mr. Bradley and Mr. Montalbano will lapse immediately.</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 Agreements – Other Executive Officers and Managers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We seek to offer some security and protection when asking officers and managers to remain engaged through uncertain times. The Change of Control Agreements are provided to the other Company executive officers not named above and select management personnel.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 of annual base salary. In addition, all equity awards immediately vest and all restrictions on such benefits lapse. All benefits paid under these agreements are conditional upon the executive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is terminated for cause, all benefits and payments under the agreement are forfeited.</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Clawback Policy</w:t>
      </w:r>
    </w:p>
    <w:p>
      <w:pPr>
        <w:spacing w:after="0" w:line="9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RSU award agreements also include a clawback provision. The clawback policy provides that, to the extent permitted by law, if the Board of Directors, with the recommendation of the Committee, determines that:</w:t>
      </w:r>
    </w:p>
    <w:p>
      <w:pPr>
        <w:spacing w:after="0" w:line="59" w:lineRule="exact"/>
        <w:rPr>
          <w:sz w:val="20"/>
          <w:szCs w:val="20"/>
          <w:color w:val="auto"/>
        </w:rPr>
      </w:pPr>
    </w:p>
    <w:p>
      <w:pPr>
        <w:ind w:left="900" w:right="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 Named Executive Officer, and that such compensation was based on the achievement of any financial results that were subsequently the subject of any material restatement of our financial statements filed with the SEC;</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executive officer engaged in grossly negligent or intentional misconduct that caused or substantially caused the material restatement;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90"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62"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is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Compensation Committee Member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2010, based on total compensation earned during fiscal 2010, for services in all capacities to the Company and its subsidiaries. Compensation information for the Company’s former Vice President and General Counsel is also provided. Each of the executive officers listed below are referred to collectively as the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total compensation in fiscal 2010, 2009, 2008 and the June Transition Period for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Salary</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7"/>
              </w:rPr>
              <w:t>Bonus</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7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Year</w:t>
            </w:r>
          </w:p>
        </w:tc>
        <w:tc>
          <w:tcPr>
            <w:tcW w:w="260" w:type="dxa"/>
            <w:vAlign w:val="bottom"/>
          </w:tcPr>
          <w:p>
            <w:pPr>
              <w:spacing w:after="0"/>
              <w:rPr>
                <w:sz w:val="14"/>
                <w:szCs w:val="14"/>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(1)</w:t>
            </w:r>
          </w:p>
        </w:tc>
        <w:tc>
          <w:tcPr>
            <w:tcW w:w="3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Bradley</w:t>
            </w: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2010</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649,384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556,600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28,283(5)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1,234,267</w:t>
            </w: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570" w:type="dxa"/>
            <w:vAlign w:val="bottom"/>
            <w:shd w:val="clear" w:color="auto" w:fill="CCEEFF"/>
          </w:tcPr>
          <w:p>
            <w:pPr>
              <w:ind w:left="110"/>
              <w:spacing w:after="0" w:line="149" w:lineRule="exact"/>
              <w:rPr>
                <w:sz w:val="20"/>
                <w:szCs w:val="20"/>
                <w:color w:val="auto"/>
              </w:rPr>
            </w:pPr>
            <w:r>
              <w:rPr>
                <w:rFonts w:ascii="Arial" w:cs="Arial" w:eastAsia="Arial" w:hAnsi="Arial"/>
                <w:sz w:val="14"/>
                <w:szCs w:val="14"/>
                <w:color w:val="auto"/>
              </w:rPr>
              <w:t>June</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55,833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1,743(5)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57,576</w:t>
            </w: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670,000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701,500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36,349(5)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1,742,849</w:t>
            </w: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2008</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516,667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970,550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371,704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45,097(6)</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1,904,018</w:t>
            </w:r>
          </w:p>
        </w:tc>
      </w:tr>
      <w:tr>
        <w:trPr>
          <w:trHeight w:val="138"/>
        </w:trPr>
        <w:tc>
          <w:tcPr>
            <w:tcW w:w="20" w:type="dxa"/>
            <w:vAlign w:val="bottom"/>
          </w:tcPr>
          <w:p>
            <w:pPr>
              <w:spacing w:after="0"/>
              <w:rPr>
                <w:sz w:val="11"/>
                <w:szCs w:val="11"/>
                <w:color w:val="auto"/>
              </w:rPr>
            </w:pPr>
          </w:p>
        </w:tc>
        <w:tc>
          <w:tcPr>
            <w:tcW w:w="3070" w:type="dxa"/>
            <w:vAlign w:val="bottom"/>
            <w:gridSpan w:val="3"/>
          </w:tcPr>
          <w:p>
            <w:pPr>
              <w:spacing w:after="0" w:line="138" w:lineRule="exact"/>
              <w:rPr>
                <w:sz w:val="20"/>
                <w:szCs w:val="20"/>
                <w:color w:val="auto"/>
              </w:rPr>
            </w:pPr>
            <w:r>
              <w:rPr>
                <w:rFonts w:ascii="Arial" w:cs="Arial" w:eastAsia="Arial" w:hAnsi="Arial"/>
                <w:sz w:val="14"/>
                <w:szCs w:val="14"/>
                <w:color w:val="auto"/>
              </w:rPr>
              <w:t>Joseph F. Montalbano</w:t>
            </w:r>
          </w:p>
        </w:tc>
        <w:tc>
          <w:tcPr>
            <w:tcW w:w="570" w:type="dxa"/>
            <w:vAlign w:val="bottom"/>
          </w:tcPr>
          <w:p>
            <w:pPr>
              <w:spacing w:after="0"/>
              <w:rPr>
                <w:sz w:val="11"/>
                <w:szCs w:val="11"/>
                <w:color w:val="auto"/>
              </w:rPr>
            </w:pPr>
          </w:p>
        </w:tc>
        <w:tc>
          <w:tcPr>
            <w:tcW w:w="5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89"/>
              </w:rPr>
              <w:t>2010</w:t>
            </w:r>
          </w:p>
        </w:tc>
        <w:tc>
          <w:tcPr>
            <w:tcW w:w="5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2"/>
              </w:rPr>
              <w:t>343,269</w:t>
            </w:r>
          </w:p>
        </w:tc>
        <w:tc>
          <w:tcPr>
            <w:tcW w:w="140" w:type="dxa"/>
            <w:vAlign w:val="bottom"/>
          </w:tcPr>
          <w:p>
            <w:pPr>
              <w:spacing w:after="0"/>
              <w:rPr>
                <w:sz w:val="11"/>
                <w:szCs w:val="11"/>
                <w:color w:val="auto"/>
              </w:rPr>
            </w:pPr>
          </w:p>
        </w:tc>
        <w:tc>
          <w:tcPr>
            <w:tcW w:w="80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280,800</w:t>
            </w:r>
          </w:p>
        </w:tc>
        <w:tc>
          <w:tcPr>
            <w:tcW w:w="48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175,000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25,717(5)</w:t>
            </w:r>
          </w:p>
        </w:tc>
        <w:tc>
          <w:tcPr>
            <w:tcW w:w="7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824,786</w:t>
            </w:r>
          </w:p>
        </w:tc>
      </w:tr>
      <w:tr>
        <w:trPr>
          <w:trHeight w:val="149"/>
        </w:trPr>
        <w:tc>
          <w:tcPr>
            <w:tcW w:w="3090" w:type="dxa"/>
            <w:vAlign w:val="bottom"/>
            <w:gridSpan w:val="4"/>
          </w:tcPr>
          <w:p>
            <w:pPr>
              <w:spacing w:after="0" w:line="149" w:lineRule="exact"/>
              <w:rPr>
                <w:sz w:val="20"/>
                <w:szCs w:val="20"/>
                <w:color w:val="auto"/>
              </w:rPr>
            </w:pPr>
            <w:r>
              <w:rPr>
                <w:rFonts w:ascii="Arial" w:cs="Arial" w:eastAsia="Arial" w:hAnsi="Arial"/>
                <w:sz w:val="14"/>
                <w:szCs w:val="14"/>
                <w:color w:val="auto"/>
              </w:rPr>
              <w:t>Chief Operating Officer</w:t>
            </w:r>
          </w:p>
        </w:tc>
        <w:tc>
          <w:tcPr>
            <w:tcW w:w="570" w:type="dxa"/>
            <w:vAlign w:val="bottom"/>
          </w:tcPr>
          <w:p>
            <w:pPr>
              <w:ind w:left="110"/>
              <w:spacing w:after="0" w:line="149" w:lineRule="exact"/>
              <w:rPr>
                <w:sz w:val="20"/>
                <w:szCs w:val="20"/>
                <w:color w:val="auto"/>
              </w:rPr>
            </w:pPr>
            <w:r>
              <w:rPr>
                <w:rFonts w:ascii="Arial" w:cs="Arial" w:eastAsia="Arial" w:hAnsi="Arial"/>
                <w:sz w:val="14"/>
                <w:szCs w:val="14"/>
                <w:color w:val="auto"/>
              </w:rPr>
              <w:t>June</w:t>
            </w: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29,167</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2,408(5)</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31,575</w:t>
            </w: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350,000</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246,308(7)</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771,308</w:t>
            </w: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570" w:type="dxa"/>
            <w:vAlign w:val="bottom"/>
          </w:tcPr>
          <w:p>
            <w:pPr>
              <w:spacing w:after="0"/>
              <w:rPr>
                <w:sz w:val="13"/>
                <w:szCs w:val="13"/>
                <w:color w:val="auto"/>
              </w:rPr>
            </w:pPr>
          </w:p>
        </w:tc>
        <w:tc>
          <w:tcPr>
            <w:tcW w:w="5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89"/>
              </w:rPr>
              <w:t>2008</w:t>
            </w:r>
          </w:p>
        </w:tc>
        <w:tc>
          <w:tcPr>
            <w:tcW w:w="5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7"/>
              </w:rPr>
              <w:t>14,583</w:t>
            </w:r>
          </w:p>
        </w:tc>
        <w:tc>
          <w:tcPr>
            <w:tcW w:w="9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100,000(3)</w:t>
            </w:r>
          </w:p>
        </w:tc>
        <w:tc>
          <w:tcPr>
            <w:tcW w:w="8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818,427</w:t>
            </w: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20" w:type="dxa"/>
            <w:vAlign w:val="bottom"/>
            <w:gridSpan w:val="2"/>
          </w:tcPr>
          <w:p>
            <w:pPr>
              <w:ind w:left="70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29,167(8)</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962,177</w:t>
            </w: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2010</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294,231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245,360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116,102(9)</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655,693</w:t>
            </w: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570" w:type="dxa"/>
            <w:vAlign w:val="bottom"/>
            <w:shd w:val="clear" w:color="auto" w:fill="CCEEFF"/>
          </w:tcPr>
          <w:p>
            <w:pPr>
              <w:ind w:left="110"/>
              <w:spacing w:after="0" w:line="149" w:lineRule="exact"/>
              <w:rPr>
                <w:sz w:val="20"/>
                <w:szCs w:val="20"/>
                <w:color w:val="auto"/>
              </w:rPr>
            </w:pPr>
            <w:r>
              <w:rPr>
                <w:rFonts w:ascii="Arial" w:cs="Arial" w:eastAsia="Arial" w:hAnsi="Arial"/>
                <w:sz w:val="14"/>
                <w:szCs w:val="14"/>
                <w:color w:val="auto"/>
              </w:rPr>
              <w:t>June</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25,000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2,111(5)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27,111</w:t>
            </w: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300,000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233,450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123,325(10)</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731,775</w:t>
            </w: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2008</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26,346</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100,000(3)</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874,805</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31,823(11)</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1,032,974</w:t>
            </w:r>
          </w:p>
        </w:tc>
      </w:tr>
      <w:tr>
        <w:trPr>
          <w:trHeight w:val="138"/>
        </w:trPr>
        <w:tc>
          <w:tcPr>
            <w:tcW w:w="20" w:type="dxa"/>
            <w:vAlign w:val="bottom"/>
          </w:tcPr>
          <w:p>
            <w:pPr>
              <w:spacing w:after="0"/>
              <w:rPr>
                <w:sz w:val="11"/>
                <w:szCs w:val="11"/>
                <w:color w:val="auto"/>
              </w:rPr>
            </w:pPr>
          </w:p>
        </w:tc>
        <w:tc>
          <w:tcPr>
            <w:tcW w:w="3070" w:type="dxa"/>
            <w:vAlign w:val="bottom"/>
            <w:gridSpan w:val="3"/>
          </w:tcPr>
          <w:p>
            <w:pPr>
              <w:spacing w:after="0" w:line="138" w:lineRule="exact"/>
              <w:rPr>
                <w:sz w:val="20"/>
                <w:szCs w:val="20"/>
                <w:color w:val="auto"/>
              </w:rPr>
            </w:pPr>
            <w:r>
              <w:rPr>
                <w:rFonts w:ascii="Arial" w:cs="Arial" w:eastAsia="Arial" w:hAnsi="Arial"/>
                <w:sz w:val="14"/>
                <w:szCs w:val="14"/>
                <w:color w:val="auto"/>
              </w:rPr>
              <w:t>Matthew J. Petrizzo</w:t>
            </w:r>
          </w:p>
        </w:tc>
        <w:tc>
          <w:tcPr>
            <w:tcW w:w="570" w:type="dxa"/>
            <w:vAlign w:val="bottom"/>
          </w:tcPr>
          <w:p>
            <w:pPr>
              <w:spacing w:after="0"/>
              <w:rPr>
                <w:sz w:val="11"/>
                <w:szCs w:val="11"/>
                <w:color w:val="auto"/>
              </w:rPr>
            </w:pPr>
          </w:p>
        </w:tc>
        <w:tc>
          <w:tcPr>
            <w:tcW w:w="5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89"/>
              </w:rPr>
              <w:t>2010</w:t>
            </w:r>
          </w:p>
        </w:tc>
        <w:tc>
          <w:tcPr>
            <w:tcW w:w="5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2"/>
              </w:rPr>
              <w:t>256,846</w:t>
            </w:r>
          </w:p>
        </w:tc>
        <w:tc>
          <w:tcPr>
            <w:tcW w:w="140" w:type="dxa"/>
            <w:vAlign w:val="bottom"/>
          </w:tcPr>
          <w:p>
            <w:pPr>
              <w:spacing w:after="0"/>
              <w:rPr>
                <w:sz w:val="11"/>
                <w:szCs w:val="11"/>
                <w:color w:val="auto"/>
              </w:rPr>
            </w:pPr>
          </w:p>
        </w:tc>
        <w:tc>
          <w:tcPr>
            <w:tcW w:w="80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216,280</w:t>
            </w:r>
          </w:p>
        </w:tc>
        <w:tc>
          <w:tcPr>
            <w:tcW w:w="48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20" w:type="dxa"/>
            <w:vAlign w:val="bottom"/>
            <w:gridSpan w:val="2"/>
          </w:tcPr>
          <w:p>
            <w:pPr>
              <w:ind w:left="700"/>
              <w:spacing w:after="0" w:line="138"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23,035(5)</w:t>
            </w:r>
          </w:p>
        </w:tc>
        <w:tc>
          <w:tcPr>
            <w:tcW w:w="7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496,161</w:t>
            </w:r>
          </w:p>
        </w:tc>
      </w:tr>
      <w:tr>
        <w:trPr>
          <w:trHeight w:val="149"/>
        </w:trPr>
        <w:tc>
          <w:tcPr>
            <w:tcW w:w="3090" w:type="dxa"/>
            <w:vAlign w:val="bottom"/>
            <w:gridSpan w:val="4"/>
          </w:tcPr>
          <w:p>
            <w:pPr>
              <w:spacing w:after="0" w:line="149" w:lineRule="exact"/>
              <w:rPr>
                <w:sz w:val="20"/>
                <w:szCs w:val="20"/>
                <w:color w:val="auto"/>
              </w:rPr>
            </w:pPr>
            <w:r>
              <w:rPr>
                <w:rFonts w:ascii="Arial" w:cs="Arial" w:eastAsia="Arial" w:hAnsi="Arial"/>
                <w:sz w:val="14"/>
                <w:szCs w:val="14"/>
                <w:color w:val="auto"/>
              </w:rPr>
              <w:t>President</w:t>
            </w:r>
          </w:p>
        </w:tc>
        <w:tc>
          <w:tcPr>
            <w:tcW w:w="570" w:type="dxa"/>
            <w:vAlign w:val="bottom"/>
          </w:tcPr>
          <w:p>
            <w:pPr>
              <w:ind w:left="110"/>
              <w:spacing w:after="0" w:line="149" w:lineRule="exact"/>
              <w:rPr>
                <w:sz w:val="20"/>
                <w:szCs w:val="20"/>
                <w:color w:val="auto"/>
              </w:rPr>
            </w:pPr>
            <w:r>
              <w:rPr>
                <w:rFonts w:ascii="Arial" w:cs="Arial" w:eastAsia="Arial" w:hAnsi="Arial"/>
                <w:sz w:val="14"/>
                <w:szCs w:val="14"/>
                <w:color w:val="auto"/>
              </w:rPr>
              <w:t>June</w:t>
            </w: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22,083</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1,985(5)</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24,068</w:t>
            </w:r>
          </w:p>
        </w:tc>
      </w:tr>
      <w:tr>
        <w:trPr>
          <w:trHeight w:val="149"/>
        </w:trPr>
        <w:tc>
          <w:tcPr>
            <w:tcW w:w="20" w:type="dxa"/>
            <w:vAlign w:val="bottom"/>
          </w:tcPr>
          <w:p>
            <w:pPr>
              <w:spacing w:after="0"/>
              <w:rPr>
                <w:sz w:val="12"/>
                <w:szCs w:val="12"/>
                <w:color w:val="auto"/>
              </w:rPr>
            </w:pPr>
          </w:p>
        </w:tc>
        <w:tc>
          <w:tcPr>
            <w:tcW w:w="307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Matrix Service Industrial</w:t>
            </w:r>
          </w:p>
        </w:tc>
        <w:tc>
          <w:tcPr>
            <w:tcW w:w="57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265,000</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197,800</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113,103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23,485(5)</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599,388</w:t>
            </w:r>
          </w:p>
        </w:tc>
      </w:tr>
      <w:tr>
        <w:trPr>
          <w:trHeight w:val="173"/>
        </w:trPr>
        <w:tc>
          <w:tcPr>
            <w:tcW w:w="20" w:type="dxa"/>
            <w:vAlign w:val="bottom"/>
          </w:tcPr>
          <w:p>
            <w:pPr>
              <w:spacing w:after="0"/>
              <w:rPr>
                <w:sz w:val="15"/>
                <w:szCs w:val="15"/>
                <w:color w:val="auto"/>
              </w:rPr>
            </w:pPr>
          </w:p>
        </w:tc>
        <w:tc>
          <w:tcPr>
            <w:tcW w:w="3070" w:type="dxa"/>
            <w:vAlign w:val="bottom"/>
            <w:gridSpan w:val="3"/>
          </w:tcPr>
          <w:p>
            <w:pPr>
              <w:ind w:left="200"/>
              <w:spacing w:after="0"/>
              <w:rPr>
                <w:sz w:val="20"/>
                <w:szCs w:val="20"/>
                <w:color w:val="auto"/>
              </w:rPr>
            </w:pPr>
            <w:r>
              <w:rPr>
                <w:rFonts w:ascii="Arial" w:cs="Arial" w:eastAsia="Arial" w:hAnsi="Arial"/>
                <w:sz w:val="14"/>
                <w:szCs w:val="14"/>
                <w:color w:val="auto"/>
              </w:rPr>
              <w:t>Contractors Inc.</w:t>
            </w:r>
          </w:p>
        </w:tc>
        <w:tc>
          <w:tcPr>
            <w:tcW w:w="57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2008</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82"/>
              </w:rPr>
              <w:t>113,750</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25,000(3)</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444,510</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80,000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4"/>
                <w:szCs w:val="14"/>
                <w:color w:val="auto"/>
              </w:rPr>
              <w:t>11,289(12)</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674,549</w:t>
            </w: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2010</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293,968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198,560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22,920(5)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515,448</w:t>
            </w:r>
          </w:p>
        </w:tc>
      </w:tr>
      <w:tr>
        <w:trPr>
          <w:trHeight w:val="149"/>
        </w:trPr>
        <w:tc>
          <w:tcPr>
            <w:tcW w:w="20" w:type="dxa"/>
            <w:vAlign w:val="bottom"/>
          </w:tcPr>
          <w:p>
            <w:pPr>
              <w:spacing w:after="0"/>
              <w:rPr>
                <w:sz w:val="12"/>
                <w:szCs w:val="12"/>
                <w:color w:val="auto"/>
              </w:rPr>
            </w:pPr>
          </w:p>
        </w:tc>
        <w:tc>
          <w:tcPr>
            <w:tcW w:w="307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570" w:type="dxa"/>
            <w:vAlign w:val="bottom"/>
            <w:shd w:val="clear" w:color="auto" w:fill="CCEEFF"/>
          </w:tcPr>
          <w:p>
            <w:pPr>
              <w:ind w:left="110"/>
              <w:spacing w:after="0" w:line="149" w:lineRule="exact"/>
              <w:rPr>
                <w:sz w:val="20"/>
                <w:szCs w:val="20"/>
                <w:color w:val="auto"/>
              </w:rPr>
            </w:pPr>
            <w:r>
              <w:rPr>
                <w:rFonts w:ascii="Arial" w:cs="Arial" w:eastAsia="Arial" w:hAnsi="Arial"/>
                <w:sz w:val="14"/>
                <w:szCs w:val="14"/>
                <w:color w:val="auto"/>
              </w:rPr>
              <w:t>June</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25,275</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2,103(5)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27,378</w:t>
            </w:r>
          </w:p>
        </w:tc>
      </w:tr>
      <w:tr>
        <w:trPr>
          <w:trHeight w:val="162"/>
        </w:trPr>
        <w:tc>
          <w:tcPr>
            <w:tcW w:w="20" w:type="dxa"/>
            <w:vAlign w:val="bottom"/>
          </w:tcPr>
          <w:p>
            <w:pPr>
              <w:spacing w:after="0"/>
              <w:rPr>
                <w:sz w:val="14"/>
                <w:szCs w:val="14"/>
                <w:color w:val="auto"/>
              </w:rPr>
            </w:pPr>
          </w:p>
        </w:tc>
        <w:tc>
          <w:tcPr>
            <w:tcW w:w="307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Matrix Service Inc.</w:t>
            </w:r>
          </w:p>
        </w:tc>
        <w:tc>
          <w:tcPr>
            <w:tcW w:w="57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9"/>
              </w:rPr>
              <w:t>2009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2"/>
              </w:rPr>
              <w:t>303,300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216,200</w:t>
            </w:r>
          </w:p>
        </w:tc>
        <w:tc>
          <w:tcPr>
            <w:tcW w:w="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75,825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26,184(5)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621,509</w:t>
            </w: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2008</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273,780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299,484</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118,127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36,416(12)</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727,807</w:t>
            </w:r>
          </w:p>
        </w:tc>
      </w:tr>
      <w:tr>
        <w:trPr>
          <w:trHeight w:val="138"/>
        </w:trPr>
        <w:tc>
          <w:tcPr>
            <w:tcW w:w="20" w:type="dxa"/>
            <w:vAlign w:val="bottom"/>
          </w:tcPr>
          <w:p>
            <w:pPr>
              <w:spacing w:after="0"/>
              <w:rPr>
                <w:sz w:val="11"/>
                <w:szCs w:val="11"/>
                <w:color w:val="auto"/>
              </w:rPr>
            </w:pPr>
          </w:p>
        </w:tc>
        <w:tc>
          <w:tcPr>
            <w:tcW w:w="3070" w:type="dxa"/>
            <w:vAlign w:val="bottom"/>
            <w:gridSpan w:val="3"/>
          </w:tcPr>
          <w:p>
            <w:pPr>
              <w:spacing w:after="0" w:line="138" w:lineRule="exact"/>
              <w:rPr>
                <w:sz w:val="20"/>
                <w:szCs w:val="20"/>
                <w:color w:val="auto"/>
              </w:rPr>
            </w:pPr>
            <w:r>
              <w:rPr>
                <w:rFonts w:ascii="Arial" w:cs="Arial" w:eastAsia="Arial" w:hAnsi="Arial"/>
                <w:sz w:val="14"/>
                <w:szCs w:val="14"/>
                <w:color w:val="auto"/>
              </w:rPr>
              <w:t>Judy S. Eliot</w:t>
            </w:r>
          </w:p>
        </w:tc>
        <w:tc>
          <w:tcPr>
            <w:tcW w:w="570" w:type="dxa"/>
            <w:vAlign w:val="bottom"/>
          </w:tcPr>
          <w:p>
            <w:pPr>
              <w:spacing w:after="0"/>
              <w:rPr>
                <w:sz w:val="11"/>
                <w:szCs w:val="11"/>
                <w:color w:val="auto"/>
              </w:rPr>
            </w:pPr>
          </w:p>
        </w:tc>
        <w:tc>
          <w:tcPr>
            <w:tcW w:w="5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89"/>
              </w:rPr>
              <w:t>2010</w:t>
            </w:r>
          </w:p>
        </w:tc>
        <w:tc>
          <w:tcPr>
            <w:tcW w:w="5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2"/>
              </w:rPr>
              <w:t>143,510</w:t>
            </w:r>
          </w:p>
        </w:tc>
        <w:tc>
          <w:tcPr>
            <w:tcW w:w="94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30,000(3)</w:t>
            </w:r>
          </w:p>
        </w:tc>
        <w:tc>
          <w:tcPr>
            <w:tcW w:w="82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224,458(4)</w:t>
            </w:r>
          </w:p>
        </w:tc>
        <w:tc>
          <w:tcPr>
            <w:tcW w:w="48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20" w:type="dxa"/>
            <w:vAlign w:val="bottom"/>
            <w:gridSpan w:val="2"/>
          </w:tcPr>
          <w:p>
            <w:pPr>
              <w:ind w:left="700"/>
              <w:spacing w:after="0" w:line="138"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348,265(13)</w:t>
            </w:r>
          </w:p>
        </w:tc>
        <w:tc>
          <w:tcPr>
            <w:tcW w:w="7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746,233</w:t>
            </w:r>
          </w:p>
        </w:tc>
      </w:tr>
      <w:tr>
        <w:trPr>
          <w:trHeight w:val="149"/>
        </w:trPr>
        <w:tc>
          <w:tcPr>
            <w:tcW w:w="3090" w:type="dxa"/>
            <w:vAlign w:val="bottom"/>
            <w:gridSpan w:val="4"/>
          </w:tcPr>
          <w:p>
            <w:pPr>
              <w:spacing w:after="0" w:line="149" w:lineRule="exact"/>
              <w:rPr>
                <w:sz w:val="20"/>
                <w:szCs w:val="20"/>
                <w:color w:val="auto"/>
              </w:rPr>
            </w:pPr>
            <w:r>
              <w:rPr>
                <w:rFonts w:ascii="Arial" w:cs="Arial" w:eastAsia="Arial" w:hAnsi="Arial"/>
                <w:sz w:val="14"/>
                <w:szCs w:val="14"/>
                <w:color w:val="auto"/>
              </w:rPr>
              <w:t>Vice President and</w:t>
            </w:r>
          </w:p>
        </w:tc>
        <w:tc>
          <w:tcPr>
            <w:tcW w:w="57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070" w:type="dxa"/>
            <w:vAlign w:val="bottom"/>
            <w:gridSpan w:val="3"/>
          </w:tcPr>
          <w:p>
            <w:pPr>
              <w:ind w:left="200"/>
              <w:spacing w:after="0"/>
              <w:rPr>
                <w:sz w:val="20"/>
                <w:szCs w:val="20"/>
                <w:color w:val="auto"/>
              </w:rPr>
            </w:pPr>
            <w:r>
              <w:rPr>
                <w:rFonts w:ascii="Arial" w:cs="Arial" w:eastAsia="Arial" w:hAnsi="Arial"/>
                <w:sz w:val="14"/>
                <w:szCs w:val="14"/>
                <w:color w:val="auto"/>
              </w:rPr>
              <w:t>General Counsel</w:t>
            </w:r>
          </w:p>
        </w:tc>
        <w:tc>
          <w:tcPr>
            <w:tcW w:w="57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bl>
    <w:p>
      <w:pPr>
        <w:spacing w:after="0" w:line="57" w:lineRule="exact"/>
        <w:rPr>
          <w:sz w:val="20"/>
          <w:szCs w:val="20"/>
          <w:color w:val="auto"/>
        </w:rPr>
      </w:pPr>
    </w:p>
    <w:p>
      <w:pPr>
        <w:ind w:left="340" w:right="40" w:hanging="332"/>
        <w:spacing w:after="0" w:line="23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the applicable accounting guidance for equity-based awards. Certain of these awards are subject to certain performance or market conditions and the grant date fair value is based upon the probable outcome of those conditions. The following table provides the value of the awards at the grant date assuming the highest level of performance conditions are achieved for each period presented:</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Fiscal 2010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Fiscal 2009</w:t>
            </w:r>
          </w:p>
        </w:tc>
        <w:tc>
          <w:tcPr>
            <w:tcW w:w="5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2008</w:t>
            </w:r>
          </w:p>
        </w:tc>
      </w:tr>
      <w:tr>
        <w:trPr>
          <w:trHeight w:val="161"/>
        </w:trPr>
        <w:tc>
          <w:tcPr>
            <w:tcW w:w="6480" w:type="dxa"/>
            <w:vAlign w:val="bottom"/>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6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1200" w:type="dxa"/>
            <w:vAlign w:val="bottom"/>
            <w:gridSpan w:val="2"/>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656,800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1,052,250</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1,455,825</w:t>
            </w:r>
          </w:p>
        </w:tc>
        <w:tc>
          <w:tcPr>
            <w:tcW w:w="60" w:type="dxa"/>
            <w:vAlign w:val="bottom"/>
            <w:shd w:val="clear" w:color="auto" w:fill="CCEEFF"/>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Joseph F. Montalbano</w:t>
            </w: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329,760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818,427</w:t>
            </w:r>
          </w:p>
        </w:tc>
        <w:tc>
          <w:tcPr>
            <w:tcW w:w="6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286,160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350,175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874,905</w:t>
            </w:r>
          </w:p>
        </w:tc>
        <w:tc>
          <w:tcPr>
            <w:tcW w:w="60" w:type="dxa"/>
            <w:vAlign w:val="bottom"/>
            <w:shd w:val="clear" w:color="auto" w:fill="CCEEFF"/>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Matthew J. Petrizzo</w:t>
            </w: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253,000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296,700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444,510</w:t>
            </w:r>
          </w:p>
        </w:tc>
        <w:tc>
          <w:tcPr>
            <w:tcW w:w="6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231,200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449,226</w:t>
            </w:r>
          </w:p>
        </w:tc>
        <w:tc>
          <w:tcPr>
            <w:tcW w:w="60" w:type="dxa"/>
            <w:vAlign w:val="bottom"/>
            <w:shd w:val="clear" w:color="auto" w:fill="CCEEFF"/>
          </w:tcPr>
          <w:p>
            <w:pPr>
              <w:spacing w:after="0"/>
              <w:rPr>
                <w:sz w:val="12"/>
                <w:szCs w:val="12"/>
                <w:color w:val="auto"/>
              </w:rPr>
            </w:pPr>
          </w:p>
        </w:tc>
      </w:tr>
      <w:tr>
        <w:trPr>
          <w:trHeight w:val="172"/>
        </w:trPr>
        <w:tc>
          <w:tcPr>
            <w:tcW w:w="6480" w:type="dxa"/>
            <w:vAlign w:val="bottom"/>
          </w:tcPr>
          <w:p>
            <w:pPr>
              <w:spacing w:after="0"/>
              <w:rPr>
                <w:sz w:val="20"/>
                <w:szCs w:val="20"/>
                <w:color w:val="auto"/>
              </w:rPr>
            </w:pPr>
            <w:r>
              <w:rPr>
                <w:rFonts w:ascii="Arial" w:cs="Arial" w:eastAsia="Arial" w:hAnsi="Arial"/>
                <w:sz w:val="14"/>
                <w:szCs w:val="14"/>
                <w:color w:val="auto"/>
              </w:rPr>
              <w:t>Judy S. Eliot</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252,268</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4"/>
                <w:szCs w:val="14"/>
                <w:color w:val="auto"/>
              </w:rPr>
              <w:t>—</w:t>
            </w:r>
          </w:p>
        </w:tc>
      </w:tr>
    </w:tbl>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further information on the valuation of these awards see Note 1 to the Consolidated Financial Statements included in our fiscal 2010 Annual Report on Form 10-K.</w:t>
      </w:r>
    </w:p>
    <w:p>
      <w:pPr>
        <w:spacing w:after="0" w:line="55" w:lineRule="exact"/>
        <w:rPr>
          <w:sz w:val="20"/>
          <w:szCs w:val="20"/>
          <w:color w:val="auto"/>
        </w:rPr>
      </w:pPr>
    </w:p>
    <w:p>
      <w:pPr>
        <w:ind w:left="340" w:right="78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represent amounts payable to Named Executive Officers under the annual/short-term incentive compensation plan for the applicable fiscal year performance. The amount payable to Mr. Montalbano in fiscal 2010 was guaranteed upon his hire in fiscal 2008.</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a sign-on bonus paid to the Named Executive Officer upon initial employment with us.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 Eliot’s RSU awards were forfeited upon her termination of service during fiscal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40" w:right="8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in fiscal 2009 for life insurance and disability premiums and matching contributions to the Named Executive Officer’s account in our qualified 401(k) plan.</w:t>
      </w:r>
    </w:p>
    <w:p>
      <w:pPr>
        <w:spacing w:after="0" w:line="43"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Mr. Bradley in fiscal 2008 for auto allowance, life insurance and disability premiums, matching contributions to Mr. Bradley’s account in our qualified 401(k) plan, club dues and moving expenses.</w:t>
      </w:r>
    </w:p>
    <w:p>
      <w:pPr>
        <w:spacing w:after="0" w:line="43"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us on behalf of Mr. Montalbano in fiscal 2009 for life insurance and disability premiums and matching contributions to Mr. Montalbano’s account in our qualified 401(k) plan, the value associated with the use of a Company leased automobile, and $223,639 in moving expenses for Mr. Montalbano’s relocation to Tulsa, Oklahoma.</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Mr. Montalbano in fiscal 2008 for moving expenses for Mr. Montalbano’s relocation to Tulsa, Oklahoma.</w:t>
      </w:r>
    </w:p>
    <w:p>
      <w:pPr>
        <w:spacing w:after="0" w:line="55"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Mr. Long in fiscal 2010 for life insurance and disability premiums and matching contributions to Mr. Long’s account in our qualified 401(k) plan, and $92,955 in moving expenses for Mr. Long’s relocation to Tulsa, Oklahoma.</w:t>
      </w:r>
    </w:p>
    <w:p>
      <w:pPr>
        <w:spacing w:after="0" w:line="43"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Mr. Long in fiscal 2009 for life insurance and disability premiums and matching contributions to Mr. Long’s account in our qualified 401(k) plan, and $103,483 in moving expenses for Mr. Long’s relocation to Tulsa, Oklahoma.</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amounts paid by us on behalf of Mr. Long in fiscal 2008 for life insurance and disability premiums, and $31,043 in moving expenses for Mr. Long’s relocation to Tulsa, Oklahoma.</w:t>
      </w:r>
    </w:p>
    <w:p>
      <w:pPr>
        <w:spacing w:after="0" w:line="78" w:lineRule="exact"/>
        <w:rPr>
          <w:rFonts w:ascii="Arial" w:cs="Arial" w:eastAsia="Arial" w:hAnsi="Arial"/>
          <w:sz w:val="12"/>
          <w:szCs w:val="12"/>
          <w:color w:val="auto"/>
        </w:rPr>
      </w:pPr>
    </w:p>
    <w:p>
      <w:pPr>
        <w:ind w:left="340" w:right="28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in fiscal 2008 for auto allowance, life insurance and disability premiums, and matching contributions to the Named Executive Officer’s account in our qualified 401(k) plan.</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amounts paid by us on behalf of Ms. Eliot in fiscal 2010 for life insurance and disability premiums and matching contributions to Ms. Eliot’s account in our qualified 401(k) plan, and a</w:t>
      </w:r>
    </w:p>
    <w:p>
      <w:pPr>
        <w:spacing w:after="0" w:line="22" w:lineRule="exact"/>
        <w:rPr>
          <w:rFonts w:ascii="Arial" w:cs="Arial" w:eastAsia="Arial" w:hAnsi="Arial"/>
          <w:sz w:val="12"/>
          <w:szCs w:val="12"/>
          <w:color w:val="auto"/>
        </w:rPr>
      </w:pPr>
    </w:p>
    <w:p>
      <w:pPr>
        <w:ind w:left="340" w:right="160"/>
        <w:spacing w:after="0" w:line="230" w:lineRule="auto"/>
        <w:rPr>
          <w:rFonts w:ascii="Arial" w:cs="Arial" w:eastAsia="Arial" w:hAnsi="Arial"/>
          <w:sz w:val="12"/>
          <w:szCs w:val="12"/>
          <w:color w:val="auto"/>
        </w:rPr>
      </w:pPr>
      <w:r>
        <w:rPr>
          <w:rFonts w:ascii="Arial" w:cs="Arial" w:eastAsia="Arial" w:hAnsi="Arial"/>
          <w:sz w:val="14"/>
          <w:szCs w:val="14"/>
          <w:color w:val="auto"/>
        </w:rPr>
        <w:t>$337,500 severance payment. The severance payment represented 12 months of Ms. Eliot’s base compensation of $225,000 and her Target 2010 payout under the Company’s annual/short-term incentive compensation plan of $112,500.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2010 and the June Transition Period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grants of plan-based awards in fiscal 2010 and the Transition Period to the Named Executive Officers: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6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Estimated Possible Payouts under</w:t>
            </w:r>
          </w:p>
        </w:tc>
        <w:tc>
          <w:tcPr>
            <w:tcW w:w="2400" w:type="dxa"/>
            <w:vAlign w:val="bottom"/>
            <w:tcBorders>
              <w:top w:val="single" w:sz="8" w:color="auto"/>
              <w:right w:val="single" w:sz="8" w:color="auto"/>
            </w:tcBorders>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2400" w:type="dxa"/>
            <w:vAlign w:val="bottom"/>
            <w:tcBorders>
              <w:right w:val="single" w:sz="8" w:color="auto"/>
            </w:tcBorders>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All</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Approval</w:t>
            </w:r>
          </w:p>
        </w:tc>
        <w:tc>
          <w:tcPr>
            <w:tcW w:w="720" w:type="dxa"/>
            <w:vAlign w:val="bottom"/>
            <w:tcBorders>
              <w:right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Grant</w:t>
            </w: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Maximum</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Threshold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Maximum</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7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8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7/29/09</w:t>
            </w:r>
          </w:p>
        </w:tc>
        <w:tc>
          <w:tcPr>
            <w:tcW w:w="72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362,917</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544,375</w:t>
            </w:r>
          </w:p>
        </w:tc>
        <w:tc>
          <w:tcPr>
            <w:tcW w:w="840" w:type="dxa"/>
            <w:vAlign w:val="bottom"/>
            <w:tcBorders>
              <w:right w:val="single" w:sz="8" w:color="CCEEFF"/>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725,833</w:t>
            </w: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8/14/09</w:t>
            </w:r>
          </w:p>
        </w:tc>
        <w:tc>
          <w:tcPr>
            <w:tcW w:w="7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8/14/09</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10,000</w:t>
            </w:r>
          </w:p>
        </w:tc>
        <w:tc>
          <w:tcPr>
            <w:tcW w:w="820" w:type="dxa"/>
            <w:vAlign w:val="bottom"/>
            <w:tcBorders>
              <w:right w:val="single" w:sz="8" w:color="CCEEFF"/>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10/23/09</w:t>
            </w:r>
          </w:p>
        </w:tc>
        <w:tc>
          <w:tcPr>
            <w:tcW w:w="7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10/23/09</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37,500</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50,000</w:t>
            </w:r>
          </w:p>
        </w:tc>
        <w:tc>
          <w:tcPr>
            <w:tcW w:w="8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62,500</w:t>
            </w:r>
          </w:p>
        </w:tc>
        <w:tc>
          <w:tcPr>
            <w:tcW w:w="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rPr>
              <w:t>Joseph F. Montalbano</w:t>
            </w:r>
          </w:p>
        </w:tc>
        <w:tc>
          <w:tcPr>
            <w:tcW w:w="880" w:type="dxa"/>
            <w:vAlign w:val="bottom"/>
          </w:tcPr>
          <w:p>
            <w:pPr>
              <w:jc w:val="right"/>
              <w:ind w:right="72"/>
              <w:spacing w:after="0" w:line="138" w:lineRule="exact"/>
              <w:rPr>
                <w:sz w:val="20"/>
                <w:szCs w:val="20"/>
                <w:color w:val="auto"/>
              </w:rPr>
            </w:pPr>
            <w:r>
              <w:rPr>
                <w:rFonts w:ascii="Arial" w:cs="Arial" w:eastAsia="Arial" w:hAnsi="Arial"/>
                <w:sz w:val="14"/>
                <w:szCs w:val="14"/>
                <w:color w:val="auto"/>
              </w:rPr>
              <w:t>7/29/09</w:t>
            </w:r>
          </w:p>
        </w:tc>
        <w:tc>
          <w:tcPr>
            <w:tcW w:w="720" w:type="dxa"/>
            <w:vAlign w:val="bottom"/>
          </w:tcPr>
          <w:p>
            <w:pPr>
              <w:spacing w:after="0"/>
              <w:rPr>
                <w:sz w:val="11"/>
                <w:szCs w:val="11"/>
                <w:color w:val="auto"/>
              </w:rPr>
            </w:pPr>
          </w:p>
        </w:tc>
        <w:tc>
          <w:tcPr>
            <w:tcW w:w="900" w:type="dxa"/>
            <w:vAlign w:val="bottom"/>
          </w:tcPr>
          <w:p>
            <w:pPr>
              <w:jc w:val="right"/>
              <w:ind w:right="72"/>
              <w:spacing w:after="0" w:line="138" w:lineRule="exact"/>
              <w:rPr>
                <w:sz w:val="20"/>
                <w:szCs w:val="20"/>
                <w:color w:val="auto"/>
              </w:rPr>
            </w:pPr>
            <w:r>
              <w:rPr>
                <w:rFonts w:ascii="Arial" w:cs="Arial" w:eastAsia="Arial" w:hAnsi="Arial"/>
                <w:sz w:val="14"/>
                <w:szCs w:val="14"/>
                <w:color w:val="auto"/>
              </w:rPr>
              <w:t>175,000</w:t>
            </w:r>
          </w:p>
        </w:tc>
        <w:tc>
          <w:tcPr>
            <w:tcW w:w="72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189,583</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284,375</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8/14/09</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8/14/09</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6,000</w:t>
            </w: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68,160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10/23/09</w:t>
            </w:r>
          </w:p>
        </w:tc>
        <w:tc>
          <w:tcPr>
            <w:tcW w:w="7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10/23/09</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18,000</w:t>
            </w:r>
          </w:p>
        </w:tc>
        <w:tc>
          <w:tcPr>
            <w:tcW w:w="6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24,000</w:t>
            </w:r>
          </w:p>
        </w:tc>
        <w:tc>
          <w:tcPr>
            <w:tcW w:w="8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30,000</w:t>
            </w:r>
          </w:p>
        </w:tc>
        <w:tc>
          <w:tcPr>
            <w:tcW w:w="78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261,600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7/29/09</w:t>
            </w:r>
          </w:p>
        </w:tc>
        <w:tc>
          <w:tcPr>
            <w:tcW w:w="7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8/14/09</w:t>
            </w: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81,250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162,500</w:t>
            </w:r>
          </w:p>
        </w:tc>
        <w:tc>
          <w:tcPr>
            <w:tcW w:w="84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243,750</w:t>
            </w:r>
          </w:p>
        </w:tc>
        <w:tc>
          <w:tcPr>
            <w:tcW w:w="9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6,000</w:t>
            </w:r>
          </w:p>
        </w:tc>
        <w:tc>
          <w:tcPr>
            <w:tcW w:w="82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68,160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8/14/09</w:t>
            </w: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20" w:type="dxa"/>
            <w:vAlign w:val="bottom"/>
            <w:tcBorders>
              <w:right w:val="single" w:sz="8" w:color="CCEEFF"/>
            </w:tcBorders>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10/23/09</w:t>
            </w:r>
          </w:p>
        </w:tc>
        <w:tc>
          <w:tcPr>
            <w:tcW w:w="7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10/23/09</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15,000</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20,000</w:t>
            </w:r>
          </w:p>
        </w:tc>
        <w:tc>
          <w:tcPr>
            <w:tcW w:w="8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25,000</w:t>
            </w:r>
          </w:p>
        </w:tc>
        <w:tc>
          <w:tcPr>
            <w:tcW w:w="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rPr>
              <w:t>Matthew J. Petrizzo</w:t>
            </w:r>
          </w:p>
        </w:tc>
        <w:tc>
          <w:tcPr>
            <w:tcW w:w="880" w:type="dxa"/>
            <w:vAlign w:val="bottom"/>
          </w:tcPr>
          <w:p>
            <w:pPr>
              <w:jc w:val="right"/>
              <w:ind w:right="72"/>
              <w:spacing w:after="0" w:line="138" w:lineRule="exact"/>
              <w:rPr>
                <w:sz w:val="20"/>
                <w:szCs w:val="20"/>
                <w:color w:val="auto"/>
              </w:rPr>
            </w:pPr>
            <w:r>
              <w:rPr>
                <w:rFonts w:ascii="Arial" w:cs="Arial" w:eastAsia="Arial" w:hAnsi="Arial"/>
                <w:sz w:val="14"/>
                <w:szCs w:val="14"/>
                <w:color w:val="auto"/>
              </w:rPr>
              <w:t>7/29/09</w:t>
            </w:r>
          </w:p>
        </w:tc>
        <w:tc>
          <w:tcPr>
            <w:tcW w:w="720" w:type="dxa"/>
            <w:vAlign w:val="bottom"/>
          </w:tcPr>
          <w:p>
            <w:pPr>
              <w:spacing w:after="0"/>
              <w:rPr>
                <w:sz w:val="11"/>
                <w:szCs w:val="11"/>
                <w:color w:val="auto"/>
              </w:rPr>
            </w:pPr>
          </w:p>
        </w:tc>
        <w:tc>
          <w:tcPr>
            <w:tcW w:w="900" w:type="dxa"/>
            <w:vAlign w:val="bottom"/>
          </w:tcPr>
          <w:p>
            <w:pPr>
              <w:jc w:val="right"/>
              <w:ind w:right="72"/>
              <w:spacing w:after="0" w:line="138" w:lineRule="exact"/>
              <w:rPr>
                <w:sz w:val="20"/>
                <w:szCs w:val="20"/>
                <w:color w:val="auto"/>
              </w:rPr>
            </w:pPr>
            <w:r>
              <w:rPr>
                <w:rFonts w:ascii="Arial" w:cs="Arial" w:eastAsia="Arial" w:hAnsi="Arial"/>
                <w:sz w:val="14"/>
                <w:szCs w:val="14"/>
                <w:color w:val="auto"/>
              </w:rPr>
              <w:t>71,771</w:t>
            </w:r>
          </w:p>
        </w:tc>
        <w:tc>
          <w:tcPr>
            <w:tcW w:w="72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143,542</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215,313</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8/14/09</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8/14/09</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5,000</w:t>
            </w: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10/23/09</w:t>
            </w:r>
          </w:p>
        </w:tc>
        <w:tc>
          <w:tcPr>
            <w:tcW w:w="7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10/23/09</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13,500</w:t>
            </w:r>
          </w:p>
        </w:tc>
        <w:tc>
          <w:tcPr>
            <w:tcW w:w="6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18,000</w:t>
            </w:r>
          </w:p>
        </w:tc>
        <w:tc>
          <w:tcPr>
            <w:tcW w:w="8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22,500</w:t>
            </w:r>
          </w:p>
        </w:tc>
        <w:tc>
          <w:tcPr>
            <w:tcW w:w="78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196,200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7/29/09</w:t>
            </w:r>
          </w:p>
        </w:tc>
        <w:tc>
          <w:tcPr>
            <w:tcW w:w="7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8/14/09</w:t>
            </w: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82,144</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164,288</w:t>
            </w:r>
          </w:p>
        </w:tc>
        <w:tc>
          <w:tcPr>
            <w:tcW w:w="84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246,431</w:t>
            </w:r>
          </w:p>
        </w:tc>
        <w:tc>
          <w:tcPr>
            <w:tcW w:w="9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5,000</w:t>
            </w:r>
          </w:p>
        </w:tc>
        <w:tc>
          <w:tcPr>
            <w:tcW w:w="82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8/14/09</w:t>
            </w: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20" w:type="dxa"/>
            <w:vAlign w:val="bottom"/>
            <w:tcBorders>
              <w:right w:val="single" w:sz="8" w:color="CCEEFF"/>
            </w:tcBorders>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10/23/09</w:t>
            </w:r>
          </w:p>
        </w:tc>
        <w:tc>
          <w:tcPr>
            <w:tcW w:w="7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10/23/09</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12,000</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16,000</w:t>
            </w:r>
          </w:p>
        </w:tc>
        <w:tc>
          <w:tcPr>
            <w:tcW w:w="82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20,000</w:t>
            </w:r>
          </w:p>
        </w:tc>
        <w:tc>
          <w:tcPr>
            <w:tcW w:w="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174,400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rPr>
              <w:t>Judy S. Eliot</w:t>
            </w:r>
          </w:p>
        </w:tc>
        <w:tc>
          <w:tcPr>
            <w:tcW w:w="880" w:type="dxa"/>
            <w:vAlign w:val="bottom"/>
          </w:tcPr>
          <w:p>
            <w:pPr>
              <w:jc w:val="right"/>
              <w:ind w:right="72"/>
              <w:spacing w:after="0" w:line="138" w:lineRule="exact"/>
              <w:rPr>
                <w:sz w:val="20"/>
                <w:szCs w:val="20"/>
                <w:color w:val="auto"/>
              </w:rPr>
            </w:pPr>
            <w:r>
              <w:rPr>
                <w:rFonts w:ascii="Arial" w:cs="Arial" w:eastAsia="Arial" w:hAnsi="Arial"/>
                <w:sz w:val="14"/>
                <w:szCs w:val="14"/>
                <w:color w:val="auto"/>
              </w:rPr>
              <w:t>9/14/09</w:t>
            </w:r>
          </w:p>
        </w:tc>
        <w:tc>
          <w:tcPr>
            <w:tcW w:w="7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9/14/09</w:t>
            </w:r>
          </w:p>
        </w:tc>
        <w:tc>
          <w:tcPr>
            <w:tcW w:w="900" w:type="dxa"/>
            <w:vAlign w:val="bottom"/>
          </w:tcPr>
          <w:p>
            <w:pPr>
              <w:jc w:val="right"/>
              <w:ind w:right="72"/>
              <w:spacing w:after="0" w:line="138" w:lineRule="exact"/>
              <w:rPr>
                <w:sz w:val="20"/>
                <w:szCs w:val="20"/>
                <w:color w:val="auto"/>
              </w:rPr>
            </w:pPr>
            <w:r>
              <w:rPr>
                <w:rFonts w:ascii="Arial" w:cs="Arial" w:eastAsia="Arial" w:hAnsi="Arial"/>
                <w:sz w:val="14"/>
                <w:szCs w:val="14"/>
                <w:color w:val="auto"/>
              </w:rPr>
              <w:t>44,692</w:t>
            </w:r>
          </w:p>
        </w:tc>
        <w:tc>
          <w:tcPr>
            <w:tcW w:w="720" w:type="dxa"/>
            <w:vAlign w:val="bottom"/>
          </w:tcPr>
          <w:p>
            <w:pPr>
              <w:jc w:val="right"/>
              <w:ind w:right="52"/>
              <w:spacing w:after="0" w:line="138" w:lineRule="exact"/>
              <w:rPr>
                <w:sz w:val="20"/>
                <w:szCs w:val="20"/>
                <w:color w:val="auto"/>
              </w:rPr>
            </w:pPr>
            <w:r>
              <w:rPr>
                <w:rFonts w:ascii="Arial" w:cs="Arial" w:eastAsia="Arial" w:hAnsi="Arial"/>
                <w:sz w:val="14"/>
                <w:szCs w:val="14"/>
                <w:color w:val="auto"/>
              </w:rPr>
              <w:t>89,384</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134,075</w:t>
            </w:r>
          </w:p>
        </w:tc>
        <w:tc>
          <w:tcPr>
            <w:tcW w:w="9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38" w:lineRule="exact"/>
              <w:rPr>
                <w:sz w:val="20"/>
                <w:szCs w:val="20"/>
                <w:color w:val="auto"/>
              </w:rPr>
            </w:pPr>
            <w:r>
              <w:rPr>
                <w:rFonts w:ascii="Arial" w:cs="Arial" w:eastAsia="Arial" w:hAnsi="Arial"/>
                <w:sz w:val="14"/>
                <w:szCs w:val="14"/>
                <w:color w:val="auto"/>
              </w:rPr>
              <w:t>13,525</w:t>
            </w:r>
          </w:p>
        </w:tc>
        <w:tc>
          <w:tcPr>
            <w:tcW w:w="820" w:type="dxa"/>
            <w:vAlign w:val="bottom"/>
          </w:tcPr>
          <w:p>
            <w:pPr>
              <w:jc w:val="right"/>
              <w:ind w:right="72"/>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144,718(4)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10/23/09</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10/23/09</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6,750</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9,000</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11,250</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107,550(4)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40" w:hanging="332"/>
        <w:spacing w:after="0" w:line="278"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amounts shown are the targeted cash incentive compensation award potential for each Named Executive Officer under our annual/short-term incentive compensation plan described in the Compensation Discussion and Analysis. With the exception of Ms. Eliot, the amounts are based on the Named Executive Officers’ applicable payout percentage and the sum of their annual salary plus their salary of for the June Transition Period. As Ms. Eliot was hired subsequent to the June Transition Period, the amounts shown are based on her annual compensation and the applicable payout percentage. Actual payouts earned by the Named Executive Officers for the applicable fiscal year are reported in the Summary Compensation Table as “Non-equity incentive plan compensation”.</w:t>
      </w:r>
    </w:p>
    <w:p>
      <w:pPr>
        <w:spacing w:after="0" w:line="22" w:lineRule="exact"/>
        <w:rPr>
          <w:rFonts w:ascii="Arial" w:cs="Arial" w:eastAsia="Arial" w:hAnsi="Arial"/>
          <w:sz w:val="12"/>
          <w:szCs w:val="12"/>
          <w:color w:val="auto"/>
        </w:rPr>
      </w:pPr>
    </w:p>
    <w:p>
      <w:pPr>
        <w:ind w:left="340" w:right="100" w:hanging="332"/>
        <w:spacing w:after="0" w:line="288"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shown are the number of shares of restricted stock unit awards granted to the Named Executive Officers in fiscal 2009. Of the awards granted, 50% are time-based with 20% vesting on each anniversary date beginning one year after the grant date, 25% are performance-based with Threshold, Target and Maximum level awards based on our cumulative EPS for a three-year period beginning in fiscal 2010, and 25% are market-based with Threshold, Target and Maximum award levels based on the Company’s three-year total shareholder return relative to a group of peer companies as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40" w:right="20"/>
        <w:spacing w:after="0" w:line="239" w:lineRule="auto"/>
        <w:rPr>
          <w:sz w:val="20"/>
          <w:szCs w:val="20"/>
          <w:color w:val="auto"/>
        </w:rPr>
      </w:pPr>
      <w:r>
        <w:rPr>
          <w:rFonts w:ascii="Arial" w:cs="Arial" w:eastAsia="Arial" w:hAnsi="Arial"/>
          <w:sz w:val="14"/>
          <w:szCs w:val="14"/>
          <w:color w:val="auto"/>
        </w:rPr>
        <w:t>defined by the Compensation Committee of the Company’s Board of Directors. Phantom shares will be used for any awards earned in excess of the Target award and will be settled in cash. Shares awarded for performance or total shareholder return between the established levels will be calculated on a pro-rata basis.</w:t>
      </w:r>
    </w:p>
    <w:p>
      <w:pPr>
        <w:spacing w:after="0" w:line="4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shown are calculated based upon the Maximum number of restricted stock units awarded multiplied by the closing stock price on the date of grant.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 Eliot’s RSU awards were forfeited upon her termination of service during fiscal 2010.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June 30,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Option Awards (1)</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Market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80" w:type="dxa"/>
            <w:vAlign w:val="bottom"/>
          </w:tcPr>
          <w:p>
            <w:pPr>
              <w:spacing w:after="0"/>
              <w:rPr>
                <w:sz w:val="4"/>
                <w:szCs w:val="4"/>
                <w:color w:val="auto"/>
              </w:rPr>
            </w:pPr>
          </w:p>
        </w:tc>
        <w:tc>
          <w:tcPr>
            <w:tcW w:w="6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5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6"/>
                <w:szCs w:val="6"/>
                <w:color w:val="auto"/>
              </w:rPr>
            </w:pP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of</w:t>
            </w: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Number of</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Units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Shares,</w:t>
            </w:r>
          </w:p>
        </w:tc>
        <w:tc>
          <w:tcPr>
            <w:tcW w:w="2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that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Options (#)</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have</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have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 have</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2"/>
            <w:vMerge w:val="restart"/>
          </w:tcPr>
          <w:p>
            <w:pPr>
              <w:jc w:val="center"/>
              <w:ind w:right="280"/>
              <w:spacing w:after="0" w:line="123"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vMerge w:val="restart"/>
          </w:tcPr>
          <w:p>
            <w:pPr>
              <w:jc w:val="center"/>
              <w:ind w:right="260"/>
              <w:spacing w:after="0" w:line="123" w:lineRule="exact"/>
              <w:rPr>
                <w:sz w:val="20"/>
                <w:szCs w:val="20"/>
                <w:color w:val="auto"/>
              </w:rPr>
            </w:pPr>
            <w:r>
              <w:rPr>
                <w:rFonts w:ascii="Arial" w:cs="Arial" w:eastAsia="Arial" w:hAnsi="Arial"/>
                <w:sz w:val="14"/>
                <w:szCs w:val="14"/>
                <w:b w:val="1"/>
                <w:bCs w:val="1"/>
                <w:color w:val="auto"/>
                <w:w w:val="93"/>
              </w:rPr>
              <w:t>Option</w:t>
            </w:r>
          </w:p>
        </w:tc>
        <w:tc>
          <w:tcPr>
            <w:tcW w:w="50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2"/>
              </w:rPr>
              <w:t>not</w:t>
            </w:r>
          </w:p>
        </w:tc>
        <w:tc>
          <w:tcPr>
            <w:tcW w:w="260" w:type="dxa"/>
            <w:vAlign w:val="bottom"/>
            <w:vMerge w:val="restart"/>
          </w:tcPr>
          <w:p>
            <w:pPr>
              <w:spacing w:after="0"/>
              <w:rPr>
                <w:sz w:val="2"/>
                <w:szCs w:val="2"/>
                <w:color w:val="auto"/>
              </w:rPr>
            </w:pPr>
          </w:p>
        </w:tc>
        <w:tc>
          <w:tcPr>
            <w:tcW w:w="760" w:type="dxa"/>
            <w:vAlign w:val="bottom"/>
            <w:gridSpan w:val="2"/>
            <w:vMerge w:val="restart"/>
          </w:tcPr>
          <w:p>
            <w:pPr>
              <w:jc w:val="center"/>
              <w:ind w:right="260"/>
              <w:spacing w:after="0" w:line="123" w:lineRule="exact"/>
              <w:rPr>
                <w:sz w:val="20"/>
                <w:szCs w:val="20"/>
                <w:color w:val="auto"/>
              </w:rPr>
            </w:pPr>
            <w:r>
              <w:rPr>
                <w:rFonts w:ascii="Arial" w:cs="Arial" w:eastAsia="Arial" w:hAnsi="Arial"/>
                <w:sz w:val="14"/>
                <w:szCs w:val="14"/>
                <w:b w:val="1"/>
                <w:bCs w:val="1"/>
                <w:color w:val="auto"/>
                <w:w w:val="82"/>
              </w:rPr>
              <w:t>not</w:t>
            </w:r>
          </w:p>
        </w:tc>
        <w:tc>
          <w:tcPr>
            <w:tcW w:w="58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2"/>
              </w:rPr>
              <w:t>not</w:t>
            </w:r>
          </w:p>
        </w:tc>
        <w:tc>
          <w:tcPr>
            <w:tcW w:w="280" w:type="dxa"/>
            <w:vAlign w:val="bottom"/>
            <w:vMerge w:val="restart"/>
          </w:tcPr>
          <w:p>
            <w:pPr>
              <w:spacing w:after="0"/>
              <w:rPr>
                <w:sz w:val="2"/>
                <w:szCs w:val="2"/>
                <w:color w:val="auto"/>
              </w:rPr>
            </w:pPr>
          </w:p>
        </w:tc>
        <w:tc>
          <w:tcPr>
            <w:tcW w:w="640" w:type="dxa"/>
            <w:vAlign w:val="bottom"/>
            <w:gridSpan w:val="2"/>
            <w:vMerge w:val="restart"/>
          </w:tcPr>
          <w:p>
            <w:pPr>
              <w:jc w:val="center"/>
              <w:ind w:right="80"/>
              <w:spacing w:after="0" w:line="123"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Exercisable</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Unexercisable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340" w:type="dxa"/>
            <w:vAlign w:val="bottom"/>
            <w:tcBorders>
              <w:top w:val="single" w:sz="8" w:color="auto"/>
            </w:tcBorders>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74,660</w:t>
            </w:r>
          </w:p>
        </w:tc>
        <w:tc>
          <w:tcPr>
            <w:tcW w:w="2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695,085</w:t>
            </w: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121,000</w:t>
            </w: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1,126,510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20" w:type="dxa"/>
            <w:vAlign w:val="bottom"/>
            <w:gridSpan w:val="4"/>
          </w:tcPr>
          <w:p>
            <w:pPr>
              <w:spacing w:after="0"/>
              <w:rPr>
                <w:sz w:val="20"/>
                <w:szCs w:val="20"/>
                <w:color w:val="auto"/>
              </w:rPr>
            </w:pPr>
            <w:r>
              <w:rPr>
                <w:rFonts w:ascii="Arial" w:cs="Arial" w:eastAsia="Arial" w:hAnsi="Arial"/>
                <w:sz w:val="14"/>
                <w:szCs w:val="14"/>
                <w:color w:val="auto"/>
              </w:rPr>
              <w:t>Joseph F. Montalbano</w:t>
            </w:r>
          </w:p>
        </w:tc>
        <w:tc>
          <w:tcPr>
            <w:tcW w:w="2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30,440</w:t>
            </w: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rPr>
              <w:t>283,396</w:t>
            </w:r>
          </w:p>
        </w:tc>
        <w:tc>
          <w:tcPr>
            <w:tcW w:w="580" w:type="dxa"/>
            <w:vAlign w:val="bottom"/>
          </w:tcPr>
          <w:p>
            <w:pPr>
              <w:jc w:val="right"/>
              <w:spacing w:after="0"/>
              <w:rPr>
                <w:sz w:val="20"/>
                <w:szCs w:val="20"/>
                <w:color w:val="auto"/>
              </w:rPr>
            </w:pPr>
            <w:r>
              <w:rPr>
                <w:rFonts w:ascii="Arial" w:cs="Arial" w:eastAsia="Arial" w:hAnsi="Arial"/>
                <w:sz w:val="14"/>
                <w:szCs w:val="14"/>
                <w:color w:val="auto"/>
              </w:rPr>
              <w:t>12,000</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111,720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32,314</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300,843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282,093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20" w:type="dxa"/>
            <w:vAlign w:val="bottom"/>
            <w:gridSpan w:val="4"/>
          </w:tcPr>
          <w:p>
            <w:pPr>
              <w:spacing w:after="0"/>
              <w:rPr>
                <w:sz w:val="20"/>
                <w:szCs w:val="20"/>
                <w:color w:val="auto"/>
              </w:rPr>
            </w:pPr>
            <w:r>
              <w:rPr>
                <w:rFonts w:ascii="Arial" w:cs="Arial" w:eastAsia="Arial" w:hAnsi="Arial"/>
                <w:sz w:val="14"/>
                <w:szCs w:val="14"/>
                <w:color w:val="auto"/>
              </w:rPr>
              <w:t>Matthew J. Petrizzo</w:t>
            </w:r>
          </w:p>
        </w:tc>
        <w:tc>
          <w:tcPr>
            <w:tcW w:w="2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18,950</w:t>
            </w: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rPr>
              <w:t>176,425</w:t>
            </w:r>
          </w:p>
        </w:tc>
        <w:tc>
          <w:tcPr>
            <w:tcW w:w="580" w:type="dxa"/>
            <w:vAlign w:val="bottom"/>
          </w:tcPr>
          <w:p>
            <w:pPr>
              <w:jc w:val="right"/>
              <w:spacing w:after="0"/>
              <w:rPr>
                <w:sz w:val="20"/>
                <w:szCs w:val="20"/>
                <w:color w:val="auto"/>
              </w:rPr>
            </w:pPr>
            <w:r>
              <w:rPr>
                <w:rFonts w:ascii="Arial" w:cs="Arial" w:eastAsia="Arial" w:hAnsi="Arial"/>
                <w:sz w:val="14"/>
                <w:szCs w:val="14"/>
                <w:color w:val="auto"/>
              </w:rPr>
              <w:t>34,450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320,730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2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10/21/2013</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24,700</w:t>
            </w:r>
          </w:p>
        </w:tc>
        <w:tc>
          <w:tcPr>
            <w:tcW w:w="12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4.60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10/26/2014</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12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1,500(2)</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8.93</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10/21/2015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13,660</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127,175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options were granted with 10 year terms.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options were granted on October 21, 2005 and vested on October 21,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Equity 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4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 Shares or</w:t>
            </w:r>
          </w:p>
        </w:tc>
        <w:tc>
          <w:tcPr>
            <w:tcW w:w="23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Awards: Number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4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Units of Stock that have not</w:t>
            </w:r>
          </w:p>
        </w:tc>
        <w:tc>
          <w:tcPr>
            <w:tcW w:w="23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Units or Other Rights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left="52"/>
              <w:spacing w:after="0"/>
              <w:rPr>
                <w:sz w:val="20"/>
                <w:szCs w:val="20"/>
                <w:color w:val="auto"/>
              </w:rPr>
            </w:pPr>
            <w:r>
              <w:rPr>
                <w:rFonts w:ascii="Arial" w:cs="Arial" w:eastAsia="Arial" w:hAnsi="Arial"/>
                <w:sz w:val="14"/>
                <w:szCs w:val="14"/>
                <w:b w:val="1"/>
                <w:bCs w:val="1"/>
                <w:color w:val="auto"/>
                <w:w w:val="82"/>
              </w:rPr>
              <w:t>Vested</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that have not Vested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Name</w:t>
            </w:r>
          </w:p>
        </w:tc>
        <w:tc>
          <w:tcPr>
            <w:tcW w:w="5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Vest Date</w:t>
            </w:r>
          </w:p>
        </w:tc>
        <w:tc>
          <w:tcPr>
            <w:tcW w:w="58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12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5,000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10/23/2010</w:t>
            </w:r>
          </w:p>
        </w:tc>
        <w:tc>
          <w:tcPr>
            <w:tcW w:w="1400" w:type="dxa"/>
            <w:vAlign w:val="bottom"/>
            <w:gridSpan w:val="2"/>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35,000(1)</w:t>
            </w: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10/22/2010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19,830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11/06/2010</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61,000(2)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10/21,2011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10/23/2011</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25,000(3)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19,830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11/06/2011</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08/14/2012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10/23/2013</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10/23/2014</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820" w:type="dxa"/>
            <w:vAlign w:val="bottom"/>
            <w:gridSpan w:val="4"/>
          </w:tcPr>
          <w:p>
            <w:pPr>
              <w:spacing w:after="0"/>
              <w:rPr>
                <w:sz w:val="20"/>
                <w:szCs w:val="20"/>
                <w:color w:val="auto"/>
              </w:rPr>
            </w:pPr>
            <w:r>
              <w:rPr>
                <w:rFonts w:ascii="Arial" w:cs="Arial" w:eastAsia="Arial" w:hAnsi="Arial"/>
                <w:sz w:val="14"/>
                <w:szCs w:val="14"/>
                <w:color w:val="auto"/>
              </w:rPr>
              <w:t>Joseph F. Montalbano</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2,400</w:t>
            </w:r>
          </w:p>
        </w:tc>
        <w:tc>
          <w:tcPr>
            <w:tcW w:w="50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10/23/2010</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12,000(3)</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4,147</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05/19/2011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4,147</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05/19/2012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08/14/2012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4,146</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05/19/2013</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10/23/2013</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2,400</w:t>
            </w:r>
          </w:p>
        </w:tc>
        <w:tc>
          <w:tcPr>
            <w:tcW w:w="50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10/23/2014</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280" w:type="dxa"/>
            <w:vAlign w:val="bottom"/>
            <w:gridSpan w:val="3"/>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2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10/23/2010</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20,300(2)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5,438</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04/30/2011</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10/23/2011</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04/30/2012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08/14/2012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04/30/2013</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10/23/2013</w:t>
            </w: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10/23/2014</w:t>
            </w: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820" w:type="dxa"/>
            <w:vAlign w:val="bottom"/>
            <w:gridSpan w:val="4"/>
          </w:tcPr>
          <w:p>
            <w:pPr>
              <w:spacing w:after="0"/>
              <w:rPr>
                <w:sz w:val="20"/>
                <w:szCs w:val="20"/>
                <w:color w:val="auto"/>
              </w:rPr>
            </w:pPr>
            <w:r>
              <w:rPr>
                <w:rFonts w:ascii="Arial" w:cs="Arial" w:eastAsia="Arial" w:hAnsi="Arial"/>
                <w:sz w:val="14"/>
                <w:szCs w:val="14"/>
                <w:color w:val="auto"/>
              </w:rPr>
              <w:t>Matthew J. Petrizzo</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1,800</w:t>
            </w:r>
          </w:p>
        </w:tc>
        <w:tc>
          <w:tcPr>
            <w:tcW w:w="50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10/23/2010</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8,250(1)</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11/12/2010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1,650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11/12/2010</w:t>
            </w: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17,200(2)</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10/23/2011</w:t>
            </w: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9,000(3)</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1,650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11/12/2011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08/14/2012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1,650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11/12/2012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500" w:type="dxa"/>
            <w:vAlign w:val="bottom"/>
          </w:tcPr>
          <w:p>
            <w:pPr>
              <w:spacing w:after="0"/>
              <w:rPr>
                <w:sz w:val="12"/>
                <w:szCs w:val="12"/>
                <w:color w:val="auto"/>
              </w:rPr>
            </w:pP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10/23/2013</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1,800</w:t>
            </w:r>
          </w:p>
        </w:tc>
        <w:tc>
          <w:tcPr>
            <w:tcW w:w="50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10/23/2014</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280" w:type="dxa"/>
            <w:vAlign w:val="bottom"/>
            <w:gridSpan w:val="3"/>
          </w:tcPr>
          <w:p>
            <w:pPr>
              <w:spacing w:after="0"/>
              <w:rPr>
                <w:sz w:val="8"/>
                <w:szCs w:val="8"/>
                <w:color w:val="auto"/>
              </w:rPr>
            </w:pPr>
          </w:p>
        </w:tc>
        <w:tc>
          <w:tcPr>
            <w:tcW w:w="50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2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10/23/2010</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10,800(1)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10/23/2011</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18,800(2)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08/14/2012</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10/23/2012</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10/23/2013</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10/24/2014</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160" w:hanging="332"/>
        <w:spacing w:after="0" w:line="27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These awards were granted in fiscal 2008. The Named Executive Officers will receive 50% of the award after three years if our cumulative fully-diluted EPS for the three-year period beginning in fiscal 2008 meets the established Minimum level of $3.15, 75% after three years if the cumulative fully-diluted EPS meets the established Target level of $3.22, 100% after three years if the cumulative fully-diluted EPS meets the established Maximum level of $3.30, and 150% after three years if the cumulative fully-diluted EPS meets the established Above Maximum level of $3.62. Phantom shares will be granted for awards earned above 100%. Shares awarded for performance that falls between the established levels will be calculated on a pro-rata basis.</w:t>
      </w:r>
    </w:p>
    <w:p>
      <w:pPr>
        <w:spacing w:after="0" w:line="22" w:lineRule="exact"/>
        <w:rPr>
          <w:rFonts w:ascii="Arial" w:cs="Arial" w:eastAsia="Arial" w:hAnsi="Arial"/>
          <w:sz w:val="12"/>
          <w:szCs w:val="12"/>
          <w:color w:val="auto"/>
        </w:rPr>
      </w:pPr>
    </w:p>
    <w:p>
      <w:pPr>
        <w:ind w:left="340" w:right="120" w:hanging="332"/>
        <w:spacing w:after="0" w:line="230"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were granted in fiscal 2009. The Named Executive Officers will receive 50% of the award after three years if our cumulative fully-diluted EPS for the three-year period beginning in fiscal 2009 meets the established Threshold level of $4.78, 100% after three years if the cumulative fully- diluted EPS meets the established Target level of 5.14, and 150% after three years if the cumulative fully-diluted EPS meets the established Maximum level of $5.64. Phantom shares will be granted for awards earned above 100%. Shares awarded for performance that falls between the established levels will be calculated on a pro-rata basis.</w:t>
      </w:r>
    </w:p>
    <w:p>
      <w:pPr>
        <w:spacing w:after="0" w:line="44" w:lineRule="exact"/>
        <w:rPr>
          <w:rFonts w:ascii="Arial" w:cs="Arial" w:eastAsia="Arial" w:hAnsi="Arial"/>
          <w:sz w:val="14"/>
          <w:szCs w:val="14"/>
          <w:color w:val="auto"/>
        </w:rPr>
      </w:pPr>
    </w:p>
    <w:p>
      <w:pPr>
        <w:ind w:left="340" w:right="80" w:hanging="332"/>
        <w:spacing w:after="0" w:line="27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These awards were granted in fiscal 2010. Fifty percent of the award was a performance based award. Under the performance based award, the Named Executive Officers will receive 50% of the award after three years if our cumulative fully-diluted EPS for the three-year period beginning in fiscal 2010 meets the established Threshold level of $2.75, 100% after three years if the cumulative fully-diluted EPS meets the established Target level of 3.30, and 150% after three years if the cumulative fully-diluted EPS meets the established Maximum level of $3.62. Phantom shares will be granted for awards earned above 100%. Shares awarded for performance that falls between the established levels will be calculated on a pro-rata basis.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40"/>
        <w:spacing w:after="0" w:line="189" w:lineRule="auto"/>
        <w:rPr>
          <w:sz w:val="20"/>
          <w:szCs w:val="20"/>
          <w:color w:val="auto"/>
        </w:rPr>
      </w:pPr>
      <w:r>
        <w:rPr>
          <w:rFonts w:ascii="Arial" w:cs="Arial" w:eastAsia="Arial" w:hAnsi="Arial"/>
          <w:sz w:val="13"/>
          <w:szCs w:val="13"/>
          <w:color w:val="auto"/>
        </w:rPr>
        <w:t>The remaining fifty percent of the award was a market based award. Under the market based award, the Named Executive Officers receive 50% of the award if, on the third anniversary of the grant, the Company’s Total Shareholder Return (“TSR”) is between the 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when compared to the TSR of a group of peer companies, 100% of the award if the Company’s TSR is between the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and 150% if the Company’s TSR exceeds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Phantom shares will be granted for awards earned above 100%. Shares awarded for performance that falls between the established levels will be calculated on a pro-rata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2010 and June Transition Period</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1152"/>
              <w:spacing w:after="0"/>
              <w:rPr>
                <w:sz w:val="20"/>
                <w:szCs w:val="20"/>
                <w:color w:val="auto"/>
              </w:rPr>
            </w:pPr>
            <w:r>
              <w:rPr>
                <w:rFonts w:ascii="Arial" w:cs="Arial" w:eastAsia="Arial" w:hAnsi="Arial"/>
                <w:sz w:val="14"/>
                <w:szCs w:val="14"/>
                <w:b w:val="1"/>
                <w:bCs w:val="1"/>
                <w:color w:val="auto"/>
                <w:w w:val="93"/>
              </w:rPr>
              <w:t>Fiscal 2010</w:t>
            </w: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tcBorders>
              <w:bottom w:val="single" w:sz="8" w:color="auto"/>
            </w:tcBorders>
            <w:gridSpan w:val="3"/>
          </w:tcPr>
          <w:p>
            <w:pPr>
              <w:ind w:left="1080"/>
              <w:spacing w:after="0" w:line="142" w:lineRule="exact"/>
              <w:rPr>
                <w:sz w:val="20"/>
                <w:szCs w:val="20"/>
                <w:color w:val="auto"/>
              </w:rPr>
            </w:pPr>
            <w:r>
              <w:rPr>
                <w:rFonts w:ascii="Arial" w:cs="Arial" w:eastAsia="Arial" w:hAnsi="Arial"/>
                <w:sz w:val="14"/>
                <w:szCs w:val="14"/>
                <w:b w:val="1"/>
                <w:bCs w:val="1"/>
                <w:color w:val="auto"/>
                <w:w w:val="86"/>
              </w:rPr>
              <w:t>Option Awards</w:t>
            </w:r>
          </w:p>
        </w:tc>
        <w:tc>
          <w:tcPr>
            <w:tcW w:w="108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1052"/>
              <w:spacing w:after="0" w:line="142" w:lineRule="exact"/>
              <w:rPr>
                <w:sz w:val="20"/>
                <w:szCs w:val="20"/>
                <w:color w:val="auto"/>
              </w:rPr>
            </w:pPr>
            <w:r>
              <w:rPr>
                <w:rFonts w:ascii="Arial" w:cs="Arial" w:eastAsia="Arial" w:hAnsi="Arial"/>
                <w:sz w:val="14"/>
                <w:szCs w:val="14"/>
                <w:b w:val="1"/>
                <w:bCs w:val="1"/>
                <w:color w:val="auto"/>
                <w:w w:val="84"/>
              </w:rPr>
              <w:t>Stock Awards</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6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8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8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Vesting</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3"/>
              </w:rPr>
              <w:t>Name</w:t>
            </w:r>
          </w:p>
        </w:tc>
        <w:tc>
          <w:tcPr>
            <w:tcW w:w="37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Exercise (#)</w:t>
            </w:r>
          </w:p>
        </w:tc>
        <w:tc>
          <w:tcPr>
            <w:tcW w:w="8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 (1)</w:t>
            </w:r>
          </w:p>
        </w:tc>
        <w:tc>
          <w:tcPr>
            <w:tcW w:w="8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Vesting (#)</w:t>
            </w:r>
          </w:p>
        </w:tc>
        <w:tc>
          <w:tcPr>
            <w:tcW w:w="8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 (2)</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Bradley</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64,230</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608,900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Joseph F. Montalbano</w:t>
            </w:r>
          </w:p>
        </w:tc>
        <w:tc>
          <w:tcPr>
            <w:tcW w:w="196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44,871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5,437</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57,795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Matthew J. Petrizzo</w:t>
            </w:r>
          </w:p>
        </w:tc>
        <w:tc>
          <w:tcPr>
            <w:tcW w:w="196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960" w:type="dxa"/>
            <w:vAlign w:val="bottom"/>
            <w:gridSpan w:val="3"/>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18,929</w:t>
            </w:r>
          </w:p>
        </w:tc>
        <w:tc>
          <w:tcPr>
            <w:tcW w:w="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440" w:type="dxa"/>
            <w:vAlign w:val="bottom"/>
            <w:gridSpan w:val="3"/>
          </w:tcPr>
          <w:p>
            <w:pPr>
              <w:spacing w:after="0"/>
              <w:rPr>
                <w:sz w:val="20"/>
                <w:szCs w:val="20"/>
                <w:color w:val="auto"/>
              </w:rPr>
            </w:pPr>
            <w:r>
              <w:rPr>
                <w:rFonts w:ascii="Arial" w:cs="Arial" w:eastAsia="Arial" w:hAnsi="Arial"/>
                <w:sz w:val="14"/>
                <w:szCs w:val="14"/>
                <w:color w:val="auto"/>
              </w:rPr>
              <w:t>Judy S. Eliot</w:t>
            </w:r>
          </w:p>
        </w:tc>
        <w:tc>
          <w:tcPr>
            <w:tcW w:w="196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ind w:left="340" w:right="46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For the Named Executive Officers, there were no exercises of stock options or vesting of stock awards in the June Transition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entered into Change of Control/Severance Agreements with Mr. Bradley, Mr. Long, Mr. Montalbano, Mr. Petrizzo and Mr. Ryan.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90" w:lineRule="exact"/>
        <w:rPr>
          <w:sz w:val="20"/>
          <w:szCs w:val="20"/>
          <w:color w:val="auto"/>
        </w:rPr>
      </w:pPr>
    </w:p>
    <w:p>
      <w:pPr>
        <w:ind w:left="900" w:right="3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Mr. Bradley, Mr. Long and Mr. Montalbano – Paid an amount equal to two year’s annual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59"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Mr. Ryan and Mr. Petrizzo – Paid an amount equal to one year’s annual salary plus the average annual bonus compensation paid to the executive in the previous three calendar years. All forms of equity benefits vest and restrictions on such benefits lapse immediately.</w:t>
      </w:r>
    </w:p>
    <w:p>
      <w:pPr>
        <w:spacing w:after="0" w:line="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Mr. Bradley – Paid an amount equal to one year’s annual salary plus bonus compensation in an amount equal to 60% of base salary. Restrictions on any of Mr. Bradley’s outstanding awards from his initial $1.25 million RSU grant will lapse immediately.</w:t>
      </w:r>
    </w:p>
    <w:p>
      <w:pPr>
        <w:spacing w:after="0" w:line="51"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Mr. Montalbano – Paid an amount equal to one year’s annual salary plus the average annual bonus compensation paid to the executive in the previous three fiscal years.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Long – Paid an amount equal to one year’s annual salary plus bonus compensation in an amount equal to 50% of base salary.</w:t>
      </w:r>
    </w:p>
    <w:p>
      <w:pPr>
        <w:spacing w:after="0" w:line="90"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Mr. Ryan and Mr. Petrizzo – Paid an amount equal to one year’s annual salary plus the average annual bonus compensation paid to the executive in the previous three calendar years.</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We seek to offer some security and protection when asking officers and managers to remain engaged through uncertain times. The Change of Control Agreements are provided to our other executive officers not named above and select management personnel.</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year’s annual base salary. In addition, all equity awards immediately vest and all restrictions on such benefits lapse. All benefits paid under these agreements are conditional upon the executive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is terminated for Cause, all benefits and payments under the agreement are forfeited.</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2010 termination date and, where applicable, using the closing price of our common stock of $9.31 on June 30, 2010. These amounts are estimates only. The actual amounts to be paid out can only be determined at the time of such executive officer’s separation from us.</w:t>
      </w:r>
    </w:p>
    <w:p>
      <w:pPr>
        <w:spacing w:after="0" w:line="143"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5"/>
              </w:rPr>
              <w:t>Change of Control with Adverse Event or</w:t>
            </w:r>
          </w:p>
        </w:tc>
        <w:tc>
          <w:tcPr>
            <w:tcW w:w="296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Termination by the Company at any Time</w:t>
            </w:r>
          </w:p>
        </w:tc>
        <w:tc>
          <w:tcPr>
            <w:tcW w:w="88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Voluntary</w:t>
            </w: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Retirement, Death or</w:t>
            </w:r>
          </w:p>
        </w:tc>
        <w:tc>
          <w:tcPr>
            <w:tcW w:w="740" w:type="dxa"/>
            <w:vAlign w:val="bottom"/>
          </w:tcPr>
          <w:p>
            <w:pPr>
              <w:spacing w:after="0"/>
              <w:rPr>
                <w:sz w:val="14"/>
                <w:szCs w:val="14"/>
                <w:color w:val="auto"/>
              </w:rPr>
            </w:pPr>
          </w:p>
        </w:tc>
      </w:tr>
      <w:tr>
        <w:trPr>
          <w:trHeight w:val="161"/>
        </w:trPr>
        <w:tc>
          <w:tcPr>
            <w:tcW w:w="2440" w:type="dxa"/>
            <w:vAlign w:val="bottom"/>
            <w:tcBorders>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Termination</w:t>
            </w:r>
          </w:p>
        </w:tc>
        <w:tc>
          <w:tcPr>
            <w:tcW w:w="840" w:type="dxa"/>
            <w:vAlign w:val="bottom"/>
            <w:tcBorders>
              <w:bottom w:val="single" w:sz="8" w:color="auto"/>
              <w:right w:val="single" w:sz="8" w:color="auto"/>
            </w:tcBorders>
          </w:tcPr>
          <w:p>
            <w:pPr>
              <w:spacing w:after="0"/>
              <w:rPr>
                <w:sz w:val="14"/>
                <w:szCs w:val="14"/>
                <w:color w:val="auto"/>
              </w:rPr>
            </w:pPr>
          </w:p>
        </w:tc>
        <w:tc>
          <w:tcPr>
            <w:tcW w:w="296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for Reasons Other than Cause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740" w:type="dxa"/>
            <w:vAlign w:val="bottom"/>
          </w:tcPr>
          <w:p>
            <w:pPr>
              <w:spacing w:after="0"/>
              <w:rPr>
                <w:sz w:val="14"/>
                <w:szCs w:val="14"/>
                <w:color w:val="auto"/>
              </w:rPr>
            </w:pPr>
          </w:p>
        </w:tc>
      </w:tr>
      <w:tr>
        <w:trPr>
          <w:trHeight w:val="129"/>
        </w:trPr>
        <w:tc>
          <w:tcPr>
            <w:tcW w:w="24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9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88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740" w:type="dxa"/>
            <w:vAlign w:val="bottom"/>
          </w:tcPr>
          <w:p>
            <w:pPr>
              <w:spacing w:after="0"/>
              <w:rPr>
                <w:sz w:val="12"/>
                <w:szCs w:val="12"/>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88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740" w:type="dxa"/>
            <w:vAlign w:val="bottom"/>
          </w:tcPr>
          <w:p>
            <w:pPr>
              <w:spacing w:after="0"/>
              <w:rPr>
                <w:sz w:val="12"/>
                <w:szCs w:val="12"/>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88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740" w:type="dxa"/>
            <w:vAlign w:val="bottom"/>
          </w:tcPr>
          <w:p>
            <w:pPr>
              <w:spacing w:after="0"/>
              <w:rPr>
                <w:sz w:val="12"/>
                <w:szCs w:val="12"/>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88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740" w:type="dxa"/>
            <w:vAlign w:val="bottom"/>
          </w:tcPr>
          <w:p>
            <w:pPr>
              <w:spacing w:after="0"/>
              <w:rPr>
                <w:sz w:val="12"/>
                <w:szCs w:val="12"/>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No</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r>
      <w:tr>
        <w:trPr>
          <w:trHeight w:val="149"/>
        </w:trPr>
        <w:tc>
          <w:tcPr>
            <w:tcW w:w="244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1"/>
              </w:rPr>
              <w:t>Severance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would Lapse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would Lapse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Potential</w:t>
            </w:r>
          </w:p>
        </w:tc>
      </w:tr>
      <w:tr>
        <w:trPr>
          <w:trHeight w:val="175"/>
        </w:trPr>
        <w:tc>
          <w:tcPr>
            <w:tcW w:w="24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Payments</w:t>
            </w:r>
          </w:p>
        </w:tc>
      </w:tr>
      <w:tr>
        <w:trPr>
          <w:trHeight w:val="142"/>
        </w:trPr>
        <w:tc>
          <w:tcPr>
            <w:tcW w:w="2440" w:type="dxa"/>
            <w:vAlign w:val="bottom"/>
            <w:tcBorders>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Michael J. Bradley</w:t>
            </w:r>
          </w:p>
        </w:tc>
        <w:tc>
          <w:tcPr>
            <w:tcW w:w="7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9"/>
              </w:rPr>
              <w:t>1,340,000</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235,568</w:t>
            </w:r>
          </w:p>
        </w:tc>
        <w:tc>
          <w:tcPr>
            <w:tcW w:w="6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1,821,595</w:t>
            </w: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670,000</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402,000</w:t>
            </w:r>
          </w:p>
        </w:tc>
        <w:tc>
          <w:tcPr>
            <w:tcW w:w="6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w w:val="94"/>
              </w:rPr>
              <w:t>203,889</w:t>
            </w:r>
          </w:p>
        </w:tc>
        <w:tc>
          <w:tcPr>
            <w:tcW w:w="880" w:type="dxa"/>
            <w:vAlign w:val="bottom"/>
            <w:tcBorders>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1,821,595</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3,397,163</w:t>
            </w:r>
          </w:p>
        </w:tc>
      </w:tr>
      <w:tr>
        <w:trPr>
          <w:trHeight w:val="405"/>
        </w:trPr>
        <w:tc>
          <w:tcPr>
            <w:tcW w:w="24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Joseph F. Montalbano</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700,000</w:t>
            </w:r>
          </w:p>
        </w:tc>
        <w:tc>
          <w:tcPr>
            <w:tcW w:w="720" w:type="dxa"/>
            <w:vAlign w:val="bottom"/>
          </w:tcPr>
          <w:p>
            <w:pPr>
              <w:jc w:val="right"/>
              <w:spacing w:after="0"/>
              <w:rPr>
                <w:sz w:val="20"/>
                <w:szCs w:val="20"/>
                <w:color w:val="auto"/>
              </w:rPr>
            </w:pPr>
            <w:r>
              <w:rPr>
                <w:rFonts w:ascii="Arial" w:cs="Arial" w:eastAsia="Arial" w:hAnsi="Arial"/>
                <w:sz w:val="14"/>
                <w:szCs w:val="14"/>
                <w:color w:val="auto"/>
              </w:rPr>
              <w:t>175,000</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395,116</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350,000</w:t>
            </w:r>
          </w:p>
        </w:tc>
        <w:tc>
          <w:tcPr>
            <w:tcW w:w="720" w:type="dxa"/>
            <w:vAlign w:val="bottom"/>
          </w:tcPr>
          <w:p>
            <w:pPr>
              <w:jc w:val="right"/>
              <w:spacing w:after="0"/>
              <w:rPr>
                <w:sz w:val="20"/>
                <w:szCs w:val="20"/>
                <w:color w:val="auto"/>
              </w:rPr>
            </w:pPr>
            <w:r>
              <w:rPr>
                <w:rFonts w:ascii="Arial" w:cs="Arial" w:eastAsia="Arial" w:hAnsi="Arial"/>
                <w:sz w:val="14"/>
                <w:szCs w:val="14"/>
                <w:color w:val="auto"/>
              </w:rPr>
              <w:t>175,000</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395,116</w:t>
            </w:r>
          </w:p>
        </w:tc>
        <w:tc>
          <w:tcPr>
            <w:tcW w:w="740" w:type="dxa"/>
            <w:vAlign w:val="bottom"/>
          </w:tcPr>
          <w:p>
            <w:pPr>
              <w:jc w:val="right"/>
              <w:spacing w:after="0"/>
              <w:rPr>
                <w:sz w:val="20"/>
                <w:szCs w:val="20"/>
                <w:color w:val="auto"/>
              </w:rPr>
            </w:pPr>
            <w:r>
              <w:rPr>
                <w:rFonts w:ascii="Arial" w:cs="Arial" w:eastAsia="Arial" w:hAnsi="Arial"/>
                <w:sz w:val="14"/>
                <w:szCs w:val="14"/>
                <w:color w:val="auto"/>
              </w:rPr>
              <w:t>1,270,116</w:t>
            </w:r>
          </w:p>
        </w:tc>
      </w:tr>
      <w:tr>
        <w:trPr>
          <w:trHeight w:val="230"/>
        </w:trPr>
        <w:tc>
          <w:tcPr>
            <w:tcW w:w="24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r>
        <w:trPr>
          <w:trHeight w:val="149"/>
        </w:trPr>
        <w:tc>
          <w:tcPr>
            <w:tcW w:w="24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Thomas E. Long</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582,936</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582,936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1,220,436</w:t>
            </w:r>
          </w:p>
        </w:tc>
      </w:tr>
      <w:tr>
        <w:trPr>
          <w:trHeight w:val="405"/>
        </w:trPr>
        <w:tc>
          <w:tcPr>
            <w:tcW w:w="24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Matthew J. Petrizzo</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265,000</w:t>
            </w:r>
          </w:p>
        </w:tc>
        <w:tc>
          <w:tcPr>
            <w:tcW w:w="720" w:type="dxa"/>
            <w:vAlign w:val="bottom"/>
          </w:tcPr>
          <w:p>
            <w:pPr>
              <w:jc w:val="right"/>
              <w:spacing w:after="0"/>
              <w:rPr>
                <w:sz w:val="20"/>
                <w:szCs w:val="20"/>
                <w:color w:val="auto"/>
              </w:rPr>
            </w:pPr>
            <w:r>
              <w:rPr>
                <w:rFonts w:ascii="Arial" w:cs="Arial" w:eastAsia="Arial" w:hAnsi="Arial"/>
                <w:sz w:val="14"/>
                <w:szCs w:val="14"/>
                <w:color w:val="auto"/>
              </w:rPr>
              <w:t>64,368</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497,155</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265,000</w:t>
            </w:r>
          </w:p>
        </w:tc>
        <w:tc>
          <w:tcPr>
            <w:tcW w:w="720" w:type="dxa"/>
            <w:vAlign w:val="bottom"/>
          </w:tcPr>
          <w:p>
            <w:pPr>
              <w:jc w:val="right"/>
              <w:spacing w:after="0"/>
              <w:rPr>
                <w:sz w:val="20"/>
                <w:szCs w:val="20"/>
                <w:color w:val="auto"/>
              </w:rPr>
            </w:pPr>
            <w:r>
              <w:rPr>
                <w:rFonts w:ascii="Arial" w:cs="Arial" w:eastAsia="Arial" w:hAnsi="Arial"/>
                <w:sz w:val="14"/>
                <w:szCs w:val="14"/>
                <w:color w:val="auto"/>
              </w:rPr>
              <w:t>64,368</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497,154</w:t>
            </w:r>
          </w:p>
        </w:tc>
        <w:tc>
          <w:tcPr>
            <w:tcW w:w="740" w:type="dxa"/>
            <w:vAlign w:val="bottom"/>
          </w:tcPr>
          <w:p>
            <w:pPr>
              <w:jc w:val="right"/>
              <w:spacing w:after="0"/>
              <w:rPr>
                <w:sz w:val="20"/>
                <w:szCs w:val="20"/>
                <w:color w:val="auto"/>
              </w:rPr>
            </w:pPr>
            <w:r>
              <w:rPr>
                <w:rFonts w:ascii="Arial" w:cs="Arial" w:eastAsia="Arial" w:hAnsi="Arial"/>
                <w:sz w:val="14"/>
                <w:szCs w:val="14"/>
                <w:color w:val="auto"/>
              </w:rPr>
              <w:t>826,523</w:t>
            </w:r>
          </w:p>
        </w:tc>
      </w:tr>
      <w:tr>
        <w:trPr>
          <w:trHeight w:val="230"/>
        </w:trPr>
        <w:tc>
          <w:tcPr>
            <w:tcW w:w="24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r>
        <w:trPr>
          <w:trHeight w:val="149"/>
        </w:trPr>
        <w:tc>
          <w:tcPr>
            <w:tcW w:w="24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James P. Ryan</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303,300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64,651</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570</w:t>
            </w:r>
          </w:p>
        </w:tc>
        <w:tc>
          <w:tcPr>
            <w:tcW w:w="84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477,231</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303,300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64,651</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570</w:t>
            </w:r>
          </w:p>
        </w:tc>
        <w:tc>
          <w:tcPr>
            <w:tcW w:w="9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477,231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845,752</w:t>
            </w:r>
          </w:p>
        </w:tc>
      </w:tr>
    </w:tbl>
    <w:p>
      <w:pPr>
        <w:spacing w:after="0" w:line="19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payment of annual salary for the event specified based on annual salary as of June 30, 2010.</w:t>
      </w:r>
    </w:p>
    <w:p>
      <w:pPr>
        <w:spacing w:after="0" w:line="55"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43" w:lineRule="exact"/>
        <w:rPr>
          <w:rFonts w:ascii="Arial" w:cs="Arial" w:eastAsia="Arial" w:hAnsi="Arial"/>
          <w:sz w:val="14"/>
          <w:szCs w:val="14"/>
          <w:color w:val="auto"/>
        </w:rPr>
      </w:pPr>
    </w:p>
    <w:p>
      <w:pPr>
        <w:ind w:left="340" w:right="100" w:hanging="332"/>
        <w:spacing w:after="0" w:line="317"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2010, multiplied by the number of shares represented by nonvested stock options at June 30, 2010.</w:t>
      </w:r>
    </w:p>
    <w:p>
      <w:pPr>
        <w:ind w:left="340" w:right="4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restricted stock units due to the specified event. The value is the number of shares held with restrictions at June 30, 2010 multiplied by the market price of common stock at the close of business on June 30, 2010.</w:t>
      </w:r>
    </w:p>
    <w:p>
      <w:pPr>
        <w:spacing w:after="0" w:line="43" w:lineRule="exact"/>
        <w:rPr>
          <w:rFonts w:ascii="Arial" w:cs="Arial" w:eastAsia="Arial" w:hAnsi="Arial"/>
          <w:sz w:val="14"/>
          <w:szCs w:val="14"/>
          <w:color w:val="auto"/>
        </w:rPr>
      </w:pPr>
    </w:p>
    <w:p>
      <w:pPr>
        <w:ind w:left="340" w:right="260" w:hanging="332"/>
        <w:spacing w:after="0" w:line="23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60% of annual salary for Mr. Bradley and 50% of annual salary for Mr. Long. For Mr. Montalbano, the amount represents payment of non-equity incentive severance for the event specified based on the average annual bonus compensation paid to the executive in the lesser of the previous three years or the number of full fiscal years the executive has been employed in the position. For Mr. Petrizzo and Mr. Ryan, the amount represents payment of non-equity incentive severance for the event specified based on the average annual bonus compensation paid to the executive in the three preceeding calendar years.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3160" w:firstLine="3202"/>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Approval or Ratification of a Transaction with Related Persons</w:t>
      </w:r>
    </w:p>
    <w:p>
      <w:pPr>
        <w:spacing w:after="0" w:line="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Company’s Corporate Governance Guidelines, which are available through our website,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paid a total of $174,675 to the law firm of Hall, Estill, Hardwick, Gable, Golden &amp; Nelson, a professional corporation (“Hall Estill”), for certain legal services and expense reimbursements during fiscal year 2010. Theodore Q. Eliot, a shareholder in Hall Estill, is the spouse of Judy Eliot, the Company’s former Vice President and General Counsel.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table sets forth, as of September 1, 2010, certain information with respect to the shares of common stock beneficially owned by (i) each person known by the Company to own beneficially more than 5% of its outstanding shares of Common Stock, (ii) each director and director nominee of the Company,</w:t>
      </w:r>
    </w:p>
    <w:p>
      <w:pPr>
        <w:ind w:right="120" w:firstLine="8"/>
        <w:spacing w:after="0" w:line="323" w:lineRule="auto"/>
        <w:tabs>
          <w:tab w:leader="none" w:pos="3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Identity of Beneficial Owner</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Beneficially Owned</w:t>
            </w:r>
          </w:p>
        </w:tc>
        <w:tc>
          <w:tcPr>
            <w:tcW w:w="144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Calculated Ownership %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2,672,950</w:t>
            </w:r>
          </w:p>
        </w:tc>
        <w:tc>
          <w:tcPr>
            <w:tcW w:w="1440" w:type="dxa"/>
            <w:vAlign w:val="bottom"/>
            <w:shd w:val="clear" w:color="auto" w:fill="CCEEFF"/>
          </w:tcPr>
          <w:p>
            <w:pPr>
              <w:jc w:val="right"/>
              <w:ind w:right="1224"/>
              <w:spacing w:after="0"/>
              <w:rPr>
                <w:sz w:val="20"/>
                <w:szCs w:val="20"/>
                <w:color w:val="auto"/>
              </w:rPr>
            </w:pPr>
            <w:r>
              <w:rPr>
                <w:rFonts w:ascii="Arial" w:cs="Arial" w:eastAsia="Arial" w:hAnsi="Arial"/>
                <w:sz w:val="11"/>
                <w:szCs w:val="11"/>
                <w:color w:val="auto"/>
              </w:rPr>
              <w:t>(2)</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120" w:type="dxa"/>
            <w:vAlign w:val="bottom"/>
            <w:gridSpan w:val="4"/>
          </w:tcPr>
          <w:p>
            <w:pPr>
              <w:spacing w:after="0"/>
              <w:rPr>
                <w:sz w:val="20"/>
                <w:szCs w:val="20"/>
                <w:color w:val="auto"/>
              </w:rPr>
            </w:pPr>
            <w:r>
              <w:rPr>
                <w:rFonts w:ascii="Arial" w:cs="Arial" w:eastAsia="Arial" w:hAnsi="Arial"/>
                <w:sz w:val="18"/>
                <w:szCs w:val="18"/>
                <w:color w:val="auto"/>
              </w:rPr>
              <w:t>Thompson, Siegel &amp; Walmsley LLC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1,672,173</w:t>
            </w:r>
          </w:p>
        </w:tc>
        <w:tc>
          <w:tcPr>
            <w:tcW w:w="1440" w:type="dxa"/>
            <w:vAlign w:val="bottom"/>
          </w:tcPr>
          <w:p>
            <w:pPr>
              <w:jc w:val="right"/>
              <w:ind w:right="1224"/>
              <w:spacing w:after="0"/>
              <w:rPr>
                <w:sz w:val="20"/>
                <w:szCs w:val="20"/>
                <w:color w:val="auto"/>
              </w:rPr>
            </w:pPr>
            <w:r>
              <w:rPr>
                <w:rFonts w:ascii="Arial" w:cs="Arial" w:eastAsia="Arial" w:hAnsi="Arial"/>
                <w:sz w:val="11"/>
                <w:szCs w:val="11"/>
                <w:color w:val="auto"/>
              </w:rPr>
              <w:t>(3)</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200"/>
              <w:spacing w:after="0"/>
              <w:rPr>
                <w:sz w:val="20"/>
                <w:szCs w:val="20"/>
                <w:color w:val="auto"/>
              </w:rPr>
            </w:pPr>
            <w:r>
              <w:rPr>
                <w:rFonts w:ascii="Arial" w:cs="Arial" w:eastAsia="Arial" w:hAnsi="Arial"/>
                <w:sz w:val="18"/>
                <w:szCs w:val="18"/>
                <w:color w:val="auto"/>
              </w:rPr>
              <w:t>6806 Paragon Place, Suite 300</w:t>
            </w: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200"/>
              <w:spacing w:after="0"/>
              <w:rPr>
                <w:sz w:val="20"/>
                <w:szCs w:val="20"/>
                <w:color w:val="auto"/>
              </w:rPr>
            </w:pPr>
            <w:r>
              <w:rPr>
                <w:rFonts w:ascii="Arial" w:cs="Arial" w:eastAsia="Arial" w:hAnsi="Arial"/>
                <w:sz w:val="18"/>
                <w:szCs w:val="18"/>
                <w:color w:val="auto"/>
              </w:rPr>
              <w:t>Richmond, VA 23230</w:t>
            </w: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9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1,547,094</w:t>
            </w:r>
          </w:p>
        </w:tc>
        <w:tc>
          <w:tcPr>
            <w:tcW w:w="1440" w:type="dxa"/>
            <w:vAlign w:val="bottom"/>
            <w:shd w:val="clear" w:color="auto" w:fill="CCEEFF"/>
          </w:tcPr>
          <w:p>
            <w:pPr>
              <w:jc w:val="right"/>
              <w:ind w:right="1224"/>
              <w:spacing w:after="0"/>
              <w:rPr>
                <w:sz w:val="20"/>
                <w:szCs w:val="20"/>
                <w:color w:val="auto"/>
              </w:rPr>
            </w:pPr>
            <w:r>
              <w:rPr>
                <w:rFonts w:ascii="Arial" w:cs="Arial" w:eastAsia="Arial" w:hAnsi="Arial"/>
                <w:sz w:val="11"/>
                <w:szCs w:val="11"/>
                <w:color w:val="auto"/>
              </w:rPr>
              <w:t>(4)</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120" w:type="dxa"/>
            <w:vAlign w:val="bottom"/>
            <w:gridSpan w:val="4"/>
          </w:tcPr>
          <w:p>
            <w:pPr>
              <w:spacing w:after="0"/>
              <w:rPr>
                <w:sz w:val="20"/>
                <w:szCs w:val="20"/>
                <w:color w:val="auto"/>
              </w:rPr>
            </w:pPr>
            <w:r>
              <w:rPr>
                <w:rFonts w:ascii="Arial" w:cs="Arial" w:eastAsia="Arial" w:hAnsi="Arial"/>
                <w:sz w:val="18"/>
                <w:szCs w:val="18"/>
                <w:color w:val="auto"/>
              </w:rPr>
              <w:t>Thomson Horstmann &amp; Bryant, Inc.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1,392,500</w:t>
            </w:r>
          </w:p>
        </w:tc>
        <w:tc>
          <w:tcPr>
            <w:tcW w:w="1440" w:type="dxa"/>
            <w:vAlign w:val="bottom"/>
          </w:tcPr>
          <w:p>
            <w:pPr>
              <w:jc w:val="right"/>
              <w:ind w:right="1224"/>
              <w:spacing w:after="0"/>
              <w:rPr>
                <w:sz w:val="20"/>
                <w:szCs w:val="20"/>
                <w:color w:val="auto"/>
              </w:rPr>
            </w:pPr>
            <w:r>
              <w:rPr>
                <w:rFonts w:ascii="Arial" w:cs="Arial" w:eastAsia="Arial" w:hAnsi="Arial"/>
                <w:sz w:val="11"/>
                <w:szCs w:val="11"/>
                <w:color w:val="auto"/>
              </w:rPr>
              <w:t>(5)</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200"/>
              <w:spacing w:after="0"/>
              <w:rPr>
                <w:sz w:val="20"/>
                <w:szCs w:val="20"/>
                <w:color w:val="auto"/>
              </w:rPr>
            </w:pPr>
            <w:r>
              <w:rPr>
                <w:rFonts w:ascii="Arial" w:cs="Arial" w:eastAsia="Arial" w:hAnsi="Arial"/>
                <w:sz w:val="18"/>
                <w:szCs w:val="18"/>
                <w:color w:val="auto"/>
              </w:rPr>
              <w:t>Park 80 West, Plaza One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200"/>
              <w:spacing w:after="0"/>
              <w:rPr>
                <w:sz w:val="20"/>
                <w:szCs w:val="20"/>
                <w:color w:val="auto"/>
              </w:rPr>
            </w:pPr>
            <w:r>
              <w:rPr>
                <w:rFonts w:ascii="Arial" w:cs="Arial" w:eastAsia="Arial" w:hAnsi="Arial"/>
                <w:sz w:val="18"/>
                <w:szCs w:val="18"/>
                <w:color w:val="auto"/>
              </w:rPr>
              <w:t>Saddlebrook, NJ 07663</w:t>
            </w: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9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32,100</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20" w:type="dxa"/>
            <w:vAlign w:val="bottom"/>
            <w:gridSpan w:val="4"/>
          </w:tcPr>
          <w:p>
            <w:pPr>
              <w:spacing w:after="0"/>
              <w:rPr>
                <w:sz w:val="20"/>
                <w:szCs w:val="20"/>
                <w:color w:val="auto"/>
              </w:rPr>
            </w:pPr>
            <w:r>
              <w:rPr>
                <w:rFonts w:ascii="Arial" w:cs="Arial" w:eastAsia="Arial" w:hAnsi="Arial"/>
                <w:sz w:val="18"/>
                <w:szCs w:val="18"/>
                <w:color w:val="auto"/>
              </w:rPr>
              <w:t>I. Edgar Hendrix</w:t>
            </w:r>
          </w:p>
        </w:tc>
        <w:tc>
          <w:tcPr>
            <w:tcW w:w="4340" w:type="dxa"/>
            <w:vAlign w:val="bottom"/>
            <w:gridSpan w:val="3"/>
          </w:tcPr>
          <w:p>
            <w:pPr>
              <w:jc w:val="right"/>
              <w:ind w:right="1264"/>
              <w:spacing w:after="0"/>
              <w:rPr>
                <w:sz w:val="20"/>
                <w:szCs w:val="20"/>
                <w:color w:val="auto"/>
              </w:rPr>
            </w:pPr>
            <w:r>
              <w:rPr>
                <w:rFonts w:ascii="Arial" w:cs="Arial" w:eastAsia="Arial" w:hAnsi="Arial"/>
                <w:sz w:val="18"/>
                <w:szCs w:val="18"/>
                <w:color w:val="auto"/>
              </w:rPr>
              <w:t>15,800</w:t>
            </w:r>
            <w:r>
              <w:rPr>
                <w:rFonts w:ascii="Arial" w:cs="Arial" w:eastAsia="Arial" w:hAnsi="Arial"/>
                <w:sz w:val="11"/>
                <w:szCs w:val="11"/>
                <w:color w:val="auto"/>
              </w:rPr>
              <w:t>(6)</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340" w:type="dxa"/>
            <w:vAlign w:val="bottom"/>
            <w:gridSpan w:val="3"/>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K. Lackey</w:t>
            </w:r>
          </w:p>
        </w:tc>
        <w:tc>
          <w:tcPr>
            <w:tcW w:w="4340" w:type="dxa"/>
            <w:vAlign w:val="bottom"/>
            <w:gridSpan w:val="3"/>
            <w:shd w:val="clear" w:color="auto" w:fill="CCEEFF"/>
          </w:tcPr>
          <w:p>
            <w:pPr>
              <w:jc w:val="right"/>
              <w:ind w:right="1264"/>
              <w:spacing w:after="0"/>
              <w:rPr>
                <w:sz w:val="20"/>
                <w:szCs w:val="20"/>
                <w:color w:val="auto"/>
              </w:rPr>
            </w:pPr>
            <w:r>
              <w:rPr>
                <w:rFonts w:ascii="Arial" w:cs="Arial" w:eastAsia="Arial" w:hAnsi="Arial"/>
                <w:sz w:val="18"/>
                <w:szCs w:val="18"/>
                <w:color w:val="auto"/>
              </w:rPr>
              <w:t>22,100</w:t>
            </w:r>
            <w:r>
              <w:rPr>
                <w:rFonts w:ascii="Arial" w:cs="Arial" w:eastAsia="Arial" w:hAnsi="Arial"/>
                <w:sz w:val="11"/>
                <w:szCs w:val="11"/>
                <w:color w:val="auto"/>
              </w:rPr>
              <w:t>(6)</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20" w:type="dxa"/>
            <w:vAlign w:val="bottom"/>
            <w:gridSpan w:val="4"/>
          </w:tcPr>
          <w:p>
            <w:pPr>
              <w:spacing w:after="0"/>
              <w:rPr>
                <w:sz w:val="20"/>
                <w:szCs w:val="20"/>
                <w:color w:val="auto"/>
              </w:rPr>
            </w:pPr>
            <w:r>
              <w:rPr>
                <w:rFonts w:ascii="Arial" w:cs="Arial" w:eastAsia="Arial" w:hAnsi="Arial"/>
                <w:sz w:val="18"/>
                <w:szCs w:val="18"/>
                <w:color w:val="auto"/>
              </w:rPr>
              <w:t>Tom E. Maxwell</w:t>
            </w:r>
          </w:p>
        </w:tc>
        <w:tc>
          <w:tcPr>
            <w:tcW w:w="4340" w:type="dxa"/>
            <w:vAlign w:val="bottom"/>
            <w:gridSpan w:val="3"/>
          </w:tcPr>
          <w:p>
            <w:pPr>
              <w:jc w:val="right"/>
              <w:ind w:right="1264"/>
              <w:spacing w:after="0"/>
              <w:rPr>
                <w:sz w:val="20"/>
                <w:szCs w:val="20"/>
                <w:color w:val="auto"/>
              </w:rPr>
            </w:pPr>
            <w:r>
              <w:rPr>
                <w:rFonts w:ascii="Arial" w:cs="Arial" w:eastAsia="Arial" w:hAnsi="Arial"/>
                <w:sz w:val="18"/>
                <w:szCs w:val="18"/>
                <w:color w:val="auto"/>
              </w:rPr>
              <w:t>28,100</w:t>
            </w:r>
            <w:r>
              <w:rPr>
                <w:rFonts w:ascii="Arial" w:cs="Arial" w:eastAsia="Arial" w:hAnsi="Arial"/>
                <w:sz w:val="11"/>
                <w:szCs w:val="11"/>
                <w:color w:val="auto"/>
              </w:rPr>
              <w:t>(6)</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340" w:type="dxa"/>
            <w:vAlign w:val="bottom"/>
            <w:gridSpan w:val="3"/>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J. Tippeconnic</w:t>
            </w:r>
          </w:p>
        </w:tc>
        <w:tc>
          <w:tcPr>
            <w:tcW w:w="4340" w:type="dxa"/>
            <w:vAlign w:val="bottom"/>
            <w:gridSpan w:val="3"/>
            <w:shd w:val="clear" w:color="auto" w:fill="CCEEFF"/>
          </w:tcPr>
          <w:p>
            <w:pPr>
              <w:jc w:val="right"/>
              <w:ind w:right="1264"/>
              <w:spacing w:after="0"/>
              <w:rPr>
                <w:sz w:val="20"/>
                <w:szCs w:val="20"/>
                <w:color w:val="auto"/>
              </w:rPr>
            </w:pPr>
            <w:r>
              <w:rPr>
                <w:rFonts w:ascii="Arial" w:cs="Arial" w:eastAsia="Arial" w:hAnsi="Arial"/>
                <w:sz w:val="18"/>
                <w:szCs w:val="18"/>
                <w:color w:val="auto"/>
              </w:rPr>
              <w:t>28,100</w:t>
            </w:r>
            <w:r>
              <w:rPr>
                <w:rFonts w:ascii="Arial" w:cs="Arial" w:eastAsia="Arial" w:hAnsi="Arial"/>
                <w:sz w:val="11"/>
                <w:szCs w:val="11"/>
                <w:color w:val="auto"/>
              </w:rPr>
              <w:t>(6)</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20" w:type="dxa"/>
            <w:vAlign w:val="bottom"/>
            <w:gridSpan w:val="4"/>
          </w:tcPr>
          <w:p>
            <w:pPr>
              <w:spacing w:after="0"/>
              <w:rPr>
                <w:sz w:val="20"/>
                <w:szCs w:val="20"/>
                <w:color w:val="auto"/>
              </w:rPr>
            </w:pPr>
            <w:r>
              <w:rPr>
                <w:rFonts w:ascii="Arial" w:cs="Arial" w:eastAsia="Arial" w:hAnsi="Arial"/>
                <w:sz w:val="18"/>
                <w:szCs w:val="18"/>
                <w:color w:val="auto"/>
              </w:rPr>
              <w:t>Michael J. Bradley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162,187</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9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F. Montalbano</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20" w:type="dxa"/>
            <w:vAlign w:val="bottom"/>
            <w:gridSpan w:val="4"/>
          </w:tcPr>
          <w:p>
            <w:pPr>
              <w:spacing w:after="0"/>
              <w:rPr>
                <w:sz w:val="20"/>
                <w:szCs w:val="20"/>
                <w:color w:val="auto"/>
              </w:rPr>
            </w:pPr>
            <w:r>
              <w:rPr>
                <w:rFonts w:ascii="Arial" w:cs="Arial" w:eastAsia="Arial" w:hAnsi="Arial"/>
                <w:sz w:val="18"/>
                <w:szCs w:val="18"/>
                <w:color w:val="auto"/>
              </w:rPr>
              <w:t>Thomas E. Long</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52,815</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9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J. Petrizzo</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20" w:type="dxa"/>
            <w:vAlign w:val="bottom"/>
            <w:gridSpan w:val="4"/>
          </w:tcPr>
          <w:p>
            <w:pPr>
              <w:spacing w:after="0"/>
              <w:rPr>
                <w:sz w:val="20"/>
                <w:szCs w:val="20"/>
                <w:color w:val="auto"/>
              </w:rPr>
            </w:pPr>
            <w:r>
              <w:rPr>
                <w:rFonts w:ascii="Arial" w:cs="Arial" w:eastAsia="Arial" w:hAnsi="Arial"/>
                <w:sz w:val="18"/>
                <w:szCs w:val="18"/>
                <w:color w:val="auto"/>
              </w:rPr>
              <w:t>James P. Ryan</w:t>
            </w:r>
          </w:p>
        </w:tc>
        <w:tc>
          <w:tcPr>
            <w:tcW w:w="4340" w:type="dxa"/>
            <w:vAlign w:val="bottom"/>
            <w:gridSpan w:val="3"/>
          </w:tcPr>
          <w:p>
            <w:pPr>
              <w:jc w:val="right"/>
              <w:ind w:right="1264"/>
              <w:spacing w:after="0"/>
              <w:rPr>
                <w:sz w:val="20"/>
                <w:szCs w:val="20"/>
                <w:color w:val="auto"/>
              </w:rPr>
            </w:pPr>
            <w:r>
              <w:rPr>
                <w:rFonts w:ascii="Arial" w:cs="Arial" w:eastAsia="Arial" w:hAnsi="Arial"/>
                <w:sz w:val="18"/>
                <w:szCs w:val="18"/>
                <w:color w:val="auto"/>
              </w:rPr>
              <w:t>70,303</w:t>
            </w:r>
            <w:r>
              <w:rPr>
                <w:rFonts w:ascii="Arial" w:cs="Arial" w:eastAsia="Arial" w:hAnsi="Arial"/>
                <w:sz w:val="11"/>
                <w:szCs w:val="11"/>
                <w:color w:val="auto"/>
              </w:rPr>
              <w:t>(6)</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All directors, director nominees and executive officers as a group (18</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persons)</w:t>
            </w:r>
          </w:p>
        </w:tc>
        <w:tc>
          <w:tcPr>
            <w:tcW w:w="4340" w:type="dxa"/>
            <w:vAlign w:val="bottom"/>
            <w:gridSpan w:val="3"/>
            <w:shd w:val="clear" w:color="auto" w:fill="CCEEFF"/>
          </w:tcPr>
          <w:p>
            <w:pPr>
              <w:jc w:val="right"/>
              <w:ind w:right="1264"/>
              <w:spacing w:after="0"/>
              <w:rPr>
                <w:sz w:val="20"/>
                <w:szCs w:val="20"/>
                <w:color w:val="auto"/>
              </w:rPr>
            </w:pPr>
            <w:r>
              <w:rPr>
                <w:rFonts w:ascii="Arial" w:cs="Arial" w:eastAsia="Arial" w:hAnsi="Arial"/>
                <w:sz w:val="18"/>
                <w:szCs w:val="18"/>
                <w:color w:val="auto"/>
              </w:rPr>
              <w:t>866,969</w:t>
            </w:r>
            <w:r>
              <w:rPr>
                <w:rFonts w:ascii="Arial" w:cs="Arial" w:eastAsia="Arial" w:hAnsi="Arial"/>
                <w:sz w:val="11"/>
                <w:szCs w:val="11"/>
                <w:color w:val="auto"/>
              </w:rPr>
              <w:t>(6)</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77" w:lineRule="exact"/>
        <w:rPr>
          <w:sz w:val="20"/>
          <w:szCs w:val="20"/>
          <w:color w:val="auto"/>
        </w:rPr>
      </w:pPr>
    </w:p>
    <w:p>
      <w:pPr>
        <w:ind w:left="460" w:right="32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September 1, 2010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8" w:lineRule="exact"/>
        <w:rPr>
          <w:rFonts w:ascii="Arial" w:cs="Arial" w:eastAsia="Arial" w:hAnsi="Arial"/>
          <w:sz w:val="18"/>
          <w:szCs w:val="18"/>
          <w:color w:val="auto"/>
        </w:rPr>
      </w:pPr>
    </w:p>
    <w:p>
      <w:pPr>
        <w:jc w:val="both"/>
        <w:ind w:left="460" w:right="4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is as of May 31, 2010 and is based on the Schedule 13G dated June 9, 2010 filed by Blackrock Inc. (“Blackrock”). Blackrock is a parent holding company or control person in accordance with Rule 13d-1(b)(1)(ii)(F). Of the shares shown, Blackrock has sole voting power over 2,672,950 shares and sole dispositive power over 2,672,950 shares.</w:t>
      </w:r>
    </w:p>
    <w:p>
      <w:pPr>
        <w:spacing w:after="0" w:line="45"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is as of December 31, 2009 and is based on the Schedule 13G dated February 10, 2010 filed by Thompson, Siegel &amp; Walmsley LLC (“TSW”). TSW is a registered investment advisor. Of the shares shown, TSW has sole voting power over 1,312,366 shares, shared voting power over 359,807 shares and sole dispositive power over 1,672,173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right="5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is as of December 31, 2009 and is based on the Schedule 13G dated February 1, 2010 filed by The Vanguard Group, Inc. (“Vanguard”). Vanguard is a registered investment advisor. Of the shares shown, Vanguard has sole voting power over 33,938 shares, sole dispositive power over 1,513,156 shares and shared dispositive power over 33,938 shares.</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is as of December 31, 2009 and is based on the Schedule 13G dated January 26, 2010 filed by Thomson Horstmann &amp; Bryant, Inc. (“THB”). THB is a registered investment advisor. Of the shares shown, THB has sole voting power over 1,065,000 shares and sole dispositive power over 1,392,500 shares.</w:t>
      </w:r>
    </w:p>
    <w:p>
      <w:pPr>
        <w:spacing w:after="0" w:line="45"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September 1, 2010: Mr. Hendrix – 5,000 shares; Mr. Lackey – 15,000 shares; Mr. Maxwell – 15,000 shares; Mr. Tippeconnic – 5,000 shares; Mr. Ryan – 37,200 shares; 18 directors and executive officers as a group – 238,800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Ownership Guidelines</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the August 2, 2007 Board meeting, the following Equity Ownership Guidelines were adopted:</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Participants – All Company executive officers</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an officer should seek to acquire and maintain.</w:t>
      </w:r>
    </w:p>
    <w:p>
      <w:pPr>
        <w:sectPr>
          <w:pgSz w:w="11900" w:h="16838" w:orient="portrait"/>
          <w:cols w:equalWidth="0" w:num="1">
            <w:col w:w="11400"/>
          </w:cols>
          <w:pgMar w:left="240" w:top="459" w:right="259" w:bottom="1440" w:gutter="0" w:footer="0" w:header="0"/>
        </w:sectPr>
      </w:pPr>
    </w:p>
    <w:p>
      <w:pPr>
        <w:spacing w:after="0" w:line="51" w:lineRule="exact"/>
        <w:rPr>
          <w:sz w:val="20"/>
          <w:szCs w:val="20"/>
          <w:color w:val="auto"/>
        </w:rPr>
      </w:pPr>
    </w:p>
    <w:p>
      <w:pPr>
        <w:ind w:left="920"/>
        <w:spacing w:after="0" w:line="357" w:lineRule="auto"/>
        <w:rPr>
          <w:sz w:val="20"/>
          <w:szCs w:val="20"/>
          <w:color w:val="auto"/>
        </w:rPr>
      </w:pPr>
      <w:r>
        <w:rPr>
          <w:rFonts w:ascii="Arial" w:cs="Arial" w:eastAsia="Arial" w:hAnsi="Arial"/>
          <w:sz w:val="15"/>
          <w:szCs w:val="15"/>
          <w:color w:val="auto"/>
        </w:rPr>
        <w:t>President/CEO CFO/COO/Vice Presidents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2 x base salary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 x base salary</w:t>
      </w:r>
    </w:p>
    <w:p>
      <w:pPr>
        <w:spacing w:after="0" w:line="119" w:lineRule="exact"/>
        <w:rPr>
          <w:sz w:val="20"/>
          <w:szCs w:val="20"/>
          <w:color w:val="auto"/>
        </w:rPr>
      </w:pPr>
    </w:p>
    <w:p>
      <w:pPr>
        <w:sectPr>
          <w:pgSz w:w="11900" w:h="16838" w:orient="portrait"/>
          <w:cols w:equalWidth="0" w:num="3">
            <w:col w:w="2820" w:space="180"/>
            <w:col w:w="120" w:space="140"/>
            <w:col w:w="8140"/>
          </w:cols>
          <w:pgMar w:left="240" w:top="459" w:right="259" w:bottom="1440" w:gutter="0" w:footer="0" w:header="0"/>
          <w:type w:val="continuous"/>
        </w:sectPr>
      </w:pPr>
    </w:p>
    <w:p>
      <w:pPr>
        <w:ind w:left="900" w:right="2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Officers have five years from the date they become subject to these Guidelines to acquire the ownership levels defined herein. Thereafter, they are expected to retain this level of ownership during their tenure as an officer with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rFonts w:ascii="Arial" w:cs="Arial" w:eastAsia="Arial" w:hAnsi="Arial"/>
          <w:sz w:val="18"/>
          <w:szCs w:val="18"/>
          <w:color w:val="auto"/>
        </w:rPr>
      </w:pPr>
    </w:p>
    <w:p>
      <w:pPr>
        <w:ind w:left="920" w:right="360" w:firstLine="1"/>
        <w:spacing w:after="0" w:line="268" w:lineRule="auto"/>
        <w:tabs>
          <w:tab w:leader="none" w:pos="11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Direct ownership of Company stock (shares owned outright, regardless of how acquired – e.g. restrictions lapse on RSU’s, options exercised held, etc.); and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Vested/exercisable options.</w:t>
      </w:r>
    </w:p>
    <w:p>
      <w:pPr>
        <w:spacing w:after="0" w:line="90" w:lineRule="exact"/>
        <w:rPr>
          <w:sz w:val="20"/>
          <w:szCs w:val="20"/>
          <w:color w:val="auto"/>
        </w:rPr>
      </w:pPr>
    </w:p>
    <w:p>
      <w:pPr>
        <w:ind w:left="920" w:right="380"/>
        <w:spacing w:after="0" w:line="332" w:lineRule="auto"/>
        <w:rPr>
          <w:sz w:val="20"/>
          <w:szCs w:val="20"/>
          <w:color w:val="auto"/>
        </w:rPr>
      </w:pPr>
      <w:r>
        <w:rPr>
          <w:rFonts w:ascii="Arial" w:cs="Arial" w:eastAsia="Arial" w:hAnsi="Arial"/>
          <w:sz w:val="16"/>
          <w:szCs w:val="16"/>
          <w:color w:val="auto"/>
        </w:rPr>
        <w:t>An executive officer will be deemed to have satisfied the ownership guideline if either (1) the aggregate price paid by the officer for shares held equals or exceeds the applicable multiple of base salary or (2) at any time the “fair market value” of the stock owned equals such amount.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no case will unvested options or RSU’s with remaining restrictions count toward equity ownership.</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Equity Ownership Guidelines were adopted August 2, 2007 and each executive officer has five years from the date they become subject to the guidelines to comply with these guidelines. Nonetheless, as of September 1, 2010, Mrs. Austin, Mr. Cavanah, Mr. Durkin, Mr. Fosbenner, Mr. Rinehart, Mr. Ryan, and</w:t>
      </w:r>
    </w:p>
    <w:p>
      <w:pPr>
        <w:ind w:right="560"/>
        <w:spacing w:after="0" w:line="261" w:lineRule="auto"/>
        <w:rPr>
          <w:sz w:val="20"/>
          <w:szCs w:val="20"/>
          <w:color w:val="auto"/>
        </w:rPr>
      </w:pPr>
      <w:r>
        <w:rPr>
          <w:rFonts w:ascii="Arial" w:cs="Arial" w:eastAsia="Arial" w:hAnsi="Arial"/>
          <w:sz w:val="18"/>
          <w:szCs w:val="18"/>
          <w:color w:val="auto"/>
        </w:rPr>
        <w:t>Mr. Sullivan have satisfied the ownership guidelines. As of that date, Mr. Bradley, Mr. Robert Long, Mr. Thomas Long, Mr. Montalbano, Mr. Petrizzo and Mr. Turner had not yet satisfied the ownership guidelines.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2010, all Section 16(a) filing requirements applicable to its executive officers and directors, and 10% stockholders were complied with on a timely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 Service Company’s existing approved equity compensation plans as of June 30, 2010, including the Company’s 1990 and 1991 stock option plans, the 1995 Nonemployee Directors’ Stock Option Plan, and the 2004 Stock Incentive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 (1)</w:t>
            </w:r>
          </w:p>
        </w:tc>
        <w:tc>
          <w:tcPr>
            <w:tcW w:w="980" w:type="dxa"/>
            <w:vAlign w:val="bottom"/>
          </w:tcPr>
          <w:p>
            <w:pPr>
              <w:spacing w:after="0"/>
              <w:rPr>
                <w:sz w:val="14"/>
                <w:szCs w:val="14"/>
                <w:color w:val="auto"/>
              </w:rPr>
            </w:pPr>
          </w:p>
        </w:tc>
        <w:tc>
          <w:tcPr>
            <w:tcW w:w="23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8"/>
              </w:rPr>
              <w:t>warrants and rights (2)</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8.03</w:t>
            </w: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8.03</w:t>
            </w: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1,028,486 restricted stock units.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the shares issuable upon the vesting of restricted stock units included in column (a) of this table for which there is no weighted-average price.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21, 2011, if the proposal is to be considered for inclusion in the Company’s proxy statement and proxy card for such meeting.</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2011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2010 (without exhibits or documents incorporated by reference) including any financial statements and schedules and exhibits thereto, may be obtained without charge by written request to Thomas E. Long, Vice President Finance, Matrix Service Company, 5100 East Skelly Drive, Suite 700, Tulsa, Oklahoma 74135 or by visiting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December 2, 2010</w:t>
      </w:r>
    </w:p>
    <w:p>
      <w:pPr>
        <w:spacing w:after="0" w:line="165"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Stockholders may view this proxy statement, our form of proxy and our 2010 Annual Report to Stockholders over the Internet by accessing our website at </w:t>
      </w:r>
      <w:r>
        <w:rPr>
          <w:rFonts w:ascii="Arial" w:cs="Arial" w:eastAsia="Arial" w:hAnsi="Arial"/>
          <w:sz w:val="16"/>
          <w:szCs w:val="16"/>
          <w:b w:val="1"/>
          <w:bCs w:val="1"/>
          <w:u w:val="single" w:color="auto"/>
          <w:color w:val="auto"/>
        </w:rPr>
        <w:t>http://www.matrixservice.com</w:t>
      </w:r>
      <w:r>
        <w:rPr>
          <w:rFonts w:ascii="Arial" w:cs="Arial" w:eastAsia="Arial" w:hAnsi="Arial"/>
          <w:sz w:val="16"/>
          <w:szCs w:val="16"/>
          <w:b w:val="1"/>
          <w:bCs w:val="1"/>
          <w:color w:val="auto"/>
        </w:rPr>
        <w:t>. Information on our website does not constitute a part of this proxy statement.</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148590</wp:posOffset>
            </wp:positionV>
            <wp:extent cx="236664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666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MATRIX SERVICE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5100 EAST SKELLY DRIVE</w:t>
      </w:r>
    </w:p>
    <w:p>
      <w:pPr>
        <w:spacing w:after="0" w:line="221" w:lineRule="auto"/>
        <w:rPr>
          <w:sz w:val="20"/>
          <w:szCs w:val="20"/>
          <w:color w:val="auto"/>
        </w:rPr>
      </w:pPr>
      <w:r>
        <w:rPr>
          <w:rFonts w:ascii="Arial" w:cs="Arial" w:eastAsia="Arial" w:hAnsi="Arial"/>
          <w:sz w:val="14"/>
          <w:szCs w:val="14"/>
          <w:b w:val="1"/>
          <w:bCs w:val="1"/>
          <w:i w:val="1"/>
          <w:iCs w:val="1"/>
          <w:color w:val="auto"/>
        </w:rPr>
        <w:t>SUITE 700</w:t>
      </w:r>
    </w:p>
    <w:p>
      <w:pPr>
        <w:spacing w:after="0"/>
        <w:rPr>
          <w:sz w:val="20"/>
          <w:szCs w:val="20"/>
          <w:color w:val="auto"/>
        </w:rPr>
      </w:pPr>
      <w:r>
        <w:rPr>
          <w:rFonts w:ascii="Arial" w:cs="Arial" w:eastAsia="Arial" w:hAnsi="Arial"/>
          <w:sz w:val="14"/>
          <w:szCs w:val="14"/>
          <w:b w:val="1"/>
          <w:bCs w:val="1"/>
          <w:i w:val="1"/>
          <w:iCs w:val="1"/>
          <w:color w:val="auto"/>
        </w:rPr>
        <w:t>TULSA, OK 74135</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320" w:space="720"/>
            <w:col w:w="6360"/>
          </w:cols>
          <w:pgMar w:left="240" w:top="459" w:right="25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80"/>
        <w:spacing w:after="0"/>
        <w:rPr>
          <w:sz w:val="20"/>
          <w:szCs w:val="20"/>
          <w:color w:val="auto"/>
        </w:rPr>
      </w:pPr>
      <w:r>
        <w:rPr>
          <w:rFonts w:ascii="Arial" w:cs="Arial" w:eastAsia="Arial" w:hAnsi="Arial"/>
          <w:sz w:val="12"/>
          <w:szCs w:val="12"/>
          <w:color w:val="auto"/>
        </w:rPr>
        <w:t>KEEP THIS PORTION FOR YOUR RECORDS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 - - - - - - - - - - - - - - - - - - - - - - - - - - - - - - - - - - - - - - - - - - - - - - - - - - - - - - - - - - - - - - - - - - - - - - - - - - - - - - - - - - - - - - - - -</w:t>
      </w:r>
    </w:p>
    <w:p>
      <w:pPr>
        <w:spacing w:after="0" w:line="4" w:lineRule="exact"/>
        <w:rPr>
          <w:sz w:val="20"/>
          <w:szCs w:val="20"/>
          <w:color w:val="auto"/>
        </w:rPr>
      </w:pPr>
    </w:p>
    <w:p>
      <w:pPr>
        <w:jc w:val="right"/>
        <w:ind w:right="80"/>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85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8506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center"/>
              <w:ind w:left="752"/>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Withhold</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For All</w:t>
            </w:r>
          </w:p>
        </w:tc>
        <w:tc>
          <w:tcPr>
            <w:tcW w:w="3780" w:type="dxa"/>
            <w:vAlign w:val="bottom"/>
            <w:gridSpan w:val="2"/>
          </w:tcPr>
          <w:p>
            <w:pPr>
              <w:ind w:left="160"/>
              <w:spacing w:after="0"/>
              <w:rPr>
                <w:sz w:val="20"/>
                <w:szCs w:val="20"/>
                <w:color w:val="auto"/>
              </w:rPr>
            </w:pPr>
            <w:r>
              <w:rPr>
                <w:rFonts w:ascii="Arial" w:cs="Arial" w:eastAsia="Arial" w:hAnsi="Arial"/>
                <w:sz w:val="14"/>
                <w:szCs w:val="14"/>
                <w:color w:val="auto"/>
                <w:w w:val="90"/>
              </w:rPr>
              <w:t>To withhold authority to vote for any individual nominee(s), mark</w:t>
            </w:r>
          </w:p>
        </w:tc>
      </w:tr>
      <w:tr>
        <w:trPr>
          <w:trHeight w:val="149"/>
        </w:trPr>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center"/>
              <w:ind w:left="752"/>
              <w:spacing w:after="0" w:line="149" w:lineRule="exact"/>
              <w:rPr>
                <w:sz w:val="20"/>
                <w:szCs w:val="20"/>
                <w:color w:val="auto"/>
              </w:rPr>
            </w:pPr>
            <w:r>
              <w:rPr>
                <w:rFonts w:ascii="Arial" w:cs="Arial" w:eastAsia="Arial" w:hAnsi="Arial"/>
                <w:sz w:val="14"/>
                <w:szCs w:val="14"/>
                <w:b w:val="1"/>
                <w:bCs w:val="1"/>
                <w:color w:val="auto"/>
              </w:rPr>
              <w:t>All</w:t>
            </w:r>
          </w:p>
        </w:tc>
        <w:tc>
          <w:tcPr>
            <w:tcW w:w="5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Except</w:t>
            </w:r>
          </w:p>
        </w:tc>
        <w:tc>
          <w:tcPr>
            <w:tcW w:w="37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89"/>
              </w:rPr>
              <w:t>“For All Except” and write the number(s) of the nominee(s) on the</w:t>
            </w:r>
          </w:p>
        </w:tc>
      </w:tr>
      <w:tr>
        <w:trPr>
          <w:trHeight w:val="149"/>
        </w:trPr>
        <w:tc>
          <w:tcPr>
            <w:tcW w:w="3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The Board of Directors recommends a vote FOR the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line below.</w:t>
            </w:r>
          </w:p>
        </w:tc>
      </w:tr>
      <w:tr>
        <w:trPr>
          <w:trHeight w:val="17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following:</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57"/>
        </w:trPr>
        <w:tc>
          <w:tcPr>
            <w:tcW w:w="180" w:type="dxa"/>
            <w:vAlign w:val="bottom"/>
          </w:tcPr>
          <w:p>
            <w:pPr>
              <w:spacing w:after="0"/>
              <w:rPr>
                <w:sz w:val="20"/>
                <w:szCs w:val="20"/>
                <w:color w:val="auto"/>
              </w:rPr>
            </w:pPr>
            <w:r>
              <w:rPr>
                <w:rFonts w:ascii="Arial" w:cs="Arial" w:eastAsia="Arial" w:hAnsi="Arial"/>
                <w:sz w:val="14"/>
                <w:szCs w:val="14"/>
                <w:color w:val="auto"/>
              </w:rPr>
              <w:t>1.</w:t>
            </w:r>
          </w:p>
        </w:tc>
        <w:tc>
          <w:tcPr>
            <w:tcW w:w="1280" w:type="dxa"/>
            <w:vAlign w:val="bottom"/>
          </w:tcPr>
          <w:p>
            <w:pPr>
              <w:ind w:left="40"/>
              <w:spacing w:after="0"/>
              <w:rPr>
                <w:sz w:val="20"/>
                <w:szCs w:val="20"/>
                <w:color w:val="auto"/>
              </w:rPr>
            </w:pPr>
            <w:r>
              <w:rPr>
                <w:rFonts w:ascii="Arial" w:cs="Arial" w:eastAsia="Arial" w:hAnsi="Arial"/>
                <w:sz w:val="14"/>
                <w:szCs w:val="14"/>
                <w:color w:val="auto"/>
                <w:w w:val="97"/>
              </w:rPr>
              <w:t>Election of Directors</w:t>
            </w:r>
          </w:p>
        </w:tc>
        <w:tc>
          <w:tcPr>
            <w:tcW w:w="1220" w:type="dxa"/>
            <w:vAlign w:val="bottom"/>
          </w:tcPr>
          <w:p>
            <w:pPr>
              <w:spacing w:after="0"/>
              <w:rPr>
                <w:sz w:val="22"/>
                <w:szCs w:val="22"/>
                <w:color w:val="auto"/>
              </w:rPr>
            </w:pPr>
          </w:p>
        </w:tc>
        <w:tc>
          <w:tcPr>
            <w:tcW w:w="1200" w:type="dxa"/>
            <w:vAlign w:val="bottom"/>
          </w:tcPr>
          <w:p>
            <w:pPr>
              <w:jc w:val="center"/>
              <w:ind w:left="732"/>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2"/>
                <w:szCs w:val="22"/>
                <w:color w:val="auto"/>
              </w:rPr>
            </w:pP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gridSpan w:val="2"/>
          </w:tcPr>
          <w:p>
            <w:pPr>
              <w:ind w:left="160"/>
              <w:spacing w:after="0"/>
              <w:rPr>
                <w:sz w:val="20"/>
                <w:szCs w:val="20"/>
                <w:color w:val="auto"/>
              </w:rPr>
            </w:pPr>
            <w:r>
              <w:rPr>
                <w:rFonts w:ascii="Arial" w:cs="Arial" w:eastAsia="Arial" w:hAnsi="Arial"/>
                <w:sz w:val="14"/>
                <w:szCs w:val="14"/>
                <w:color w:val="auto"/>
              </w:rPr>
              <w:t>________________________________________</w:t>
            </w:r>
          </w:p>
        </w:tc>
      </w:tr>
      <w:tr>
        <w:trPr>
          <w:trHeight w:val="229"/>
        </w:trPr>
        <w:tc>
          <w:tcPr>
            <w:tcW w:w="180" w:type="dxa"/>
            <w:vAlign w:val="bottom"/>
          </w:tcPr>
          <w:p>
            <w:pPr>
              <w:spacing w:after="0"/>
              <w:rPr>
                <w:sz w:val="19"/>
                <w:szCs w:val="19"/>
                <w:color w:val="auto"/>
              </w:rPr>
            </w:pP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Nominees</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68"/>
        </w:trPr>
        <w:tc>
          <w:tcPr>
            <w:tcW w:w="180" w:type="dxa"/>
            <w:vAlign w:val="bottom"/>
          </w:tcPr>
          <w:p>
            <w:pPr>
              <w:spacing w:after="0"/>
              <w:rPr>
                <w:sz w:val="20"/>
                <w:szCs w:val="20"/>
                <w:color w:val="auto"/>
              </w:rPr>
            </w:pPr>
            <w:r>
              <w:rPr>
                <w:rFonts w:ascii="Arial" w:cs="Arial" w:eastAsia="Arial" w:hAnsi="Arial"/>
                <w:sz w:val="14"/>
                <w:szCs w:val="14"/>
                <w:color w:val="auto"/>
              </w:rPr>
              <w:t>01</w:t>
            </w:r>
          </w:p>
        </w:tc>
        <w:tc>
          <w:tcPr>
            <w:tcW w:w="1280" w:type="dxa"/>
            <w:vAlign w:val="bottom"/>
          </w:tcPr>
          <w:p>
            <w:pPr>
              <w:ind w:left="40"/>
              <w:spacing w:after="0"/>
              <w:rPr>
                <w:sz w:val="20"/>
                <w:szCs w:val="20"/>
                <w:color w:val="auto"/>
              </w:rPr>
            </w:pPr>
            <w:r>
              <w:rPr>
                <w:rFonts w:ascii="Arial" w:cs="Arial" w:eastAsia="Arial" w:hAnsi="Arial"/>
                <w:sz w:val="14"/>
                <w:szCs w:val="14"/>
                <w:color w:val="auto"/>
              </w:rPr>
              <w:t>Michael J. Bradley</w:t>
            </w:r>
          </w:p>
        </w:tc>
        <w:tc>
          <w:tcPr>
            <w:tcW w:w="1220" w:type="dxa"/>
            <w:vAlign w:val="bottom"/>
          </w:tcPr>
          <w:p>
            <w:pPr>
              <w:ind w:left="60"/>
              <w:spacing w:after="0"/>
              <w:rPr>
                <w:sz w:val="20"/>
                <w:szCs w:val="20"/>
                <w:color w:val="auto"/>
              </w:rPr>
            </w:pPr>
            <w:r>
              <w:rPr>
                <w:rFonts w:ascii="Arial" w:cs="Arial" w:eastAsia="Arial" w:hAnsi="Arial"/>
                <w:sz w:val="14"/>
                <w:szCs w:val="14"/>
                <w:color w:val="auto"/>
              </w:rPr>
              <w:t>02 Michael J. Hall</w:t>
            </w:r>
          </w:p>
        </w:tc>
        <w:tc>
          <w:tcPr>
            <w:tcW w:w="1740" w:type="dxa"/>
            <w:vAlign w:val="bottom"/>
            <w:gridSpan w:val="2"/>
          </w:tcPr>
          <w:p>
            <w:pPr>
              <w:ind w:left="140"/>
              <w:spacing w:after="0"/>
              <w:rPr>
                <w:sz w:val="20"/>
                <w:szCs w:val="20"/>
                <w:color w:val="auto"/>
              </w:rPr>
            </w:pPr>
            <w:r>
              <w:rPr>
                <w:rFonts w:ascii="Arial" w:cs="Arial" w:eastAsia="Arial" w:hAnsi="Arial"/>
                <w:sz w:val="14"/>
                <w:szCs w:val="14"/>
                <w:color w:val="auto"/>
              </w:rPr>
              <w:t>03 I. Edgar (Ed) Hendrix</w:t>
            </w: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04 Paul K. Lackey</w:t>
            </w:r>
          </w:p>
        </w:tc>
        <w:tc>
          <w:tcPr>
            <w:tcW w:w="3420" w:type="dxa"/>
            <w:vAlign w:val="bottom"/>
          </w:tcPr>
          <w:p>
            <w:pPr>
              <w:ind w:left="140"/>
              <w:spacing w:after="0"/>
              <w:rPr>
                <w:sz w:val="20"/>
                <w:szCs w:val="20"/>
                <w:color w:val="auto"/>
              </w:rPr>
            </w:pPr>
            <w:r>
              <w:rPr>
                <w:rFonts w:ascii="Arial" w:cs="Arial" w:eastAsia="Arial" w:hAnsi="Arial"/>
                <w:sz w:val="14"/>
                <w:szCs w:val="14"/>
                <w:color w:val="auto"/>
              </w:rPr>
              <w:t>05 Tom E. Maxwell</w:t>
            </w:r>
          </w:p>
        </w:tc>
      </w:tr>
      <w:tr>
        <w:trPr>
          <w:trHeight w:val="172"/>
        </w:trPr>
        <w:tc>
          <w:tcPr>
            <w:tcW w:w="180" w:type="dxa"/>
            <w:vAlign w:val="bottom"/>
          </w:tcPr>
          <w:p>
            <w:pPr>
              <w:spacing w:after="0"/>
              <w:rPr>
                <w:sz w:val="20"/>
                <w:szCs w:val="20"/>
                <w:color w:val="auto"/>
              </w:rPr>
            </w:pPr>
            <w:r>
              <w:rPr>
                <w:rFonts w:ascii="Arial" w:cs="Arial" w:eastAsia="Arial" w:hAnsi="Arial"/>
                <w:sz w:val="14"/>
                <w:szCs w:val="14"/>
                <w:color w:val="auto"/>
              </w:rPr>
              <w:t>06</w:t>
            </w:r>
          </w:p>
        </w:tc>
        <w:tc>
          <w:tcPr>
            <w:tcW w:w="1280" w:type="dxa"/>
            <w:vAlign w:val="bottom"/>
          </w:tcPr>
          <w:p>
            <w:pPr>
              <w:ind w:left="40"/>
              <w:spacing w:after="0"/>
              <w:rPr>
                <w:sz w:val="20"/>
                <w:szCs w:val="20"/>
                <w:color w:val="auto"/>
              </w:rPr>
            </w:pPr>
            <w:r>
              <w:rPr>
                <w:rFonts w:ascii="Arial" w:cs="Arial" w:eastAsia="Arial" w:hAnsi="Arial"/>
                <w:sz w:val="14"/>
                <w:szCs w:val="14"/>
                <w:color w:val="auto"/>
                <w:w w:val="93"/>
              </w:rPr>
              <w:t>David J. Tippeconnic</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r>
    </w:tbl>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The Board of Directors recommends a vote FOR the following proposal:</w:t>
      </w:r>
    </w:p>
    <w:p>
      <w:pPr>
        <w:spacing w:after="0" w:line="84" w:lineRule="exact"/>
        <w:rPr>
          <w:sz w:val="20"/>
          <w:szCs w:val="20"/>
          <w:color w:val="auto"/>
        </w:rPr>
      </w:pPr>
    </w:p>
    <w:p>
      <w:pPr>
        <w:ind w:left="320"/>
        <w:spacing w:after="0"/>
        <w:tabs>
          <w:tab w:leader="none" w:pos="52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To ratify the engagement of Deloitte &amp; Touche LLP as the Company’s independent registered public accounting firm for fiscal 2011.</w:t>
      </w:r>
    </w:p>
    <w:p>
      <w:pPr>
        <w:spacing w:after="0" w:line="80" w:lineRule="exact"/>
        <w:rPr>
          <w:sz w:val="20"/>
          <w:szCs w:val="20"/>
          <w:color w:val="auto"/>
        </w:rPr>
      </w:pPr>
    </w:p>
    <w:p>
      <w:pPr>
        <w:ind w:left="320"/>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At their discretion, the proxies are authorized to vote upon such other business as may properly come before the meeting or any postponements of adjournments</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0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140" w:lineRule="exact"/>
        <w:rPr>
          <w:sz w:val="20"/>
          <w:szCs w:val="20"/>
          <w:color w:val="auto"/>
        </w:rPr>
      </w:pPr>
    </w:p>
    <w:p>
      <w:pPr>
        <w:ind w:left="60"/>
        <w:spacing w:after="0" w:line="141" w:lineRule="exact"/>
        <w:tabs>
          <w:tab w:leader="none" w:pos="560" w:val="left"/>
          <w:tab w:leader="none" w:pos="1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649" w:lineRule="exact"/>
        <w:rPr>
          <w:sz w:val="20"/>
          <w:szCs w:val="20"/>
          <w:color w:val="auto"/>
        </w:rPr>
      </w:pPr>
    </w:p>
    <w:p>
      <w:pPr>
        <w:sectPr>
          <w:pgSz w:w="11900" w:h="16838" w:orient="portrait"/>
          <w:cols w:equalWidth="0" w:num="2">
            <w:col w:w="9440" w:space="260"/>
            <w:col w:w="1700"/>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59" w:lineRule="exact"/>
        <w:rPr>
          <w:sz w:val="20"/>
          <w:szCs w:val="20"/>
          <w:color w:val="auto"/>
        </w:rPr>
      </w:pPr>
    </w:p>
    <w:p>
      <w:pPr>
        <w:ind w:left="320"/>
        <w:spacing w:after="0" w:line="161" w:lineRule="exact"/>
        <w:tabs>
          <w:tab w:leader="none" w:pos="3920" w:val="left"/>
          <w:tab w:leader="none" w:pos="450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32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32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w:t>
      </w:r>
    </w:p>
    <w:p>
      <w:pPr>
        <w:ind w:left="320"/>
        <w:spacing w:after="0"/>
        <w:rPr>
          <w:sz w:val="20"/>
          <w:szCs w:val="20"/>
          <w:color w:val="auto"/>
        </w:rPr>
      </w:pPr>
      <w:r>
        <w:rPr>
          <w:rFonts w:ascii="Arial" w:cs="Arial" w:eastAsia="Arial" w:hAnsi="Arial"/>
          <w:sz w:val="14"/>
          <w:szCs w:val="14"/>
          <w:color w:val="auto"/>
        </w:rPr>
        <w:t>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tabs>
          <w:tab w:leader="none" w:pos="3820" w:val="left"/>
          <w:tab w:leader="none" w:pos="5760" w:val="left"/>
          <w:tab w:leader="none" w:pos="93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50430" cy="2403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4034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MATRIX SERVICE COMPANY</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Stockholders</w:t>
      </w:r>
    </w:p>
    <w:p>
      <w:pPr>
        <w:jc w:val="center"/>
        <w:ind w:right="-179"/>
        <w:spacing w:after="0" w:line="230" w:lineRule="auto"/>
        <w:rPr>
          <w:sz w:val="20"/>
          <w:szCs w:val="20"/>
          <w:color w:val="auto"/>
        </w:rPr>
      </w:pPr>
      <w:r>
        <w:rPr>
          <w:rFonts w:ascii="Arial" w:cs="Arial" w:eastAsia="Arial" w:hAnsi="Arial"/>
          <w:sz w:val="22"/>
          <w:szCs w:val="22"/>
          <w:b w:val="1"/>
          <w:bCs w:val="1"/>
          <w:color w:val="auto"/>
        </w:rPr>
        <w:t>December 2, 2010 10:30 AM CST</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88" w:lineRule="exact"/>
        <w:rPr>
          <w:sz w:val="20"/>
          <w:szCs w:val="20"/>
          <w:color w:val="auto"/>
        </w:rPr>
      </w:pPr>
    </w:p>
    <w:p>
      <w:pPr>
        <w:ind w:left="560" w:right="60"/>
        <w:spacing w:after="0" w:line="298" w:lineRule="auto"/>
        <w:rPr>
          <w:sz w:val="20"/>
          <w:szCs w:val="20"/>
          <w:color w:val="auto"/>
        </w:rPr>
      </w:pPr>
      <w:r>
        <w:rPr>
          <w:rFonts w:ascii="Arial" w:cs="Arial" w:eastAsia="Arial" w:hAnsi="Arial"/>
          <w:sz w:val="16"/>
          <w:szCs w:val="16"/>
          <w:color w:val="auto"/>
        </w:rPr>
        <w:t>The stockholder(s) hereby appoint(s) Michael J Bradley and Thomas E. Long, or either of them, as proxies, each with the power to appoint his substitute, and hereby authorizes them to represent and to vote, as designated on the reverse side of this ballot, all of the shares of Common stock of MATRIX SERVICE COMPANY that the stockholder(s) is/are entitled to vote at the Annual Meeting of stockholder(s) to be held at 10:30 AM, CST on 12/2/2010, at the 5100 East Skelly Drive Tulsa, Oklahoma 74135, and any adjournment or postponement thereof.</w:t>
      </w:r>
    </w:p>
    <w:p>
      <w:pPr>
        <w:spacing w:after="0" w:line="147" w:lineRule="exact"/>
        <w:rPr>
          <w:sz w:val="20"/>
          <w:szCs w:val="20"/>
          <w:color w:val="auto"/>
        </w:rPr>
      </w:pPr>
    </w:p>
    <w:p>
      <w:pPr>
        <w:ind w:left="560" w:right="54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2)"/>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3"/>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Roman"/>
      <w:start w:val="3"/>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lvl w:ilvl="1">
      <w:lvlJc w:val="left"/>
      <w:lvlText w:val="(%2)"/>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2019-12-10T09:07:26Z</dcterms:created>
  <dcterms:modified xsi:type="dcterms:W3CDTF">2019-12-10T09:07:26Z</dcterms:modified>
</cp:coreProperties>
</file>