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4839.xml.htm"/>
      <w:bookmarkStart w:id="1" w:name="kswkform4_17882048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PAYNE SHAWN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15333 JOHN F KENNEDY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MATRIX SERVICE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135,459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132,616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131,498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135,602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131,498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129,884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126,658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130,735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126,658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127,871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123,946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12,312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Matrix Service Company Common Stock. All Restricted Stock Units are settled solely in Cash when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disposed to satisfy tax obligation due on vest date for Stock-Settled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For this service-based award of Cash-Settled Restricted Stock Units, 25% will vest each year from August 27, 2025 to August 27,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For this service-based award of Cash-Settled Restricted Stock Units, 25% will vest each year from August 27, 2026 to August 27,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For this service-based award of Cash-Settled Restricted Stock Units, 25% will vest each year from August 29, 2024 to August 29,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For this service-based award of Cash-Settled Restricted Stock Units, 25% will vest each year from August 30, 2023 to August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Shawn P. Payne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5698" TargetMode="External"/><Relationship Id="rId5" Type="http://schemas.openxmlformats.org/officeDocument/2006/relationships/hyperlink" Target="http://www.sec.gov/cgi-bin/browse-edgar?action=getcompany&amp;CIK=0000866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871</Words>
  <Characters>4600</Characters>
  <CharactersWithSpaces>5253</CharactersWithSpaces>
  <Paragraphs>247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