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December 31, 2015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449"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449"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40"/>
          </w:cols>
          <w:pgMar w:left="240" w:top="449"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January 29, 2016 there were 27,888,217 shares of the Company’s common stock, $0.01 par value per share, issued and 26,923,728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9"/>
          </w:tcPr>
          <w:p>
            <w:pPr>
              <w:jc w:val="center"/>
              <w:ind w:right="2500"/>
              <w:spacing w:after="0"/>
              <w:rPr>
                <w:sz w:val="20"/>
                <w:szCs w:val="20"/>
                <w:color w:val="auto"/>
              </w:rPr>
            </w:pPr>
            <w:r>
              <w:rPr>
                <w:rFonts w:ascii="Arial" w:cs="Arial" w:eastAsia="Arial" w:hAnsi="Arial"/>
                <w:sz w:val="18"/>
                <w:szCs w:val="18"/>
                <w:b w:val="1"/>
                <w:bCs w:val="1"/>
                <w:color w:val="auto"/>
              </w:rPr>
              <w:t>FINANCIAL INFORMATION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6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and Six Months Ended December 31, 2015 and 2014</w:t>
              </w:r>
            </w:hyperlink>
          </w:p>
        </w:tc>
        <w:tc>
          <w:tcPr>
            <w:tcW w:w="1300" w:type="dxa"/>
            <w:vAlign w:val="bottom"/>
            <w:gridSpan w:val="3"/>
          </w:tcPr>
          <w:p>
            <w:pPr>
              <w:spacing w:after="0"/>
              <w:rPr>
                <w:sz w:val="24"/>
                <w:szCs w:val="24"/>
                <w:color w:val="auto"/>
              </w:rPr>
            </w:pPr>
          </w:p>
        </w:tc>
        <w:tc>
          <w:tcPr>
            <w:tcW w:w="440" w:type="dxa"/>
            <w:vAlign w:val="bottom"/>
          </w:tcPr>
          <w:p>
            <w:pPr>
              <w:jc w:val="center"/>
              <w:ind w:left="15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Comprehensive Income for the Three and Six Months Ended December 31, 2015 and 2014</w:t>
              </w:r>
            </w:hyperlink>
          </w:p>
        </w:tc>
        <w:tc>
          <w:tcPr>
            <w:tcW w:w="440" w:type="dxa"/>
            <w:vAlign w:val="bottom"/>
          </w:tcPr>
          <w:p>
            <w:pPr>
              <w:jc w:val="center"/>
              <w:ind w:left="15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40" w:type="dxa"/>
            <w:vAlign w:val="bottom"/>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December 31, 2015 and June 30, 2015</w:t>
              </w:r>
            </w:hyperlink>
          </w:p>
        </w:tc>
        <w:tc>
          <w:tcPr>
            <w:tcW w:w="328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center"/>
              <w:ind w:left="15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0" w:type="dxa"/>
            <w:vAlign w:val="bottom"/>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December 31, 2015 and 2014</w:t>
              </w:r>
            </w:hyperlink>
          </w:p>
        </w:tc>
        <w:tc>
          <w:tcPr>
            <w:tcW w:w="1760" w:type="dxa"/>
            <w:vAlign w:val="bottom"/>
            <w:gridSpan w:val="4"/>
          </w:tcPr>
          <w:p>
            <w:pPr>
              <w:spacing w:after="0"/>
              <w:rPr>
                <w:sz w:val="24"/>
                <w:szCs w:val="24"/>
                <w:color w:val="auto"/>
              </w:rPr>
            </w:pPr>
          </w:p>
        </w:tc>
        <w:tc>
          <w:tcPr>
            <w:tcW w:w="440" w:type="dxa"/>
            <w:vAlign w:val="bottom"/>
          </w:tcPr>
          <w:p>
            <w:pPr>
              <w:jc w:val="center"/>
              <w:ind w:left="151"/>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Condensed Consolidated Statements of Changes in Stockholders’ Equity for the Six Months Ended December 31, 2015 and 2014</w:t>
              </w:r>
            </w:hyperlink>
          </w:p>
        </w:tc>
        <w:tc>
          <w:tcPr>
            <w:tcW w:w="440" w:type="dxa"/>
            <w:vAlign w:val="bottom"/>
            <w:vMerge w:val="restart"/>
          </w:tcPr>
          <w:p>
            <w:pPr>
              <w:jc w:val="center"/>
              <w:ind w:left="151"/>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5560" w:type="dxa"/>
            <w:vAlign w:val="bottom"/>
            <w:gridSpan w:val="8"/>
          </w:tcPr>
          <w:p>
            <w:pPr>
              <w:spacing w:after="0"/>
              <w:rPr>
                <w:sz w:val="24"/>
                <w:szCs w:val="24"/>
                <w:color w:val="auto"/>
              </w:rPr>
            </w:pPr>
          </w:p>
        </w:tc>
        <w:tc>
          <w:tcPr>
            <w:tcW w:w="440" w:type="dxa"/>
            <w:vAlign w:val="bottom"/>
          </w:tcPr>
          <w:p>
            <w:pPr>
              <w:jc w:val="center"/>
              <w:ind w:left="151"/>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5"/>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440" w:type="dxa"/>
            <w:vAlign w:val="bottom"/>
          </w:tcPr>
          <w:p>
            <w:pPr>
              <w:jc w:val="center"/>
              <w:ind w:left="171"/>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100" w:type="dxa"/>
            <w:vAlign w:val="bottom"/>
            <w:gridSpan w:val="5"/>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30</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5200" w:type="dxa"/>
            <w:vAlign w:val="bottom"/>
            <w:gridSpan w:val="7"/>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rPr>
              <w:t>OTHER INFORMATION</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3">
              <w:r>
                <w:rPr>
                  <w:rFonts w:ascii="Arial" w:cs="Arial" w:eastAsia="Arial" w:hAnsi="Arial"/>
                  <w:sz w:val="18"/>
                  <w:szCs w:val="18"/>
                  <w:color w:val="0000FF"/>
                  <w:w w:val="85"/>
                </w:rPr>
                <w:t>Legal Proceedings</w:t>
              </w:r>
            </w:hyperlink>
          </w:p>
        </w:tc>
        <w:tc>
          <w:tcPr>
            <w:tcW w:w="8240" w:type="dxa"/>
            <w:vAlign w:val="bottom"/>
            <w:gridSpan w:val="12"/>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8240" w:type="dxa"/>
            <w:vAlign w:val="bottom"/>
            <w:gridSpan w:val="12"/>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Unregistered Sales of Equity Securities and Use of Proceeds</w:t>
              </w:r>
            </w:hyperlink>
          </w:p>
        </w:tc>
        <w:tc>
          <w:tcPr>
            <w:tcW w:w="5200" w:type="dxa"/>
            <w:vAlign w:val="bottom"/>
            <w:gridSpan w:val="7"/>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Defaults Upon Senior Securities</w:t>
              </w:r>
            </w:hyperlink>
          </w:p>
        </w:tc>
        <w:tc>
          <w:tcPr>
            <w:tcW w:w="5200" w:type="dxa"/>
            <w:vAlign w:val="bottom"/>
            <w:gridSpan w:val="7"/>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240" w:type="dxa"/>
            <w:vAlign w:val="bottom"/>
            <w:gridSpan w:val="10"/>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80" w:type="dxa"/>
            <w:vAlign w:val="bottom"/>
            <w:gridSpan w:val="11"/>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8240" w:type="dxa"/>
            <w:vAlign w:val="bottom"/>
            <w:gridSpan w:val="12"/>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642,860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664,563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293,524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326,925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578,271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620,229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44,553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39,458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19,410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4,603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15,372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9,200</w:t>
            </w: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78"/>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26,535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27,154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9,042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Matrix Service Company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11,557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5,929</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8"/>
        </w:trPr>
        <w:tc>
          <w:tcPr>
            <w:tcW w:w="88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82,431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79,239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(December 31, 2015— $6,105 and June 30, 2015—$561)</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199,149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81,743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86,071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386,646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373,471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Land and buildings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32,746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87,561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46,991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47,468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 and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28,874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5,196</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201,845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(123,416)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(116,782)</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85,063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70,605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71,518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3,729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572,148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561,689</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109,336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125,792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114,140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96,704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26,725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8,100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6,498</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267,087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1,244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credit facility</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267,230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277,135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Matrix Service Company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December 31, 2015,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w w:val="93"/>
              </w:rPr>
              <w:t>and June 30, 2015; 26,914,918 and 26,440,823 shares outstanding as of December 31, 2015 and June 30, 2015</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123,038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209,766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194,394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324,472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311,785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Less: Treasury stock, at cost— 973,299 shares as of December 31, 2015, and 1,447,394 shares as of June 30, 2015</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Matrix Service Company stockholders’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307,742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293,296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304,918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284,554</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572,148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561,689</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12,857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11,540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3,168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increasing (decreasing) cash, net of effects from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(9,243)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3,435</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3,247</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(19,429)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19,174</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(6,099)</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(Note 2)</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asset sales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(12,972)</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contributions from noncontrolling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under credit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Repayments of advances under credit agreement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79,239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77,115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82,431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68,568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9,112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123,038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194,394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284,554</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Capital contributions from non-controlling interest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8,433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8,433</w:t>
            </w: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12,857</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(3,815)</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 (50,337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3,245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3,245</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(615,395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Plan (8,382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obligations (200,019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304,918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282,283</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Exercise of stock options (42,450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1,731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Issuance of deferred shares (314,003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Plan (4,972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obligations (100,694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December 31,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119,852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186,437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(13,712)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(7,609)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281,794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Accounting Policies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2015, included in the Company’s Annual Report on Form 10-K for the year then ended.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2015-17 (Topic 740), Balance Sheet Classification of Deferred Taxes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20, 2015, the Financial Accounting Standards Board ("FASB") issued Accounting Standards Update ("ASU") 2015-17, which will require entities to present deferred tax assets ("DTAs") and deferred tax liabilities ("DTLs") as noncurrent in a classified balance sheet. The ASU simplifies the current guidance, which requires entities to separately present DTAs and DTLs as current and noncurrent in a classified balance sheet based on the classification of the related asset or liability. For public business entities, the ASU will be effective for annual periods beginning after December 15, 2016, and interim periods within those years with early adoption permitted. The Company has elected to retrospectively early adopt ASU 2015-17, effective for the quarter ended December 31, 2015. The quantitative effects of the change on the prior balance sheet presented, for the fiscal year ended June 30, 2015, resulted in a net reclassification of $6.6 million and $6.6 million from the "Deferred income taxes" current asset and liability financial statement line items, respectively, to the "Deferred income taxes" asset and liability financial statement line items included in the noncurrent asset and liability sections of the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(Topic 606), Revenue from Contracts with Customers</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May 28, 2014, the FASB issued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2015, the FASB deferred the effective date of ASU 2014-09 by one year. With the deferral, this ASU is now effective for annual reporting periods beginning after December 15, 2017, with early adoption now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3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will continue to differ. The ASU is effective for annual periods ending after December 15, 2016, and interim periods thereafter; early adoption is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adopt this standard on July 1, 2016.</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2015-16—Business Combinations (Topic 805)—Simplifying the Accounting for Measurement-Period Adjustments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expect to adopt this standard on July 1,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HDB Ltd. Limited Partnership</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22, 2014, the Company purchased substantially all of the assets of HDB Ltd. Limited Partnership ("HDB"). HDB, headquartered in Bakersfield, California provides construction, fabrication and turnaround services to energy companies throughout California’s central valley. The acquisition advances a strategic goal of the Company to expand into the upstream energy market. The acquisition purchase price was $5.6 million and was funded with cash on hand. Commencing on August 22, 2014, HDB's operating results are included in the Oil Gas &amp; Chemical Segment.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following table summarizes the purchase price allocation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deductible goodwill</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1,060</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5,551</w:t>
            </w: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of the recorded goodwill from the HDB acquisition is tax deductible. The operating data related to this acquisition was not material.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1,937,286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1,633,780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1,969,683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1,644,413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in balance sheet as: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81,743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114,140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96,704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Progress billings in accounts receivable at December 31, 2015 and June 30, 2015 included retentions to be collected within one year of $25.3 million and $25.2 million, respectively. Contract retentions collectible beyond one year are included in Other Assets in the Condensed Consolidated Balance Sheet and totaled $5.6 million at December 31, 2015 and $2.8 million at June 30,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three and six months ended December 31, 2014 our results of operations were materially impacted by charges resulting from a change in estimate related to an acquired EPC joint venture project in the Electrical Infrastructure segment. The charges resulted in a reduction to operating income of $22.9 million and $26.2 million and an after-tax reduction of $7.9 million and $9.0 million to net income attributable to Matrix Service Company, respectively. The Company recorded an additional charge on this project in the second quarter of fiscal 2016. The charge resulted in a reduction of operating income in the Electrical Infrastructure segment of $5.4 million and $5.5 million and a reduction of $2.0 million in net income attributable to Matrix Service Company in the three and six months ended December 31, 2015, respectively.</w:t>
      </w:r>
    </w:p>
    <w:p>
      <w:pPr>
        <w:spacing w:after="0" w:line="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fiscal 2016 project charge was attributable to higher than expected project closeout costs. The Company reached substantial completion on the project in the fourth quarter of fiscal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60,027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Cumulative impairment loss (1)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2015</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Translation adjustment (2)</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December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41,779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9,458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70,605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$25.0 million impairment charge was recorded in February 2005.</w:t>
      </w:r>
    </w:p>
    <w:p>
      <w:pPr>
        <w:spacing w:after="0" w:line="23" w:lineRule="exact"/>
        <w:rPr>
          <w:rFonts w:ascii="Arial" w:cs="Arial" w:eastAsia="Arial" w:hAnsi="Arial"/>
          <w:sz w:val="18"/>
          <w:szCs w:val="18"/>
          <w:color w:val="auto"/>
        </w:rPr>
      </w:pPr>
    </w:p>
    <w:p>
      <w:pPr>
        <w:ind w:left="540" w:right="820" w:hanging="316"/>
        <w:spacing w:after="0" w:line="26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adjustments relate to the periodic translation of Canadian Dollar denominated goodwill recorded as a part of prior Canadian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At December 31, 2015</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27,408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19,239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2015</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27,837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20,728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33,266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23,961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Amortization expense totaled $1.6 million in the six months ended December 31, 2015 and $2.4 million in the six months ended December 31, 2014. We estimate that the remaining amortization expense at December 31, 2015 will be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Period ending: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Remainder of Fiscal 2016</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1,632</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2,856</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2,490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6,835</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remaining amortization expense at December 31, 2015</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21,986</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issuances of letters of credit and other lawful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182" w:lineRule="exact"/>
        <w:rPr>
          <w:rFonts w:ascii="Arial" w:cs="Arial" w:eastAsia="Arial" w:hAnsi="Arial"/>
          <w:sz w:val="17"/>
          <w:szCs w:val="17"/>
          <w:color w:val="auto"/>
        </w:rPr>
      </w:pPr>
    </w:p>
    <w:p>
      <w:pPr>
        <w:ind w:left="1300" w:right="16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6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ind w:left="60" w:right="40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December 31, 2015, Consolidated EBITDA, as defined in the Credit Agreement, was $65.4 million. Accordingly, at December 31, 2015, there was a restriction on our ability to access the full amount of the credit facility. Consolidated Funded Indebtedness at December 31, 2015 was $22.3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36,433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54,968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163,567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8,804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40,587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133,173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95,641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Outstanding borrowings at December 31, 2015 under our Credit Agreement were used for Canadian dollar advances required for short term working capital, including cross-border purchases of materials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the Company is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w:t>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effective tax rate for the three months ended December 31, 2015 was 32.1% compared to (31.3)% in the same period a year earlier. Our effective tax rate for the six months ended December 31, 2015 was 33.8% compared to 103.8% in the same period a year earlier. Our effective tax rates for the three and six months ended December 31, 2015 and 2014, in comparison to our statutory rate, were impacted in part by the acquired EPC joint venture project charges in which the Company has a 65% interest and does not receive a tax benefit. The Company recorded a discrete benefit of $0.9 million in the three months ended December 31, 2015, primarily relating to the retroactive application of the R&amp;D tax credit. In addition, the Company recorded discrete benefits of $1.4 million in the six months ended December 31, 2015 primarily relating to the retroactive application of the R&amp;D tax credit and a foreign currency item.</w:t>
      </w:r>
    </w:p>
    <w:p>
      <w:pPr>
        <w:spacing w:after="0" w:line="1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stated in Note 1, the Company has elected to retrospectively early adopt ASU 2015-17, effective for the quarter ended December 31, 2015. The quantitative effects of the change on the prior balance sheet presented, for the fiscal year ended June 30, 2015, resulted in a reclassification of $6.6 million and $6.6 million from the "Deferred income taxes" current asset and liability financial statement line items, respectively, to the "Deferred income taxes" asset and liability financial statement line items included in the noncurrent asset and liability sections of the balance sheet.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Typically our contracts require us to indemnify our customers for injury, damage or loss arising from the performance of our services and provide warranties for materials and workmanship. The Company may also be required to name the customer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$11.3 million at December 31, 2015 and $12.7 million at June 30, 2015.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181"/>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5"/>
          </w:tcPr>
          <w:p>
            <w:pPr>
              <w:ind w:left="300"/>
              <w:spacing w:after="0"/>
              <w:rPr>
                <w:sz w:val="20"/>
                <w:szCs w:val="20"/>
                <w:color w:val="auto"/>
              </w:rPr>
            </w:pPr>
            <w:r>
              <w:rPr>
                <w:rFonts w:ascii="Arial" w:cs="Arial" w:eastAsia="Arial" w:hAnsi="Arial"/>
                <w:sz w:val="13"/>
                <w:szCs w:val="13"/>
                <w:color w:val="auto"/>
              </w:rPr>
              <w:t>(In thousands, except per share data)</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5,431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15,372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9,200</w:t>
            </w: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26,535</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0.35</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26,721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26,600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26,535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27,248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27,156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27,229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27,154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0.34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0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46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3740" w:type="dxa"/>
            <w:vAlign w:val="bottom"/>
          </w:tcPr>
          <w:p>
            <w:pPr>
              <w:spacing w:after="0"/>
              <w:rPr>
                <w:sz w:val="16"/>
                <w:szCs w:val="16"/>
                <w:color w:val="auto"/>
              </w:rPr>
            </w:pPr>
          </w:p>
        </w:tc>
        <w:tc>
          <w:tcPr>
            <w:tcW w:w="338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1360" w:type="dxa"/>
            <w:vAlign w:val="bottom"/>
          </w:tcPr>
          <w:p>
            <w:pPr>
              <w:jc w:val="right"/>
              <w:ind w:right="464"/>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6"/>
                <w:szCs w:val="16"/>
                <w:color w:val="auto"/>
              </w:rPr>
            </w:pPr>
          </w:p>
        </w:tc>
        <w:tc>
          <w:tcPr>
            <w:tcW w:w="1460" w:type="dxa"/>
            <w:vAlign w:val="bottom"/>
          </w:tcPr>
          <w:p>
            <w:pPr>
              <w:jc w:val="right"/>
              <w:ind w:right="564"/>
              <w:spacing w:after="0"/>
              <w:rPr>
                <w:sz w:val="20"/>
                <w:szCs w:val="20"/>
                <w:color w:val="auto"/>
              </w:rPr>
            </w:pPr>
            <w:r>
              <w:rPr>
                <w:rFonts w:ascii="Arial" w:cs="Arial" w:eastAsia="Arial" w:hAnsi="Arial"/>
                <w:sz w:val="14"/>
                <w:szCs w:val="14"/>
                <w:b w:val="1"/>
                <w:bCs w:val="1"/>
                <w:color w:val="auto"/>
              </w:rPr>
              <w:t>2015</w:t>
            </w:r>
          </w:p>
        </w:tc>
        <w:tc>
          <w:tcPr>
            <w:tcW w:w="13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2014</w:t>
            </w:r>
          </w:p>
        </w:tc>
      </w:tr>
      <w:tr>
        <w:trPr>
          <w:trHeight w:val="196"/>
        </w:trPr>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ind w:left="1000"/>
              <w:spacing w:after="0"/>
              <w:rPr>
                <w:sz w:val="20"/>
                <w:szCs w:val="20"/>
                <w:color w:val="auto"/>
              </w:rPr>
            </w:pPr>
            <w:r>
              <w:rPr>
                <w:rFonts w:ascii="Arial" w:cs="Arial" w:eastAsia="Arial" w:hAnsi="Arial"/>
                <w:sz w:val="14"/>
                <w:szCs w:val="14"/>
                <w:color w:val="auto"/>
              </w:rPr>
              <w:t>(In thousands)</w:t>
            </w:r>
          </w:p>
        </w:tc>
        <w:tc>
          <w:tcPr>
            <w:tcW w:w="1340" w:type="dxa"/>
            <w:vAlign w:val="bottom"/>
            <w:tcBorders>
              <w:top w:val="single" w:sz="8" w:color="auto"/>
            </w:tcBorders>
          </w:tcPr>
          <w:p>
            <w:pPr>
              <w:spacing w:after="0"/>
              <w:rPr>
                <w:sz w:val="17"/>
                <w:szCs w:val="17"/>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33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86</w:t>
            </w:r>
          </w:p>
        </w:tc>
        <w:tc>
          <w:tcPr>
            <w:tcW w:w="13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8"/>
                <w:szCs w:val="18"/>
                <w:color w:val="auto"/>
              </w:rPr>
              <w:t>105</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227</w:t>
            </w:r>
          </w:p>
        </w:tc>
      </w:tr>
      <w:tr>
        <w:trPr>
          <w:trHeight w:val="459"/>
        </w:trPr>
        <w:tc>
          <w:tcPr>
            <w:tcW w:w="3740" w:type="dxa"/>
            <w:vAlign w:val="bottom"/>
          </w:tcPr>
          <w:p>
            <w:pPr>
              <w:spacing w:after="0"/>
              <w:rPr>
                <w:sz w:val="24"/>
                <w:szCs w:val="24"/>
                <w:color w:val="auto"/>
              </w:rPr>
            </w:pPr>
          </w:p>
        </w:tc>
        <w:tc>
          <w:tcPr>
            <w:tcW w:w="3380" w:type="dxa"/>
            <w:vAlign w:val="bottom"/>
            <w:gridSpan w:val="2"/>
          </w:tcPr>
          <w:p>
            <w:pPr>
              <w:jc w:val="right"/>
              <w:ind w:right="1168"/>
              <w:spacing w:after="0"/>
              <w:rPr>
                <w:sz w:val="20"/>
                <w:szCs w:val="20"/>
                <w:color w:val="auto"/>
              </w:rPr>
            </w:pPr>
            <w:r>
              <w:rPr>
                <w:rFonts w:ascii="Arial" w:cs="Arial" w:eastAsia="Arial" w:hAnsi="Arial"/>
                <w:sz w:val="18"/>
                <w:szCs w:val="18"/>
                <w:color w:val="auto"/>
              </w:rPr>
              <w:t>- 14-</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floating roof seals.</w:t>
      </w:r>
    </w:p>
    <w:p>
      <w:pPr>
        <w:spacing w:after="0" w:line="1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thermal vacuum chambers, as well as work for clients in other industrial markets.</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2015. Intersegment sales and transfers are recorded at cost; therefore, no intersegment profit or loss is recognized.</w:t>
      </w:r>
    </w:p>
    <w:p>
      <w:pPr>
        <w:spacing w:after="0" w:line="1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Segment assets consist primarily of cash and cash equivalents,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180" w:type="dxa"/>
            <w:vAlign w:val="bottom"/>
          </w:tcPr>
          <w:p>
            <w:pPr>
              <w:jc w:val="center"/>
              <w:ind w:right="13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91,398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58,533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157,023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114,206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130,618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122,647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129,987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267,217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263,337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159,332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3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325,907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344,911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646,396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667,493</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inter-segment revenues</w:t>
            </w:r>
          </w:p>
        </w:tc>
        <w:tc>
          <w:tcPr>
            <w:tcW w:w="13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91,398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58,533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157,023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114,206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128,816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122,169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129,805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266,405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263,096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158,445</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consolidated revenues</w:t>
            </w:r>
          </w:p>
        </w:tc>
        <w:tc>
          <w:tcPr>
            <w:tcW w:w="13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323,529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342,880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642,860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664,563</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 (loss)</w:t>
            </w:r>
          </w:p>
        </w:tc>
        <w:tc>
          <w:tcPr>
            <w:tcW w:w="1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14,426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28,749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20,394</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profit</w:t>
            </w:r>
          </w:p>
        </w:tc>
        <w:tc>
          <w:tcPr>
            <w:tcW w:w="13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30,005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15,955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64,589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44,334</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17,923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10,064</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operating income</w:t>
            </w:r>
          </w:p>
        </w:tc>
        <w:tc>
          <w:tcPr>
            <w:tcW w:w="13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4,935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20,036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4"/>
                <w:szCs w:val="2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129,725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93,098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108,960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77,287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102,761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47,386</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572,148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561,689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760" w:type="dxa"/>
            <w:vAlign w:val="bottom"/>
            <w:gridSpan w:val="3"/>
            <w:vMerge w:val="restart"/>
          </w:tcPr>
          <w:p>
            <w:pPr>
              <w:jc w:val="right"/>
              <w:ind w:right="1032"/>
              <w:spacing w:after="0"/>
              <w:rPr>
                <w:sz w:val="20"/>
                <w:szCs w:val="20"/>
                <w:color w:val="auto"/>
              </w:rPr>
            </w:pPr>
            <w:r>
              <w:rPr>
                <w:rFonts w:ascii="Arial" w:cs="Arial" w:eastAsia="Arial" w:hAnsi="Arial"/>
                <w:sz w:val="18"/>
                <w:szCs w:val="18"/>
                <w:color w:val="auto"/>
              </w:rPr>
              <w:t>- 16-</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7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1, 2016, the Company completed the acquisition of Baillie Tank Equipment (“BTE”), an internationally-based company with nearly 20 years of experience in the design and manufacture of products for use on aboveground storage tanks. Founded in 1998, BTE is a provider of tank products including geodesic domes, aluminum internal floating roofs, floating suction and skimmer systems, roof drain systems, and seals. BTE is headquartered in Sydney, Australia with a manufacturing facility in Seoul, South Korea. The acquisition was funded with cash on-hand of $15.4 million. The Company is currently working through a preliminary purchase price allocation. Going forward, the business will be known as Matrix Applied Technologies and reported in the Storage Solutions segment.</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320"/>
          </w:cols>
          <w:pgMar w:left="24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2015 Annual Report on Form 10-K filed with the SEC. For more information on our critical accounting policies, see Part II, Item 7 of our fiscal 2015 Annual Report on Form 10-K. The following section provides certain information with respect to our critical accounting estimates as of the close of our most recent quarterly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five significant reporting units with goodwill representing 59%, 12%, 9%, 8% and 6% of the total goodwill balance. Our most recent annual goodwill impairment test, performed in the fourth quarter of fiscal 2015, indicated that the fair value of these reporting units exceeded their respective carrying values by 347%, 142%, 134%, 586% and 144%, respectively. The remaining 6% of total goodwill is spread between two other reporting units. The Company has considered the current economic environment and concluded that no impairment indicators existed at December 31, 2015. The Company will continue to closely monitor economic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1.5 to 15 years. The Company evaluates intangible assets with finite lives for impairment whenever events or circumstances indicate that the carrying value may not be recoverable. The Company did not observe any events or circumstances during the six months ended December 31, 2015 that would indicate that the carrying value of its intangible assets may not be recoverable. The Company's evaluation included values assigned to customer relationships in the iron and steel industry which is currently experiencing short to medium term weakness. If the Company's view of this market adversely changes or if other factors develop which change our view of the value of these relationships, the Company will reevaluate this conclusion.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$11.3 million at December 31, 2015 and $12.7 million at June 30, 2015. The amounts ultimately realized may be significantly different than the recorded amounts resulting in a material adjustment to future earnings.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2015-17 (Topic 740), Balance Sheet Classification of Deferred Taxes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20, 2015, the Financial Accounting Standards Board ("FASB") issued Accounting Standards Update ("ASU") 2015-17, which will require entities to present deferred tax assets ("DTAs") and deferred tax liabilities ("DTLs") as noncurrent in a classified balance sheet. The ASU simplifies the current guidance, which requires entities to separately present DTAs and DTLs as current and noncurrent in a classified balance sheet based on the classification of the related asset or liability. For public business entities, the ASU will be effective for annual periods beginning after December 15, 2016, and interim periods within those years, with early adoption permitted. The Company has elected to retrospectively early adopt ASU 2015-17, effective for the quarter ended December 31, 2015. The quantitative effects of the change on the prior balance sheet presented,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fiscal year ended June 30, 2015, resulted in a net reclassification of $6.6 million and $6.6 million from the "Deferred income taxes" current asset and liability financial statement line items, respectively, to the "Deferred income taxes" asset and liability financial statement line items included in the noncurrent asset and liability sections of the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(Topic 606), Revenue from Contracts with Customers</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May 28, 2014, the FASB issued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2015, the FASB deferred the effective date of ASU 2014-09 by one year. With the deferral, this ASU is now effective for annual reporting periods beginning after December 15, 2017, with early adoption now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 early adoption is permitted. We expect to adopt this standard on July 1, 2016.</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2015-16—Business Combinations (Topic 805)—Simplifying the Accounting for Measurement-Period Adjustments</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expect to adopt this standard on July 1,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floating roof seals.</w:t>
      </w:r>
    </w:p>
    <w:p>
      <w:pPr>
        <w:spacing w:after="0" w:line="1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thermal vacuum chambers, as well as work for clients in other industrial markets.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December 31, 2015 Compared to the Three Months Ended December 31,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Consolidated revenue was $323.5 million for the three months ended December 31, 2015, compared to consolidated revenue of $342.9 million in the same period in the prior fiscal year. On a segment basis, consolidated revenue increased in the Electrical Infrastructure segment by $32.9 million. This increase was offset by decreased revenue in the Industrial, Oil Gas &amp; Chemical and Storage Solutions segments of $30.7 million, $14.0 million and $7.6 million, respectively.</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Consolidated gross profit increased from $16.0 million in the three months ended December 31, 2014 to $30.0 million in the three months ended December 31, 2015. The Company recorded project charges of $5.4 million and $22.9 million on an acquired EPC joint venture project in fiscal 2016 and fiscal 2015. The charges are discussed in Note 3- Uncompleted Contracts. These charges reduced fiscal 2016 gross margins by 1.6% to 9.3% and reduced fiscal 2015 gross margins by 6.7% to 4.7% in the same period in the prior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$25.1 million in the three months ended December 31, 2015 compared to $19.6 million in the same period a year earlier.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fiscal 2016 is primarily related to a non-routine bad debt charge of $5.2 million from an unexpected client bankruptcy.</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Net interest expense was $0.2 million in the three months ended December 31, 2015. Interest expense was $0.3 million in the three months ended December 31, 2014. Fiscal 2015 results include $0.3 million of interest income attributable to an award received due to the settlement of a customer dispute.</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effective tax rate for the three months ended December 31, 2015 was 32.1% compared to (31.3%) in the same period a year earlier. Our effective tax rates for fiscal 2016 and 2015 were impacted, in part, by the acquired EPC joint venture project charges in which the Company has a 65% interest and does not receive a tax benefit. In addition, the Company recorded a discrete benefit of $0.9 million in the three months ended December 31, 2015, primarily relating to the retroactive application of the R&amp;D tax credit. The fiscal 2015 effective tax rate included an additional tax benefit of $0.8 million from the reinstatement of the R&amp;D tax credit through calendar year 2014.</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three months ended December 31, 2015, net income attributable to Matrix Service Company and the related fully diluted earnings per share were $5.4 million and $0.20 compared to net income attributable to Matrix Service Company of $3.3 million and fully diluted earnings per share of $0.12 in the same period a year earlier.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22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Revenue for the Electrical Infrastructure segment increased $32.9 million to $91.4 million in the three months ended December 31, 2015 compared to $58.5 million in the same period a year earlier as a result of volume increases in both power delivery and power generation. The Company recorded project charges of $5.4 million and $22.9 million on the acquired EPC joint venture project in fiscal 2016 and fiscal 2015. The charges are discussed in Note 3- Uncompleted Contracts. These charges reduced fiscal 2016 gross margins for this segment by 5.8% to 4.4% and reduced fiscal 2015 gross margins by 39.3% to (27.4%).</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for the Oil Gas &amp; Chemical segment was $61.5 million in the three months ended December 31, 2015 compared to $75.5 million in the same period a year earlier. The decrease of $14.0 million, or 18.5%, was due to lower levels of capital and maintenance work. Gross margins were 9.7% for the three months ended December 31, 2015 and December 31, 2014, respectively. Gross margins for fiscal 2016 and fiscal 2015 were negatively impacted by the under recovery of construction overhead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 for the Storage Solutions segment was $122.2 million in the three months ended December 31, 2015 compared to $129.8 million in the same period a year earlier, a decrease of 5.9%. The decrease is primarily attributable to lower revenue volume in our Canadian operations partially offset by higher domestic levels of balance of plant work. Gross margins were 11.8% for the three months ended December 31, 2015 compared to 11.0% in the same period a year earlier.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Revenue for the Industrial segment decreased $30.7 million to $48.4 million in the three months ended December 31, 2015 compared to $79.1 million in the same period a year earlier. The decline in revenue is primarily attributable to lower business volumes in the iron and steel and mining markets, and lower revenue recognized on a large fertilizer project that is nearing completion. Gross margins were 11.5% in the three months ended December 31, 2015 compared to 13.2% in the same period a year earlier. Fiscal 2016 margins were positively impacted by the mix of work and strong project execution. Fiscal 2015 margins were positively impacted by a favorable settlement with a customer.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2015 Compared to the Six Months Ended December 31, 2014</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Consolidated revenue was $642.9 million for the six months ended December 31, 2015, a decrease of $21.7 million, or 3.3%, from consolidated revenue of $664.6 million in the same period in the prior fiscal year. On a segment basis, consolidated revenue increased in the Electrical Infrastructure, Storage Solutions and Oil Gas &amp; Chemical segments by $42.8 million, $3.3 million and $1.1 million respectively, offset by a decrease in the Industrial segment of $68.9 million.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Consolidated gross profit was $64.6 million in the six months ended December 31, 2015 compared to $44.3 million in the six months ended December 31, 2014. The Company recorded project charges of $5.5 million and $26.2 million on the acquired EPC joint venture project in fiscal 2016 and fiscal 2015. The charges are discussed in Note 3- Uncompleted Contracts. These charges reduced fiscal 2016 gross margins by 1.1% to 10.0% and reduced fiscal 2015 gross margins by 4.4% to 6.7%.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$44.6 million in the six months ended December 31, 2015 compared to $39.5 million in the same period a year earlier.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fiscal 2016 is primarily related to a non-routine bad debt charge of $5.2 million from an unexpected client bankruptcy.</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interest expense was $0.4 million in the six months ended December 31, 2015, and $0.3 million in the six months ended December 31, 2014. Fiscal 2015 results include $0.3 million of interest income attributable to an award received due to the settlement of a customer dispute.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effective tax rate for the six months ended December 31, 2015 was 33.8% compared to 103.8% in the same period a year earlier. Our effective tax rate for fiscal 2016 and 2015 was impacted, in part, by the acquired EPC joint venture project charges in which the Company has a 65% interest and does not receive a tax benefit. In addition, the Company recorded discrete benefits of $1.4 million in the six months ended December 31, 2015 primarily relating to the retroactive application of the R&amp;D tax credit and a foreign currency item. The fiscal 2015 effective tax rate included an additional tax benefit of $0.8 million from the reinstatement of the R&amp;D tax credit through calendar year 2014.</w:t>
      </w:r>
    </w:p>
    <w:p>
      <w:pPr>
        <w:spacing w:after="0" w:line="18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For the six months ended December 31, 2015, net income attributable to Matrix Service Company and the related fully diluted earnings per share were $15.4 million and $0.56 compared to $9.2 million and $0.34 in the same period a year earlier.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Revenue for the Electrical Infrastructure segment increased $42.8 million to $157.0 million in the six months ended December 31, 2015 compared to $114.2 million in the same period a year earlier. The increased revenue volume was primarily due to volume increases in both power delivery and power generation. The Company recorded project charges of $5.5 million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$26.2 million on the acquired EPC joint venture project in fiscal 2016 and fiscal 2015. The charges are discussed in Note 3- Uncompleted Contracts. These charges reduced fiscal 2016 gross margins by 4.0% to 5.6% and reduced fiscal 2015 gross margins for this segment by 25.1% to (14.5%).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for the Oil Gas &amp; Chemical segment was $129.9 million in the six months ended December 31, 2015 compared to $128.8 million in the same period a year earlier. Revenue volumes were flat across most of the segment. Gross margins were 9.0% in the six months ended December 31, 2015 compared to 9.1% a year earlier. Gross margins for fiscal 2016 were negatively impacted by lower direct margins partially offset by the improvement in absorption of overhead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Storage Solutions segment increased to $266.4 million in the six months ended December 31, 2015 compared to $263.1 million in the same period a year earlier. The increase is primarily attributable to higher domestic levels of balance of plant work largely offset by lower revenue in our Canadian operations. Gross margins were 13.0% for the six months ended December 31, 2015 compared to 10.9% in the same period a year earlier. Fiscal 2016 margins were positively impacted by the improved recovery of construction overhead costs along with strong project execution.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 for the Industrial segment decreased $68.9 million to $89.6 million in the six months ended December 31, 2015 compared to $158.5 million in the same period a year earlier. The decline in revenue is primarily attributable to lower business volumes in the iron and steel and mining markets, and lower revenue recognized on a large fertilizer project that is nearing completion. Gross margins were 10.7% in the six months ended December 31, 2015 compared to 12.9% in the same period a year earlier. Gross margins for both periods were positively impacted by strong project execution. In addition, fiscal 2015 gross margins included a favorable settlement with a customer.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 recognized as of the reporting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September 30,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466,788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129,038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593,822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95,062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1,284,710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51,392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48,813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56,419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177,866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 delays and cancellations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(323,529)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December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426,782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116,311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506,059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67,882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1,117,034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2015:</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9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June 30,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493,973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132,985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670,493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1,420,598</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89,832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113,177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123,984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45,922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372,915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 delays and cancellations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(33,619)</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(129,851)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(266,405)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(642,860)</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426,782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116,311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506,059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1,117,034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in the Storage Solutions and Electrical Infrastructure segments typically have the greatest volatility because individual project awards can be less frequent and more significant.</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Backlog in the Industrial segment was negatively impacted by a mining-related project cancellation of $11.6 million in the first quarter as well as a slowdown in the iron and steel industry. The cancellation was not attributable to the Company's performance on the project. It is our belief that the cancellation was attributable to softness in commodity prices, including copper, to which the client is exposed.</w:t>
      </w:r>
    </w:p>
    <w:p>
      <w:pPr>
        <w:spacing w:after="0" w:line="12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Backlog in the Storage Solutions segment was negatively impacted by $22.0 million related to the indefinite delay of remaining work on a project for one of our Canadian customers for the construction of aboveground storage tanks at a storage terminal. At the onset of the project the customer anticipated receiving the appropriate permitting approvals for the pipeline that would have run from the storage terminal to the Gulf Coast of the United States. In November of 2015, the President of the United States rejected approval of the pipeline. In January 2016, the customer sued the United States government asserting the rejection of the pipeline violated the North American Free Trade Agreement. The customer was also considering deploying the storage tanks for another project that was indefinitely deferred due to the low price of crude oil. Given the uncertain outlook for crude prices and the duration of any litigation and regulatory approval process, the Company removed the remaining portion of the project from its backlog.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25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Quarterly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Accordingly, results for any interim period may not necessarily be indicative of future operating results.</w:t>
      </w:r>
    </w:p>
    <w:p>
      <w:pPr>
        <w:spacing w:after="0" w:line="11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Crude Oil and Other Commodity Price Declines</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effect of declining crude prices on our income from operations for the three and six months ended December 31, 2015 was not significant. In addition, we expect that any future impact to the Electrical Infrastructure segment will be minimal as this segment has limited exposure to the price of crude.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the mid and downstream portions of the Oil Gas &amp; Chemical segment, we expect minimal impact to our revenue volume attributable to routine maintenance and turnaround work. However, we are receiving mixed messages from our customers regarding the magnitude and timing of work and it is unclear, what, if any impact the price of crude oil will have. Additionally, some of our mid and downstream customers are integrated oil companies with exposure to the price of crude, if the prices continue at current levels or decline further during fiscal 2016, spending levels may be reduced. Our exposure to non-integrated upstream clients in the Oil Gas &amp; Chemical segment, who have direct exposure to the price of crude, is not significant.</w:t>
      </w:r>
    </w:p>
    <w:p>
      <w:pPr>
        <w:spacing w:after="0" w:line="11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our Storage Solutions segment, our customers continue to take a long-term view of the crude market and continue to be cautious short-term, particularly on larger projects. Based on the the current level and short-term outlook for crude oil prices, we do expect some reduction in customer spending. Although we do not expect the impact to future earnings to be significant, we cannot predict the direction of crude oil prices or our customers’ ultimate reaction to the market.</w:t>
      </w:r>
    </w:p>
    <w:p>
      <w:pPr>
        <w:spacing w:after="0" w:line="9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the Industrial segment, our iron and steel customers face significant uncertainty related to the slowdown in the Chinese economy and the related impact on steel imports and steel prices, the strong United States dollar, the domestic demand for steel and the impact of anti-dumping duties on steel imports. This uncertainty has reduced the capital, expansion and elective maintenance spending of our customers. We do not expect higher levels of spending until the overall uncertainty in this market is reduced and economic conditions within the industry improve. In the mining and minerals markets, we continue to see lower spending due to the softness of other commodity prices, particularly copper, to which our clients are exposed.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20" w:hanging="324"/>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gridSpan w:val="3"/>
          </w:tcPr>
          <w:p>
            <w:pPr>
              <w:ind w:left="2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r>
      <w:tr>
        <w:trPr>
          <w:trHeight w:val="196"/>
        </w:trPr>
        <w:tc>
          <w:tcPr>
            <w:tcW w:w="4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36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9,200</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652</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4,779</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5,769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10,720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11,540</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12,451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10,510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33,160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26,171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1360" w:type="dxa"/>
            <w:vAlign w:val="bottom"/>
            <w:gridSpan w:val="2"/>
          </w:tcPr>
          <w:p>
            <w:pPr>
              <w:jc w:val="right"/>
              <w:ind w:right="68"/>
              <w:spacing w:after="0"/>
              <w:rPr>
                <w:sz w:val="20"/>
                <w:szCs w:val="20"/>
                <w:color w:val="auto"/>
              </w:rPr>
            </w:pPr>
            <w:r>
              <w:rPr>
                <w:rFonts w:ascii="Arial" w:cs="Arial" w:eastAsia="Arial" w:hAnsi="Arial"/>
                <w:sz w:val="18"/>
                <w:szCs w:val="18"/>
                <w:color w:val="auto"/>
              </w:rPr>
              <w:t>- 24-</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for the six months ended December 31, 2015 were cash on hand, capacity under our senior revolving credit facility and cash generated from operations before consideration of changes in working capital. Cash on hand at December 31, 2015 totaled $82.4 million and availability under the senior revolving credit facility totaled $133.2 million resulting in available liquidity of $215.6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right="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40" w:hanging="315"/>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60" w:hanging="315"/>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Collection issues, including those caused by overall economic conditions which can lead to credit deterioration of our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constraints under our credit facility and remaining in compliance with all covenants contained in the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by one of the major financial institutions for which our deposits exceed insured deposit limits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discussed under the caption "Senior Revolving Credit Facility" included in this Financial Condition and Liquidity section of the Form 10-Q, our Credit Agreement includes a Senior Leverage Ratio covenant, which provides that Consolidated Funded Indebtedness, as of the end of any fiscal quarter, may not exceed 2.5 times Consolidated EBITDA, as defined in the Credit Agreement, over the previous four quarters. Consequently, project charges that the Company has recorded in connection with the acquired EPC joint venture have resulted in a short term capacity constraint on the Company's senior revolving credit facility Although the constraint reduces our liquidity, the Company believes that the remaining availability under our credit facility, as discussed under the caption "Senior Revolving Credit Facility" included in this Financial Condition and Liquidity section of the Form 10-Q, along with cash on hand and cash generated from operations will provide sufficient liquidity to achieve both our short and long-term business objectives.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00"/>
          </w:cols>
          <w:pgMar w:left="240" w:top="34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Six Months Ended December 31, 2015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for the six months ended December 31, 2015 totaled $6.4 million. The various components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6400" w:type="dxa"/>
            <w:vAlign w:val="bottom"/>
            <w:gridSpan w:val="2"/>
          </w:tcPr>
          <w:p>
            <w:pPr>
              <w:jc w:val="right"/>
              <w:ind w:right="3010"/>
              <w:spacing w:after="0"/>
              <w:rPr>
                <w:sz w:val="20"/>
                <w:szCs w:val="20"/>
                <w:color w:val="auto"/>
              </w:rPr>
            </w:pPr>
            <w:r>
              <w:rPr>
                <w:rFonts w:ascii="Arial" w:cs="Arial" w:eastAsia="Arial" w:hAnsi="Arial"/>
                <w:sz w:val="18"/>
                <w:szCs w:val="18"/>
                <w:b w:val="1"/>
                <w:bCs w:val="1"/>
                <w:color w:val="auto"/>
                <w:w w:val="90"/>
              </w:rPr>
              <w:t>Net Cash Provided by Operating Activities</w:t>
            </w:r>
          </w:p>
        </w:tc>
        <w:tc>
          <w:tcPr>
            <w:tcW w:w="96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p>
        </w:tc>
        <w:tc>
          <w:tcPr>
            <w:tcW w:w="6400" w:type="dxa"/>
            <w:vAlign w:val="bottom"/>
            <w:gridSpan w:val="2"/>
          </w:tcPr>
          <w:p>
            <w:pPr>
              <w:jc w:val="right"/>
              <w:ind w:right="4130"/>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0"/>
                <w:szCs w:val="20"/>
                <w:color w:val="auto"/>
              </w:rPr>
            </w:pPr>
          </w:p>
        </w:tc>
      </w:tr>
      <w:tr>
        <w:trPr>
          <w:trHeight w:val="324"/>
        </w:trPr>
        <w:tc>
          <w:tcPr>
            <w:tcW w:w="40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12,857</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16,491</w:t>
            </w:r>
          </w:p>
        </w:tc>
      </w:tr>
      <w:tr>
        <w:trPr>
          <w:trHeight w:val="27"/>
        </w:trPr>
        <w:tc>
          <w:tcPr>
            <w:tcW w:w="40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w w:val="89"/>
              </w:rPr>
              <w:t>Cash effect of changes in operating assets and liabilities</w:t>
            </w:r>
          </w:p>
        </w:tc>
        <w:tc>
          <w:tcPr>
            <w:tcW w:w="6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(24,415)</w:t>
            </w:r>
          </w:p>
        </w:tc>
      </w:tr>
      <w:tr>
        <w:trPr>
          <w:trHeight w:val="27"/>
        </w:trPr>
        <w:tc>
          <w:tcPr>
            <w:tcW w:w="40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0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6,442</w:t>
            </w:r>
          </w:p>
        </w:tc>
      </w:tr>
      <w:tr>
        <w:trPr>
          <w:trHeight w:val="20"/>
        </w:trPr>
        <w:tc>
          <w:tcPr>
            <w:tcW w:w="40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cash effect of significant changes in operating assets and liabilities at December 31, 2015 in comparison to June 30, 2015 include the following:</w:t>
      </w:r>
    </w:p>
    <w:p>
      <w:pPr>
        <w:spacing w:after="0" w:line="237" w:lineRule="exact"/>
        <w:rPr>
          <w:sz w:val="20"/>
          <w:szCs w:val="20"/>
          <w:color w:val="auto"/>
        </w:rPr>
      </w:pPr>
    </w:p>
    <w:p>
      <w:pPr>
        <w:ind w:left="980" w:right="3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change in accounts receivable caused a decrease in cash of $13.8 million. The variance is primarily attributable to higher billings in the fiscal 2016 second quarter in connection for certain large construction projects in fiscal 2016.</w:t>
      </w:r>
    </w:p>
    <w:p>
      <w:pPr>
        <w:spacing w:after="0" w:line="170" w:lineRule="exact"/>
        <w:rPr>
          <w:rFonts w:ascii="Arial" w:cs="Arial" w:eastAsia="Arial" w:hAnsi="Arial"/>
          <w:sz w:val="18"/>
          <w:szCs w:val="18"/>
          <w:color w:val="auto"/>
        </w:rPr>
      </w:pPr>
    </w:p>
    <w:p>
      <w:pPr>
        <w:ind w:left="980" w:right="40" w:hanging="324"/>
        <w:spacing w:after="0" w:line="297"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and estimated earnings in excess of billings on uncompleted contracts ("CIE") decreased $4.3 million million while billings on uncompleted contracts in excess of costs and estimated earnings ("BIE") increased $17.4 million. The net change in CIE and BIE increased cash $21.8 million for the six months ended December 31, 2015. CIE and BIE balances can experience significant day-to-day fluctuations based on the timing of when job costs are incurred, the invoicing of those job costs to the customer, and other working capital management factors. The overall net change change was primarily attributable to higher advanced billings for certain large construction projects in fiscal 2016.</w:t>
      </w:r>
    </w:p>
    <w:p>
      <w:pPr>
        <w:spacing w:after="0" w:line="158" w:lineRule="exact"/>
        <w:rPr>
          <w:rFonts w:ascii="Arial" w:cs="Arial" w:eastAsia="Arial" w:hAnsi="Arial"/>
          <w:sz w:val="16"/>
          <w:szCs w:val="16"/>
          <w:color w:val="auto"/>
        </w:rPr>
      </w:pPr>
    </w:p>
    <w:p>
      <w:pPr>
        <w:jc w:val="both"/>
        <w:ind w:left="980" w:right="10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change in accounts payable resulted in a decrease to cash of $16.7 million. The variance is primarily due to decreased business activity for the fiscal 2016 second quarter in comparison to the fiscal 2015 fourth quarter along with timing of material procurement. Revenues in the fiscal 2015 fourth quarter were $364.4 million in comparison to $323.5 for the fiscal 2016 second quarter.</w:t>
      </w:r>
    </w:p>
    <w:p>
      <w:pPr>
        <w:spacing w:after="0" w:line="165" w:lineRule="exact"/>
        <w:rPr>
          <w:rFonts w:ascii="Arial" w:cs="Arial" w:eastAsia="Arial" w:hAnsi="Arial"/>
          <w:sz w:val="17"/>
          <w:szCs w:val="17"/>
          <w:color w:val="auto"/>
        </w:rPr>
      </w:pPr>
    </w:p>
    <w:p>
      <w:pPr>
        <w:ind w:left="980" w:right="6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change in accrued wages and benefits resulted in a decrease to cash of $7.9 million driven primarily by payment of short term incentives accrued at June 30, 2015 but paid in the fiscal 2016 first quarter along with decreased business activity in the fiscal 2016 second quarter relative to the fiscal 2015 fourth quarter.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Investing activities used $7.4 million of cash in the first six months of fiscal 2016 primarily due to capital expenditures of $7.5 million. Capital expenditures consisted of $2.2 million for the purchase of construction equipment, $1.5 million for transportation and fabrication equipment, $2.6 million for office equipment, and $1.2 million for buildings. Proceeds from asset sales provided $0.1 million of cash.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Financing activities provided $6.2 million of cash in the first six months of fiscal 2016 primarily due to $8.4 million in proceeds contributed from the noncontrolling interest partner in our acquired EPC joint venture project, borrowings of $2.8 million under our credit facility, cash received for the issuance of stock options of $0.5 million, $0.2 million in cash received from employees participating in the Company's employee stock purchase program, partially offset by treasury share purchases of $4.5 million and repayments of borrowings of $4.3 million. The excess tax benefit of exercised stock options and vesting of deferred shares provided $3.2 million of cash. Cash borrowings were used for Canadian dollar advances to fund our existing Canadian operations including amounts to settle intercompany cross currency billings and other borrowings to finance our short-term working capital requirements.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175" w:lineRule="exact"/>
        <w:rPr>
          <w:sz w:val="20"/>
          <w:szCs w:val="20"/>
          <w:color w:val="auto"/>
        </w:rPr>
      </w:pPr>
    </w:p>
    <w:p>
      <w:pPr>
        <w:jc w:val="both"/>
        <w:ind w:left="60" w:right="40"/>
        <w:spacing w:after="0" w:line="264" w:lineRule="auto"/>
        <w:rPr>
          <w:sz w:val="20"/>
          <w:szCs w:val="20"/>
          <w:color w:val="auto"/>
        </w:rPr>
      </w:pPr>
      <w:r>
        <w:rPr>
          <w:rFonts w:ascii="Arial" w:cs="Arial" w:eastAsia="Arial" w:hAnsi="Arial"/>
          <w:sz w:val="18"/>
          <w:szCs w:val="18"/>
          <w:color w:val="auto"/>
        </w:rPr>
        <w:t>As noted previously in Note 5 of the Notes to Condensed Consolidated Financial Statements included in Part 1, Item 1 of this Quarterly Report on Form 10-Q, the Company has a five-year $200.0 million senior secured revolving credit facility under a credit agreement (the "Credit Agreement") that expires March 13,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182" w:lineRule="exact"/>
        <w:rPr>
          <w:rFonts w:ascii="Arial" w:cs="Arial" w:eastAsia="Arial" w:hAnsi="Arial"/>
          <w:sz w:val="17"/>
          <w:szCs w:val="17"/>
          <w:color w:val="auto"/>
        </w:rPr>
      </w:pPr>
    </w:p>
    <w:p>
      <w:pPr>
        <w:ind w:left="1300" w:right="160" w:hanging="48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60" w:hanging="48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ind w:left="60" w:right="40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December 31, 2015, Consolidated EBITDA, as defined in the Credit Agreement, was $65.4 million. Accordingly, at December 31, 2015, there was a restriction on our ability to access the full amount of the credit facility. Consolidated Funded Indebtedness at December 31, 2015 was $22.3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December 31, 2015 and June 30, 2015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36,433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54,968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163,567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8,804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40,587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133,173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95,641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Outstanding borrowings at December 31, 2015 consisted of Canadian dollar advances to fund our existing Canadian operations including amounts to settle intercompany cross currency billings and other borrowings to finance our short-term working capital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dividends on our capital stock during any fiscal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4, 2014 the Board of Directors approved a stock buyback program that replaced the program that had previously been in place. The program, which expires on December 31, 2016, allows the Company to purchase up to $25.0 million of common stock annually if sufficient liquidity exists and management believes the purchase would be beneficial to the Company's stockholders. The annual $25.0 million limitation is applied on a calendar year basis. The cumulative number of shares repurchased cannot exceed 2,653,399, which represents 10% of the shares outstanding on the date the new repurchase program was approved. As of December 31, 2015, the Company has purchased 283,772 shares under the program. No shares were purchased during fiscal 2016 under this program.</w:t>
      </w:r>
    </w:p>
    <w:p>
      <w:pPr>
        <w:spacing w:after="0" w:line="13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200,019 shares in the first six months of fiscal 2016 to satisfy these obligations. These shares were returned to the Company’s pool of treasury shares.</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973,299 treasury shares as of December 31, 2015 and intends to utilize these treasury shares solely in connection with equity awards under the Company’s stock incentive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38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to our business of crude oil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2015 and listed from time to time in our filings with the Securities and Exchange Commission;</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640" w:hanging="98"/>
        <w:spacing w:after="0"/>
        <w:tabs>
          <w:tab w:leader="none" w:pos="5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11400"/>
          </w:cols>
          <w:pgMar w:left="240" w:top="34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mining and minerals industries in particular;</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340"/>
          </w:cols>
          <w:pgMar w:left="240" w:top="341"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2015, filed with the Securities and Exchange Commission. For more information on market risk, see Part II, Item 7A in our fiscal 2015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2015. Based on the foregoing, our Chief Executive Officer and Chief Financial Officer concluded that our disclosure controls and procedures were effective at the reasonable assurance level at December 31, 2015.</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400"/>
          </w:cols>
          <w:pgMar w:left="240" w:top="34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second quarter of fiscal year 2016.</w:t>
      </w:r>
    </w:p>
    <w:p>
      <w:pPr>
        <w:spacing w:after="0" w:line="36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Announced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Plans or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to October 31, 2015</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2,369,627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November 1 to November 30, 2015</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2,369,627</w:t>
            </w: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159,945</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$22.90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to December 31, 2015</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2,369,627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19,643</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$22.21</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ind w:left="540" w:right="220" w:hanging="316"/>
        <w:spacing w:after="0" w:line="271"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November 4, 2014 the Board of Directors approved a stock buyback program. The program, which expires on December 31, 2016, allows the Company to purchase up to $25.0 million of common stock annually if sufficient liquidity exists and management believes the purchase would be beneficial to the Company's stockholders. The annual $25.0 million limitation is applied on a calendar year basis. The cumulative number of shares repurchased cannot exceed 2,653,399, which represents 10% of the shares outstanding on the date the new repurchase program was approved. No shares were purchased during the second quarter of fiscal 2016 under this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380"/>
          </w:cols>
          <w:pgMar w:left="240" w:top="34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8"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Pursuant to Section 302 of Sarbanes-Oxley Act of 2002 – CEO.</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Pursuant to Section 302 of Sarbanes-Oxley Act of 2002 – CFO.</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32.1:</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0"/>
              </w:rPr>
              <w:t>(section 906 of Sarbanes-Oxley Act of 2002) – CEO.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32.2:</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1"/>
              </w:rPr>
              <w:t>(section 906 of Sarbanes-Oxley Act of 2002) – CFO.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95:</w:t>
            </w:r>
          </w:p>
        </w:tc>
        <w:tc>
          <w:tcPr>
            <w:tcW w:w="2320" w:type="dxa"/>
            <w:vAlign w:val="bottom"/>
          </w:tcPr>
          <w:p>
            <w:pPr>
              <w:ind w:left="300"/>
              <w:spacing w:after="0"/>
              <w:rPr>
                <w:sz w:val="20"/>
                <w:szCs w:val="20"/>
                <w:color w:val="auto"/>
              </w:rPr>
            </w:pPr>
            <w:r>
              <w:rPr>
                <w:rFonts w:ascii="Arial" w:cs="Arial" w:eastAsia="Arial" w:hAnsi="Arial"/>
                <w:sz w:val="18"/>
                <w:szCs w:val="18"/>
                <w:color w:val="auto"/>
              </w:rPr>
              <w:t>Mine Safety Disclosure.</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101.INS:</w:t>
            </w:r>
          </w:p>
        </w:tc>
        <w:tc>
          <w:tcPr>
            <w:tcW w:w="2320" w:type="dxa"/>
            <w:vAlign w:val="bottom"/>
          </w:tcPr>
          <w:p>
            <w:pPr>
              <w:ind w:left="300"/>
              <w:spacing w:after="0"/>
              <w:rPr>
                <w:sz w:val="20"/>
                <w:szCs w:val="20"/>
                <w:color w:val="auto"/>
              </w:rPr>
            </w:pPr>
            <w:r>
              <w:rPr>
                <w:rFonts w:ascii="Arial" w:cs="Arial" w:eastAsia="Arial" w:hAnsi="Arial"/>
                <w:sz w:val="18"/>
                <w:szCs w:val="18"/>
                <w:color w:val="auto"/>
                <w:w w:val="94"/>
              </w:rPr>
              <w:t>XBRL Instance Document.</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101.SCH:</w:t>
            </w: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8"/>
              </w:rPr>
              <w:t>XBRL Taxonomy Schema Document.</w:t>
            </w: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101.CAL:</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101.DEF:</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101.LAB:</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101.PRE:</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5, 2016</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34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340"/>
          </w:cols>
          <w:pgMar w:left="240" w:top="341"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871"/>
        </w:trPr>
        <w:tc>
          <w:tcPr>
            <w:tcW w:w="1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2360" w:type="dxa"/>
            <w:vAlign w:val="bottom"/>
          </w:tcPr>
          <w:p>
            <w:pPr>
              <w:spacing w:after="0"/>
              <w:rPr>
                <w:sz w:val="24"/>
                <w:szCs w:val="24"/>
                <w:color w:val="auto"/>
              </w:rPr>
            </w:pPr>
          </w:p>
        </w:tc>
      </w:tr>
      <w:tr>
        <w:trPr>
          <w:trHeight w:val="709"/>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31.1:</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31.2:</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32.1:</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18 U.S.C. 1350 (section 906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32.2:</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18 U.S.C. 1350 (section 906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95:</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Mine Safety Disclosure.</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2"/>
          </w:tcPr>
          <w:p>
            <w:pPr>
              <w:ind w:left="3880"/>
              <w:spacing w:after="0"/>
              <w:rPr>
                <w:sz w:val="20"/>
                <w:szCs w:val="20"/>
                <w:color w:val="auto"/>
              </w:rPr>
            </w:pPr>
            <w:r>
              <w:rPr>
                <w:rFonts w:ascii="Arial" w:cs="Arial" w:eastAsia="Arial" w:hAnsi="Arial"/>
                <w:sz w:val="18"/>
                <w:szCs w:val="18"/>
                <w:color w:val="auto"/>
              </w:rPr>
              <w:t>- 33-</w:t>
            </w:r>
          </w:p>
        </w:tc>
        <w:tc>
          <w:tcPr>
            <w:tcW w:w="2360" w:type="dxa"/>
            <w:vAlign w:val="bottom"/>
          </w:tcPr>
          <w:p>
            <w:pPr>
              <w:spacing w:after="0"/>
              <w:rPr>
                <w:sz w:val="24"/>
                <w:szCs w:val="24"/>
                <w:color w:val="auto"/>
              </w:rPr>
            </w:pPr>
          </w:p>
        </w:tc>
      </w:tr>
    </w:tbl>
    <w:p>
      <w:pPr>
        <w:sectPr>
          <w:pgSz w:w="11900" w:h="16838" w:orient="portrait"/>
          <w:cols w:equalWidth="0" w:num="1">
            <w:col w:w="10219"/>
          </w:cols>
          <w:pgMar w:left="240" w:top="324"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5,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5,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2015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5,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2015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5,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9" w:name="page40"/>
    <w:bookmarkEnd w:id="39"/>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1551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155194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8"/>
              </w:rPr>
              <w:t>Mine or</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4"/>
              </w:rPr>
              <w:t>Received Notice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of Legal</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4"/>
              </w:rPr>
              <w:t>Operating</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4"/>
              </w:rPr>
              <w:t>of Pattern of</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of Violations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1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Mining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7"/>
              </w:rPr>
              <w:t>Violations Under</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Pending as</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2"/>
              </w:rPr>
              <w:t>S&amp;S</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Section 110(b)</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Section 104(e)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104(e)</w:t>
            </w:r>
            <w:r>
              <w:rPr>
                <w:rFonts w:ascii="Arial" w:cs="Arial" w:eastAsia="Arial" w:hAnsi="Arial"/>
                <w:sz w:val="8"/>
                <w:szCs w:val="8"/>
                <w:color w:val="auto"/>
                <w:w w:val="95"/>
              </w:rPr>
              <w:t>(7)</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Citations</w:t>
            </w:r>
            <w:r>
              <w:rPr>
                <w:rFonts w:ascii="Arial" w:cs="Arial" w:eastAsia="Arial" w:hAnsi="Arial"/>
                <w:sz w:val="8"/>
                <w:szCs w:val="8"/>
                <w:color w:val="auto"/>
                <w:w w:val="96"/>
              </w:rPr>
              <w:t>(1)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(2) Violations</w:t>
            </w:r>
            <w:r>
              <w:rPr>
                <w:rFonts w:ascii="Arial" w:cs="Arial" w:eastAsia="Arial" w:hAnsi="Arial"/>
                <w:sz w:val="8"/>
                <w:szCs w:val="8"/>
                <w:color w:val="auto"/>
                <w:w w:val="98"/>
              </w:rPr>
              <w:t>(4)</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(5)</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3"/>
              </w:rPr>
              <w:t xml:space="preserve">(6) </w:t>
            </w:r>
            <w:r>
              <w:rPr>
                <w:rFonts w:ascii="Arial" w:cs="Arial" w:eastAsia="Arial" w:hAnsi="Arial"/>
                <w:sz w:val="14"/>
                <w:szCs w:val="14"/>
                <w:color w:val="auto"/>
                <w:w w:val="93"/>
              </w:rPr>
              <w:t>(yes/no)</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of Period</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56"/>
        </w:trPr>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Freeport</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Arial" w:cs="Arial" w:eastAsia="Arial" w:hAnsi="Arial"/>
                <w:sz w:val="14"/>
                <w:szCs w:val="14"/>
                <w:color w:val="auto"/>
              </w:rPr>
              <w:t>McMoran</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76"/>
              </w:rPr>
              <w:t>8</w:t>
            </w:r>
          </w:p>
        </w:tc>
        <w:tc>
          <w:tcPr>
            <w:tcW w:w="0" w:type="dxa"/>
            <w:vAlign w:val="bottom"/>
          </w:tcPr>
          <w:p>
            <w:pPr>
              <w:spacing w:after="0"/>
              <w:rPr>
                <w:sz w:val="1"/>
                <w:szCs w:val="1"/>
                <w:color w:val="auto"/>
              </w:rPr>
            </w:pPr>
          </w:p>
        </w:tc>
      </w:tr>
      <w:tr>
        <w:trPr>
          <w:trHeight w:val="101"/>
        </w:trPr>
        <w:tc>
          <w:tcPr>
            <w:tcW w:w="112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Morenci Inc. 02-</w:t>
            </w:r>
          </w:p>
        </w:tc>
        <w:tc>
          <w:tcPr>
            <w:tcW w:w="9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00024 5CP</w:t>
            </w: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Solvay</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Arial" w:cs="Arial" w:eastAsia="Arial" w:hAnsi="Arial"/>
                <w:sz w:val="14"/>
                <w:szCs w:val="14"/>
                <w:color w:val="auto"/>
              </w:rPr>
              <w:t>Chemicals Inc.</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2</w:t>
            </w: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48-01295</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60" w:right="360" w:hanging="252"/>
        <w:spacing w:after="0" w:line="261"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39" w:lineRule="exact"/>
        <w:rPr>
          <w:rFonts w:ascii="Arial" w:cs="Arial" w:eastAsia="Arial" w:hAnsi="Arial"/>
          <w:sz w:val="13"/>
          <w:szCs w:val="13"/>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58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lvl w:ilvl="1">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2019-12-29T14:50:01Z</dcterms:created>
  <dcterms:modified xsi:type="dcterms:W3CDTF">2019-12-29T14:50:01Z</dcterms:modified>
</cp:coreProperties>
</file>