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1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449"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449"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420" w:space="720"/>
            <w:col w:w="4240"/>
          </w:cols>
          <w:pgMar w:left="240" w:top="449"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rPr>
                <w:sz w:val="20"/>
                <w:szCs w:val="20"/>
                <w:color w:val="auto"/>
              </w:rPr>
            </w:pPr>
            <w:r>
              <w:rPr>
                <w:rFonts w:ascii="Arial" w:cs="Arial" w:eastAsia="Arial" w:hAnsi="Arial"/>
                <w:sz w:val="18"/>
                <w:szCs w:val="18"/>
                <w:color w:val="auto"/>
              </w:rPr>
              <w:t>o</w:t>
            </w:r>
          </w:p>
        </w:tc>
        <w:tc>
          <w:tcPr>
            <w:tcW w:w="496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60" w:type="dxa"/>
            <w:vAlign w:val="bottom"/>
          </w:tcPr>
          <w:p>
            <w:pPr>
              <w:ind w:left="500"/>
              <w:spacing w:after="0"/>
              <w:rPr>
                <w:sz w:val="20"/>
                <w:szCs w:val="20"/>
                <w:color w:val="auto"/>
              </w:rPr>
            </w:pPr>
            <w:r>
              <w:rPr>
                <w:rFonts w:ascii="Arial" w:cs="Arial" w:eastAsia="Arial" w:hAnsi="Arial"/>
                <w:sz w:val="18"/>
                <w:szCs w:val="18"/>
                <w:color w:val="auto"/>
              </w:rPr>
              <w:t>o</w:t>
            </w: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5" w:lineRule="exact"/>
        <w:rPr>
          <w:sz w:val="24"/>
          <w:szCs w:val="24"/>
          <w:color w:val="auto"/>
        </w:rPr>
      </w:pPr>
    </w:p>
    <w:p>
      <w:pPr>
        <w:jc w:val="both"/>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As of May 7, 2018 there were 27,888,217 shares of the Company’s common stock, $0.01 par value per share, issued and 26,822,773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gridSpan w:val="9"/>
          </w:tcPr>
          <w:p>
            <w:pPr>
              <w:jc w:val="center"/>
              <w:ind w:right="242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Nine Months Ended March 31, 2018 and 2017</w:t>
              </w:r>
            </w:hyperlink>
          </w:p>
        </w:tc>
        <w:tc>
          <w:tcPr>
            <w:tcW w:w="1380" w:type="dxa"/>
            <w:vAlign w:val="bottom"/>
            <w:gridSpan w:val="3"/>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for the Three and Nine Months Ended March 31, 2018 and 2017</w:t>
              </w:r>
            </w:hyperlink>
          </w:p>
        </w:tc>
        <w:tc>
          <w:tcPr>
            <w:tcW w:w="460" w:type="dxa"/>
            <w:vAlign w:val="bottom"/>
            <w:gridSpan w:val="2"/>
          </w:tcPr>
          <w:p>
            <w:pPr>
              <w:jc w:val="center"/>
              <w:ind w:left="29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2018 and June 30, 2017</w:t>
              </w:r>
            </w:hyperlink>
          </w:p>
        </w:tc>
        <w:tc>
          <w:tcPr>
            <w:tcW w:w="33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1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Nine Months Ended March 31, 2018 and 2017</w:t>
              </w:r>
            </w:hyperlink>
          </w:p>
        </w:tc>
        <w:tc>
          <w:tcPr>
            <w:tcW w:w="1840" w:type="dxa"/>
            <w:vAlign w:val="bottom"/>
            <w:gridSpan w:val="4"/>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60" w:type="dxa"/>
            <w:vAlign w:val="bottom"/>
            <w:gridSpan w:val="1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Nine Months Ended March 31, 2018 and 2017</w:t>
              </w:r>
            </w:hyperlink>
          </w:p>
        </w:tc>
        <w:tc>
          <w:tcPr>
            <w:tcW w:w="32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160" w:type="dxa"/>
            <w:vAlign w:val="bottom"/>
            <w:gridSpan w:val="6"/>
          </w:tcPr>
          <w:p>
            <w:pPr>
              <w:spacing w:after="0"/>
              <w:rPr>
                <w:sz w:val="24"/>
                <w:szCs w:val="24"/>
                <w:color w:val="auto"/>
              </w:rPr>
            </w:pPr>
          </w:p>
        </w:tc>
        <w:tc>
          <w:tcPr>
            <w:tcW w:w="32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460" w:type="dxa"/>
            <w:vAlign w:val="bottom"/>
            <w:gridSpan w:val="2"/>
          </w:tcPr>
          <w:p>
            <w:pPr>
              <w:jc w:val="center"/>
              <w:ind w:left="19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tcBorders>
              <w:left w:val="single" w:sz="8" w:color="0000FF"/>
            </w:tcBorders>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Legal Proceedings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Unregistered Sales of Equity Securities and Use of Proceeds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60" w:type="dxa"/>
            <w:vAlign w:val="bottom"/>
            <w:gridSpan w:val="10"/>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00" w:type="dxa"/>
            <w:vAlign w:val="bottom"/>
            <w:gridSpan w:val="11"/>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905,673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230,754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253,851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727,981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847,797</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56,548</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w:t>
            </w: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0.03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26,838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Foreign currency translation gain (loss) (net of tax expense (benefit) of</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($8) and $28 for the three and nine months ended March 31, 2018,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respectively, and ($5) and $100 for the three and nine months ended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2017,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Matrix Service Company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2018— $6,294 and June 30, 2017—$9,887)</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189,156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210,953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91,180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3,737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4,913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94,298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36,556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220,668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224,296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74,378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80,274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26,296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3,944</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539,239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105,649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75,127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9,340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7,699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218,976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44,682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435</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264,221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March 31, 2018,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June 30, 2017; 26,817,618 and 26,600,562 shares outstanding as of March 31, 2018 and June 30, 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128,419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226,177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222,974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r>
      <w:tr>
        <w:trPr>
          <w:trHeight w:val="237"/>
        </w:trPr>
        <w:tc>
          <w:tcPr>
            <w:tcW w:w="8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350,288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344,348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Less: Treasury stock, at cost — 1,070,599 shares as of March 31, 2018, and 1,287,655 shares as of June 30, 2017</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331,923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321,809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539,239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Adjustments to reconcile net income to net cash provided (used) by operating activities,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15,839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5,467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(23,531)</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34,761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(45,690)</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5,449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45,902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Acquisitions (Note 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(40,819)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1,145</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r>
      <w:tr>
        <w:trPr>
          <w:trHeight w:val="27"/>
        </w:trPr>
        <w:tc>
          <w:tcPr>
            <w:tcW w:w="8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85,317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106,168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42,371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43,805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71,656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39,697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128,419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Plan (16,843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(253,124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(52,911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6,488</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March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130,330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226,177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331,923</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126,958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223,257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Retrospective adjustment for change in accounting</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 stock-based compensation forfeitures upon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2016-09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2016, as adjusted</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127,058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223,157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Plan (12,734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(22,913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(395,780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obligations (134,253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5,467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March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320,217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2017, included in the Company’s Annual Report on Form 10-K for the year then ended. The results of operations for the nine month period ended March 31, 2018 may not necessarily be indicative of the results of operations for the full year ending June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Adoption of this ASU is expected to affect the manner in which the Company determines the unit of account for its projects (i.e., performance obligations). Under existing guidance, the Company often segments its contracts for large, complex projects and recognizes revenue using multiple units of account. Upon adoption, the Company expects that similar projects will have just one performance obligation in most cases, which will result in a more constant recognition of revenue and profit over the term of the project. In addition, the Company expects that profit could be recognized earlier for contract amounts related to unapproved change orders and claims.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adopt this standard on July 1, 2018 using the modified retrospective method of application. Under the modified retrospective method, revenue recognized on completed contracts is not restated, however contracts in progress will need to be accounted for as if they were under the new standard at inception. Any difference between historical revenue and revenue under the new standard will be recorded as a cumulative effect adjustment to retained earnings as of the date of adoption. The Company has completed its preliminary analysis of its contracts and is in the process of updating its accounting policies across the organization. Based on the work performed thus far, the Company does not expect the new standard to have a material impact on its operating results or financial position.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evaluating the ASU's expected impact on our financial statements. As of June 30, 2017 the Company had $36.0 million of future minimum lease payments under non-cancelable operating leases, primarily for facilities, transportation equipment and construction equipment. See Note 8 of Item 8. Financial Statements and Supplementary Data in our 2017 Form 10-K for more information about the timing and amount of future operating lease payments, which we believe is indicative of the materiality of adoption of the ASU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The Company does not expect the adoption of ASU 2017-09 to have a material impact on its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Houston Interests, LLC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2016, the Company completed the acquisition of Houston Interests, LLC ("Houston Interests"), a premier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facilities; and process heaters. The business has been included in our Matrix PDM Engineering, Inc. subsidiary, and its operating results impact primarily the Oil Gas &amp; Chemical and Industrial segments.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all of the equity interests of Houston Interests for $42.5 million in cash, net of working capital adjustments and cash acquired. The consideration paid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equity interest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paid for working capital</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6,837</w:t>
            </w:r>
          </w:p>
        </w:tc>
      </w:tr>
      <w:tr>
        <w:trPr>
          <w:trHeight w:val="27"/>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funded the equity interest portion of the consideration paid from borrowings under the Company's senior secured revolving credit facility (See Note 5). The purchase of working capital was paid with cash on hand.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net purchase price was allocated to the major categories of assets and liabilities based on their estimated fair value at the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final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10,273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10,220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2,475</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10,331</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agreed to pay the previous owners up to $2.6 million for any unused portion of acquired warranty obligations outstanding as of June 30, 2017. This agreement was settled for $1.7 million, which was paid in July 2017. This settlement was reflected as a decrease to the acquired current liabilities and an increase to the net purchase price.</w:t>
      </w:r>
    </w:p>
    <w:p>
      <w:pPr>
        <w:spacing w:after="0" w:line="12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of Matrix Service Company and Houston Interests for the nine months ended March 31, 2017, on a pro forma basis, as though the companies had been combined as of July 1, 2016. The pro forma financial information presented in the table below is for informational purposes only and is not indicative of the results of operations that would have been achieved if the acquisition had taken place at July 1, 2016 nor should it be taken as indicative of future consolidated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Nine Months Ended</w:t>
            </w:r>
          </w:p>
        </w:tc>
      </w:tr>
      <w:tr>
        <w:trPr>
          <w:trHeight w:val="250"/>
        </w:trPr>
        <w:tc>
          <w:tcPr>
            <w:tcW w:w="78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March 31, 2017</w:t>
            </w:r>
          </w:p>
        </w:tc>
      </w:tr>
      <w:tr>
        <w:trPr>
          <w:trHeight w:val="243"/>
        </w:trPr>
        <w:tc>
          <w:tcPr>
            <w:tcW w:w="7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tcPr>
          <w:p>
            <w:pPr>
              <w:jc w:val="center"/>
              <w:ind w:right="215"/>
              <w:spacing w:after="0"/>
              <w:rPr>
                <w:sz w:val="20"/>
                <w:szCs w:val="20"/>
                <w:color w:val="auto"/>
              </w:rPr>
            </w:pPr>
            <w:r>
              <w:rPr>
                <w:rFonts w:ascii="Arial" w:cs="Arial" w:eastAsia="Arial" w:hAnsi="Arial"/>
                <w:sz w:val="18"/>
                <w:szCs w:val="18"/>
                <w:color w:val="auto"/>
                <w:w w:val="89"/>
              </w:rPr>
              <w:t>(In thousands, except for share data)</w:t>
            </w:r>
          </w:p>
        </w:tc>
      </w:tr>
      <w:tr>
        <w:trPr>
          <w:trHeight w:val="27"/>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941,536</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240" w:type="dxa"/>
            <w:vAlign w:val="bottom"/>
          </w:tcPr>
          <w:p>
            <w:pPr>
              <w:jc w:val="right"/>
              <w:ind w:right="15"/>
              <w:spacing w:after="0"/>
              <w:rPr>
                <w:sz w:val="20"/>
                <w:szCs w:val="20"/>
                <w:color w:val="auto"/>
              </w:rPr>
            </w:pPr>
            <w:r>
              <w:rPr>
                <w:rFonts w:ascii="Arial" w:cs="Arial" w:eastAsia="Arial" w:hAnsi="Arial"/>
                <w:sz w:val="18"/>
                <w:szCs w:val="18"/>
                <w:color w:val="auto"/>
              </w:rPr>
              <w:t>5,231</w:t>
            </w:r>
          </w:p>
        </w:tc>
      </w:tr>
      <w:tr>
        <w:trPr>
          <w:trHeight w:val="27"/>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0.20</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240" w:type="dxa"/>
            <w:vAlign w:val="bottom"/>
          </w:tcPr>
          <w:p>
            <w:pPr>
              <w:jc w:val="right"/>
              <w:ind w:right="15"/>
              <w:spacing w:after="0"/>
              <w:rPr>
                <w:sz w:val="20"/>
                <w:szCs w:val="20"/>
                <w:color w:val="auto"/>
              </w:rPr>
            </w:pPr>
            <w:r>
              <w:rPr>
                <w:rFonts w:ascii="Arial" w:cs="Arial" w:eastAsia="Arial" w:hAnsi="Arial"/>
                <w:sz w:val="18"/>
                <w:szCs w:val="18"/>
                <w:color w:val="auto"/>
              </w:rPr>
              <w:t>0.19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pro forma financial information presented in the table above includes the following adjustments to the combined entities' historical financial statements:</w:t>
      </w:r>
    </w:p>
    <w:p>
      <w:pPr>
        <w:spacing w:after="0" w:line="19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were adjusted to include $1.1 million of integration expenses during the nine months ended March 31, 2017 that would have been recognized had the acquisition occurred on July 1, 2016.</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 forma earnings were adjusted to include $0.7 million of interest expense during the nine months ended March 31, 2017. The interest was attributable to the assumption that the Company's borrowings of $46.0 million used to fund the net purchase price had been outstanding as of July 1, 2016. This interest was partially offset by the assumption that Houston Interests' former debt was extinguished as of July 1, 2016.</w:t>
      </w:r>
    </w:p>
    <w:p>
      <w:pPr>
        <w:spacing w:after="0" w:line="11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were adjusted to exclude $0.8 million of depreciation and intangible asset amortization expense during the nine months ended March 31, 2017. This adjustment is due to the recognition of amortizable intangible assets as part of the acquisition and the effect of fair value adjustments to acquired property, plant and equipment.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were adjusted to include income tax expense of $4.3 million during the nine months ended March 31, 2017. Houston Interests was previously an exempt entity and income taxes were not assessed in its historical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2,200,601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1,919,054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2,222,242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1,903,001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88,626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Progress billings in accounts receivable at March 31, 2018 and June 30, 2017 included retentions to be collected within one year of $23.2 million and $54.3 million, respectively. Contract retentions collectible beyond one year are included in other assets in the condensed consolidated balance sheet and totaled $1.9 million as of June 30, 2017. There were no retentions collectible beyond one year as of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fiscal 2017 results were negatively impacted by an increased cost estimate related to a large project in the Electrical Infrastructure segment, which resulted in a decrease in gross profit. The financial impact of the project was a gross profit (loss) of ($18.9) million and ($13.7) million for the three and nine months ended March 31, 2017, respectively. At March 31, 2018, the Company's scope of work is nearly complete with demobilization expected to be materially complete in the fourth quarter of fiscal 2018. The impact of the project on the Company's future results is expected to be insignificant.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(1)</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March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42,182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16,842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113,615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right="220" w:hanging="316"/>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performed our annual goodwill impairment test as of May 31, 2017, which resulted in no impairment. However, the aggregate difference between the fair values of our reporting units and their carrying amounts decreased significantly since the previous year's test as a result of market conditions at that time. While operating results for the current fiscal year have generally not met our expectations, backlog, which is a leading indicator of the Company's future performance, has exhibited growth throughout the fiscal year. As such, we weighed the significance of our current operating results with the growth in backlog and have determined that no triggering event requiring interim testing for impairment has occurred. If our view of the market opportunities or gross margins for any reporting units deteriorate, the Company could record a material impairment of goodwill.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At March 31,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45,891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At June 30, 2017</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3</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43,869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2017, the Company settled a portion of an account receivable with a customer in exchange for $50.0 million of backlog, which the Company expects to recognize as revenue over the next six years. The Company has recognized the backlog as a customer-based intangible asset with an estimated fair value of $2.0 million. The value assigned to the backlog approximated the net book value of the account receivable included in the settlement. The amortization expense will be recognized as the work is completed.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$0.9 million and $3.9 million during the three and nine months ended March 31, 2018, respectively, and $1.6 million and $3.4 million during the three and nine months ended March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remaining amortization expense related to March 31, 2018 amortizing intangible assets will be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2018</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3,837</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3,808</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2,418</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6,637</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March 31, 2018</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24,438</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March 31, 2018, Consolidated EBITDA was $40.4 million. Consolidated Funded Indebtedness at March 31, 2018 was $34.3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March 31, 2018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178,899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86,837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Cuts and Jobs Act (the "Act") was enacted on December 22, 2017. The Act makes broad and complex changes to the U.S. tax code, which have affected our current results and will affect our future results. The following are significant changes in the tax code that are effective for the Company beginning January 1, 2018:</w:t>
      </w:r>
    </w:p>
    <w:p>
      <w:pPr>
        <w:spacing w:after="0" w:line="127"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the Company's U.S. federal corporate income tax rate from 35% to a blended rate of 28.06% for fiscal 2018 as stipulated by the Internal Revenue Code for companies using a June 30th fiscal year end and to 21% for fiscal years thereafter;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generally eliminating U.S. federal income tax on dividends from foreign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current inclusion in U.S. federal taxable income of certain earnings of 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allowing full expensing of certain assets placed in service from September 27, 2017 and before January 1, 2023;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further deductibility of executive performance compensation in excess of $1.0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disallowing certain entertainment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changes in the tax code that are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eliminating the deduction for domestic production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the annual deduction for business interest;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taxing global intangible low-tax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allowing a deduction for domestically earned foreign intangible income;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 new base erosion and anti-abuse tax on payments between U.S. taxpayers and foreign related parties.</w:t>
      </w: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we have not completed our accounting for the tax effects of the Act. However, in certain cases as described below, we have made a reasonable estimate of the effects on our existing deferred tax balances and the one-time transition tax. In other cases, we have not been able to make a reasonable estimate and continue to account for those items based on our existing accounting under ASC 740.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One-time Transition Tax on Unrepatriated Earnings of Certain Foreign Subsidiaries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 includes a one-time transition tax based on our total post-1986 foreign earnings and profits (E&amp;P) for which we have previously deferred from U.S. income taxes. We have not completed in its entirety the calculations surrounding this tax, but based on our preliminary calculations, our foreign subsidiaries have overall negative E&amp;P. Therefore, we do not anticipate incurring tax related to this provision of the Act since any return of assets would be a return of capital, not earnings. Due to the preliminary nature of our calculations, no additional income taxes have been provided for any remaining undistributed foreign earnings not subject to the transition tax and any outside basis difference inherent in these entities as these amounts continue to be indefinitely reinvested in foreign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 Remeasurement</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remeasured our domestic deferred tax assets and liabilities based on the rates at which we expect them to reverse in the future. Section 15 of the Internal Revenue Code stipulates that our fiscal year ending June 30, 2018 will have a blended U.S. federal corporate income tax rate of 28.06%, which is based on the applicable tax rates before and after the Act and the number of days in the tax year. Therefore, domestic deferred taxes reversing prior to July 1, 2018 will be taxed based on the blended rate and reversals occurring thereafter will be taxed at the new 21% tax rate. Our domestic subsidiaries had a net deferred tax liability position as of December 31, 2017, which resulted in an estimated $1.2 million remeasurement reduction of our domestic net deferred tax liabilities, which increased our benefit for income taxes in the period ended December 31, 2017. Movement in the deferred tax assets and liabilities of our domestic subsidiaries during the three months ended March 31, 2018 resulted in a downward adjustment to the originally estimated remeasurement reduction from $1.2 million to $1.0 million, which resulted in an income tax expense of $0.2 million during the three months ended March 31, 2018. This remeasurement adjustment was based on our best estimate of the timing of our deferred tax reversals. As a fiscal year taxpayer, the timing of the reversal of certain deferred tax assets and liabilities during this fiscal year and beyond is uncertain. Although we have made a reasonable estimate as of March 31, 2018, we will continue to analyze certain aspects of the Act and refine our calculations, which could potentially affect the measurement of our deferred tax balances.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Act, we expect our effective income tax rate to be approximately 32.0% for the remainder of fiscal 2018. Our effective tax rate for the three and nine months ended March 31, 2018 was 14.2% and 38.1%, respectively, compared to 38.7% and 933.6%, respectively, in the same period last year. Since the Company recorded income tax benefits and net losses before income tax expense for each of the three months ended March 31, 2018 and 2017, discrete items have an inverse impact to the effective income tax rate. The rate for the three months ended March 31, 2018 was negatively impacted by a $0.7 million valuation allowance recorded on a deferred tax asset in connection with stock-based compensation and by the $0.2 million downward revision to the domestic deferred tax remeasurement adjustment discussed in the paragraph above.</w:t>
      </w:r>
    </w:p>
    <w:p>
      <w:pPr>
        <w:spacing w:after="0" w:line="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rate for the nine months ended March 31, 2018 was negatively impacted by the $0.7 million valuation allowance discussed previously and a stock-based compensation tax adjustment of $0.6 million related to awards that vested during the first and second quarters of fiscal 2018 at lower share prices than their grant date share prices. These impacts were partially offset by the $1.0 million domestic deferred tax remeasurement adjustment discussed previously.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$13.5 million at March 31, 2018 and $11.0 million at June 30, 2017.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81"/>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Arial" w:cs="Arial" w:eastAsia="Arial" w:hAnsi="Arial"/>
                <w:sz w:val="13"/>
                <w:szCs w:val="13"/>
                <w:color w:val="auto"/>
              </w:rPr>
              <w:t>(In thousands, except per share data)</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771</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26,511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26,747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26,511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276</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26,594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27,054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26,838</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0.03</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98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9"/>
              </w:rPr>
              <w:t>March 31,</w:t>
            </w:r>
          </w:p>
        </w:tc>
        <w:tc>
          <w:tcPr>
            <w:tcW w:w="15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81"/>
              <w:spacing w:after="0" w:line="153" w:lineRule="exact"/>
              <w:rPr>
                <w:sz w:val="20"/>
                <w:szCs w:val="20"/>
                <w:color w:val="auto"/>
              </w:rPr>
            </w:pPr>
            <w:r>
              <w:rPr>
                <w:rFonts w:ascii="Arial" w:cs="Arial" w:eastAsia="Arial" w:hAnsi="Arial"/>
                <w:sz w:val="14"/>
                <w:szCs w:val="14"/>
                <w:b w:val="1"/>
                <w:bCs w:val="1"/>
                <w:color w:val="auto"/>
                <w:w w:val="95"/>
              </w:rPr>
              <w:t>March 31,</w:t>
            </w:r>
          </w:p>
        </w:tc>
        <w:tc>
          <w:tcPr>
            <w:tcW w:w="128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621"/>
              <w:spacing w:after="0"/>
              <w:rPr>
                <w:sz w:val="20"/>
                <w:szCs w:val="20"/>
                <w:color w:val="auto"/>
              </w:rPr>
            </w:pPr>
            <w:r>
              <w:rPr>
                <w:rFonts w:ascii="Arial" w:cs="Arial" w:eastAsia="Arial" w:hAnsi="Arial"/>
                <w:sz w:val="14"/>
                <w:szCs w:val="14"/>
                <w:b w:val="1"/>
                <w:bCs w:val="1"/>
                <w:color w:val="auto"/>
              </w:rPr>
              <w:t>2018</w:t>
            </w:r>
          </w:p>
        </w:tc>
        <w:tc>
          <w:tcPr>
            <w:tcW w:w="12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196"/>
        </w:trPr>
        <w:tc>
          <w:tcPr>
            <w:tcW w:w="56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w w:val="89"/>
              </w:rPr>
              <w:t>(In thousands)</w:t>
            </w:r>
          </w:p>
        </w:tc>
        <w:tc>
          <w:tcPr>
            <w:tcW w:w="1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56"/>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Nonvested deferred shares</w:t>
            </w:r>
          </w:p>
        </w:tc>
        <w:tc>
          <w:tcPr>
            <w:tcW w:w="1500" w:type="dxa"/>
            <w:vAlign w:val="bottom"/>
          </w:tcPr>
          <w:p>
            <w:pPr>
              <w:jc w:val="right"/>
              <w:ind w:right="1159"/>
              <w:spacing w:after="0"/>
              <w:rPr>
                <w:sz w:val="20"/>
                <w:szCs w:val="20"/>
                <w:color w:val="auto"/>
              </w:rPr>
            </w:pPr>
            <w:r>
              <w:rPr>
                <w:rFonts w:ascii="Arial" w:cs="Arial" w:eastAsia="Arial" w:hAnsi="Arial"/>
                <w:sz w:val="18"/>
                <w:szCs w:val="18"/>
                <w:color w:val="auto"/>
                <w:w w:val="79"/>
              </w:rPr>
              <w:t>459</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w w:val="79"/>
              </w:rPr>
              <w:t>533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201"/>
              <w:spacing w:after="0"/>
              <w:rPr>
                <w:sz w:val="20"/>
                <w:szCs w:val="20"/>
                <w:color w:val="auto"/>
              </w:rPr>
            </w:pPr>
            <w:r>
              <w:rPr>
                <w:rFonts w:ascii="Arial" w:cs="Arial" w:eastAsia="Arial" w:hAnsi="Arial"/>
                <w:sz w:val="18"/>
                <w:szCs w:val="18"/>
                <w:color w:val="auto"/>
              </w:rPr>
              <w:t>276</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173</w:t>
            </w:r>
          </w:p>
        </w:tc>
      </w:tr>
      <w:tr>
        <w:trPr>
          <w:trHeight w:val="486"/>
        </w:trPr>
        <w:tc>
          <w:tcPr>
            <w:tcW w:w="6600" w:type="dxa"/>
            <w:vAlign w:val="bottom"/>
            <w:gridSpan w:val="2"/>
          </w:tcPr>
          <w:p>
            <w:pPr>
              <w:jc w:val="right"/>
              <w:ind w:right="648"/>
              <w:spacing w:after="0"/>
              <w:rPr>
                <w:sz w:val="20"/>
                <w:szCs w:val="20"/>
                <w:color w:val="auto"/>
              </w:rPr>
            </w:pPr>
            <w:r>
              <w:rPr>
                <w:rFonts w:ascii="Arial" w:cs="Arial" w:eastAsia="Arial" w:hAnsi="Arial"/>
                <w:sz w:val="18"/>
                <w:szCs w:val="18"/>
                <w:color w:val="auto"/>
              </w:rPr>
              <w:t>- 17-</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and natural gas fired power stations.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includes turnaround activities, plant maintenance, engineering and construction in primarily the downstream and midstream petroleum industries. Our customers in these industries are engaged in refining crude oil and processing, fractionating, and marketing of natural gas and natural gas liquids. Another offering is industrial cleaning services, which include hydroblasting, hydroexcavating, chemical cleaning and vacuum services. We also perform work in the petrochemical, upstream petroleum, and sulfur extraction, recovery and processing markets.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iron and steel industry is primarily for customers engaged in the production of raw steel.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2017.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14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58,378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203,201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273,215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164,036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78,859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221,664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403,008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134,507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74,254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247,902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252,259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802,318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914,513</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203,201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273,215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68,390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242,402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157,144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402,331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41,976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134,506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72,983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245,645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251,237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798,466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905,673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 (loss)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48,980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 (loss)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70,485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57,876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 (loss)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14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183,351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129,177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166,742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43,906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53,754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53,006</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539,239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586,030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- 19-</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2017 Annual Report on Form 10-K filed with the SEC. For more information on our critical accounting policies, see Part II, Item 7 of our fiscal 2017 Annual Report on Form 10-K. The following section provides certain information with respect to our critical accounting estimates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We performed our annual goodwill impairment test as of May 31, 2017, which resulted in no impairment. However, the aggregate difference between the fair values of our reporting units and their carrying amounts decreased significantly since the previous year's test as a result of market conditions at that time. While operating results for the current fiscal year have generally not met our expectations, backlog, which is a leading indicator of the Company's future performance, has exhibited growth throughout the fiscal year. As such, we weighed the significance of our current operating results with the growth in backlog and have determined that no triggering event requiring interim testing for impairment has occurred. If our view of the market opportunities or gross margins for any reporting units deteriorate, the Company could record a material impairment of goodwill.</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utilizes a discounted cash flow analysis, referred to as an income approach, and market multiples of EBITDA to determine the estimated fair value of our reporting units. Significant judgments and assumptions including forecasted project awards, discount rate, anticipated revenue growth rate, gross margins, operating expenses, working capital needs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 We also compare the combined carrying values and combined estimated fair values of our reporting units to our market capitalization for reasonableness.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4 to 15 years. The Company evaluates intangible assets with finite lives for impairment whenever events or circumstances indicate that the carrying value may not be recoverable. The Company did not observe any events or circumstances during the nine months ended March 31, 2018 that would indicate that the carrying value of its intangible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$13.5 million at March 31, 2018 and $11.0 million at June 30, 2017. The amounts ultimately realized may be significantly different than the recorded amounts resulting in a material adjustment to future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judgments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Adoption of this ASU is expected to affect the manner in which the Company determines the unit of account for its projects (i.e., performance obligations). Under existing guidance, the Company often segments its contracts for large, complex projects and recognizes revenue using multiple units of account. Upon adoption, the Company expects that similar projects will have just one performance obligation in most cases, which will result in a more constant recognition of revenue and profit over the term of the project. In addition, the Company expects that profit could be recognized earlier for contract amounts related to unapproved change orders and claims.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adopt this standard on July 1, 2018 using the modified retrospective method of application. Under the modified retrospective method, revenue recognized on completed contracts is not restated, however contracts in progress will need to be accounted for as if they were under the new standard at inception. Any difference between historical revenue and revenue under the new standard will be recorded as a cumulative effect adjustment to retained earnings as of the date of adoption. The Company has completed its preliminary analysis of its contracts and is in the process of updating its accounting policies across the organization. Based on the work performed thus far, the Company does not expect the new standard to have a material impact on its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evaluating the ASU's expected impact on our financial statements. As of June 30, 2017 the Company had $36.0 million of future minimum lease payments under non-cancelable operating leases, primarily for facilities, transportation equipment and construction equipment. See Note 8 of Item 8. Financial Statements and Supplementary Data in our 2017 Form 10-K for more information about the timing and amount of future operating lease payments, which we believe is indicative of the materiality of adoption of the ASU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The Company does not expect the adoption of ASU 2017-09 to have a material impact on its financial position, results of operations or cash flows.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and natural gas fired power stations.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includes turnaround activities, plant maintenance, engineering and construction in primarily the downstream and midstream petroleum industries. Our customers in these industries are engaged in refining crude oil and processing, fractionating, and marketing of natural gas and natural gas liquids. Another offering is industrial cleaning services, which include hydroblasting, hydroexcavating, chemical cleaning and vacuum services. We also perform work in the petrochemical, upstream petroleum, and sulfur extraction, recovery and processing markets.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iron and steel industry is primarily for customers engaged in the production of raw steel.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5" w:lineRule="exact"/>
        <w:rPr>
          <w:sz w:val="20"/>
          <w:szCs w:val="20"/>
          <w:color w:val="auto"/>
        </w:rPr>
      </w:pPr>
    </w:p>
    <w:p>
      <w:pPr>
        <w:ind w:right="4280"/>
        <w:spacing w:after="0" w:line="440" w:lineRule="auto"/>
        <w:rPr>
          <w:sz w:val="20"/>
          <w:szCs w:val="20"/>
          <w:color w:val="auto"/>
        </w:rPr>
      </w:pPr>
      <w:r>
        <w:rPr>
          <w:rFonts w:ascii="Arial" w:cs="Arial" w:eastAsia="Arial" w:hAnsi="Arial"/>
          <w:sz w:val="18"/>
          <w:szCs w:val="18"/>
          <w:b w:val="1"/>
          <w:bCs w:val="1"/>
          <w:color w:val="auto"/>
        </w:rPr>
        <w:t xml:space="preserve">Three Months Ended March 31, 2018 Compared to the Three Months Ended March 31, 2017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$245.6 million for the three months ended March 31, 2018, compared to $251.2 million in the same period in the prior fiscal year. On a segment basis, consolidated revenue decreased in the Electrical Infrastructure and Oil Gas &amp; Chemical segments by $23.6 million and $0.5 million, respectively. These decreases were partially offset by increases in consolidated revenue for the Industrial and Storage Solutions segments of $15.7 million and $2.8 million.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gross profit increased to $14.9 million in the three months ended March 31, 2018 compared to a gross loss of $2.6 million in the three months ended March 31, 2017. Gross margin increased to 6.1% in the three months ended March 31, 2018 compared to (1.0)% in the same period in the prior fiscal year. Fiscal 2018 gross margin was negatively impacted by low margin work bid in a highly competitive environment, increased levels of lower margin maintenance work, lower project execution performance, and lower than expected capital project volumes, which led to under recovery of construction overhead costs. The fiscal 2017 gross loss was primarily attributable to the financial impact of an Electrical Infrastructure project, which decreased gross profit by $18.9 million, and lower than anticipated volumes, which led to under recovery of construction overhead costs.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Consolidated SG&amp;A expenses were $20.8 million in the three months ended March 31, 2018 compared to $18.6 million in the same period a year earlier. The increase in fiscal 2018 is primarily attributable to a higher reversal of incentive compensation costs in the prior year and higher project pursuit costs.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was $0.5 million and $0.8 million in the three months ended March 31, 2018 and 2017, respectively. The lower interest expense in fiscal 2018 is primarily attributable to repayments on the senior secured revolving credit facility during the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the Tax Cuts and Jobs Act (discussed in detail in Item 1. Financial Statements, Note - 6 Income Taxes), we expect our effective income tax rate to be approximately 32.0% for the remainder of fiscal 2018. Our effective tax rate for the three months ended March 31, 2018 was 14.2% compared to 38.7% in the same period last year. Since the Company recorded income tax benefits and net losses before income tax expense for each of the three months ended March 31, 2018 and 2017, discrete items have an inverse impact to the effective income tax rate. The rate for the three months ended March 31, 2018 was negatively impacted by a $0.7 million valuation allowance recorded on a deferred tax asset in connection with stock-based compensation and by a $0.2 million domestic deferred tax remeasurement adjustment (see Item 1. Financial Statements, Note - 6 Income Taxes for discussion). The fiscal 2017 tax rate was positively impacted by discrete benefits of $0.3 million primarily related to adjustments to state net operating loss carryforwards, a reduction in the blended state income tax rate and an increase in actual tax credits over estimated tax credits for fiscal 2016. These benefits were offset by a valuation allowance on deferred tax assets related to foreign tax credit carryforwards and stock compensation expense.</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net loss and the related fully diluted loss per share were $5.2 million and $0.19, respectively, compared to net loss and related fully diluted loss per share of $13.8 million and $0.52, respectively, in the same period a year earlier.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decreased $23.6 million to $58.4 million in the three months ended March 31, 2018 compared to $82.0 million in the same period a year earlier. The decrease is due to a reduction in revenue associated with the construction of a large power generating facility compared to the prior year and a reduction in high voltage revenue. The segment gross margin of 3.0% in fiscal 2018 was negatively impacted by lower than expected direct margins, under recovery of construction overhead costs due to lower than anticipated volumes, and increased competition. The fiscal 2017 segment gross margin was (16.3)% during the same period, which was primarily attributable to the financial impact of the power generating facility project mentioned above, which decreased gross profit by $18.9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Oil Gas &amp; Chemical segment was $68.4 million in the three months ended March 31, 2018 compared to $68.9 million in the same period a year earlier. The decrease of $0.5 million is primarily attributable lower volumes of capital work offset by higher volumes of turnaround and maintenance work. The segment gross margin was 6.9% for the three months ended March 31, 2018 compared to 6.3% in the same period last year. In fiscal 2018, lower direct margins were more than offset by improved under recovery of construction overhead costs, which decreased due to cost reduction and efficiency initiatives. Fiscal 2017 gross margin was negatively impacted by lower than anticipated volume, which led to under recovery of construction overhead costs, partially offset by strong project execution.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Solutions segment was $76.9 million in the three months ended March 31, 2018 compared to $74.1 million in the same period a year earlier, an increase of $2.8 million. The increase in segment revenue is primarily a result of higher volumes of tank construction work, partially offset by lower volumes of terminal and balance of plant work. The segment gross margin was 5.4% in the three months ended March 31, 2018 and 7.4% in the three months ended March 31, 2017. The fiscal 2018 segment gross margin was negatively impacted by lower direct margins and under recovery of construction overhead costs. The fiscal 2017 segment gross margin was negatively impacted by lower than anticipated volumes, which led to under recovery of construction overhead costs, partially offset by strong project execution.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increased $15.7 million to $42.0 million in the three months ended March 31, 2018 compared to $26.3 million in the same period a year earlier. The increase in revenue is primarily attributable to higher business volumes in the iron and steel industry. The segment gross margin was 10.1% in the three months ended March 31, 2018 compared to 3.7% in the same period a year earlier. The fiscal 2018 segment gross margin was positively impacted by a favorable project closeout. Segment gross margins in both fiscal 2018 and fiscal 2017 were negatively impacted by under recovery of construction overhead costs.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80"/>
        <w:spacing w:after="0" w:line="440" w:lineRule="auto"/>
        <w:rPr>
          <w:sz w:val="20"/>
          <w:szCs w:val="20"/>
          <w:color w:val="auto"/>
        </w:rPr>
      </w:pPr>
      <w:r>
        <w:rPr>
          <w:rFonts w:ascii="Arial" w:cs="Arial" w:eastAsia="Arial" w:hAnsi="Arial"/>
          <w:sz w:val="18"/>
          <w:szCs w:val="18"/>
          <w:b w:val="1"/>
          <w:bCs w:val="1"/>
          <w:color w:val="auto"/>
        </w:rPr>
        <w:t xml:space="preserve">Nine Months Ended March 31, 2018 Compared to the Nine Months Ended March 31, 2017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Consolidated revenue was $798.5 million for the nine months ended March 31, 2018, compared to $905.7 million in the same period in the prior fiscal year. On a segment basis, consolidated revenue decreased in the Storage Solutions and Electrical Infrastructure segments by $184.0 million and $70.0 million, respectively. These decreases were partially offset by increases in consolidated revenue for the Oil Gas &amp; Chemical and Industrial segments of $85.3 million and $61.5 million, respectively.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increased from $57.9 million in the nine months ended March 31, 2017 to $70.5 million in the nine months ended March 31, 2018. Gross margin increased to 8.8% in the nine months ended March 31, 2018 compared to 6.4% in the same period in the prior fiscal year. The increase in gross margin in fiscal 2018 is primarily attributable to the financial impact of an Electrical Infrastructure project in fiscal 2017, which decreased gross profit by $13.7 million, and better recovery of overhead costs in fiscal 2018.</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SG&amp;A expenses were $63.9 million in the nine months ended March 31, 2018 compared to $56.5 million in the same period a year earlier. The increase in fiscal 2018 is primarily attributable to overhead and amortization on intangible assets associated with the December 2016 acquisition of Houston Interests (see Note 2 - Acquisitions, Item 1. Financial Statements) that expanded the Company's engineering business as well as higher project pursuit costs across the business.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was $1.8 million and $1.5 million in the nine months ended March 31, 2018 and 2017, respectively. The higher interest expense in fiscal 2018 is primarily attributable to the higher average debt balance in the current fiscal year, which is attributable to borrowings used to fund the Houston Interests acquisition that was completed in December 2016 and borrowings due to the timing of collections and disbursements on a major project in the Electrical Infrastructure segment, partially offset by repayments during the third quarter of fiscal 2018.</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Tax Cuts and Jobs Act, we expect our effective income tax rate to be approximately 32.0% for the remainder of fiscal 2018. Our effective tax rate for the nine months ended March 31, 2018 was 38.1% compared to 933.6% in the same period last year. The rate for the nine months ended March 31, 2018 was negatively impacted by a $0.7 million valuation allowance recorded on a deferred tax asset in connection with stock-based compensation and a stock-based compensation tax adjustment of $0.6 million related to awards that vested during the first and second quarters of fiscal 2018 at lower share prices than their grant date share prices. These impacts were partially offset by a $1.0 million domestic deferred tax remeasurement adjustment (see Item 1. Financial Statements, Note - 6 Income Taxes for discussion). The fiscal 2017 tax rate was positively impacted by discrete benefits of $0.9 million primarily related to the application of ASU 2016-09, adjustments to state net operating loss carryforwards, a reduction in the blended state income tax rate and an increase in actual tax credits over estimated tax credits for fiscal 2016. These benefits were offset by a valuation allowance on deferred tax assets related to foreign tax credit carryforwards and stock compensation expense.</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March 31, 2018, net income and the related fully diluted earnings per share were $3.2 million and $0.12, respectively, compared to net income and related fully diluted earnings per share of $0.8 million and $0.03,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decreased $70.0 million to $203.2 million in the nine months ended March 31, 2018 compared to $273.2 million in the same period a year earlier. The decrease is due to a reduction in revenue associated with the construction of a large power generating facility compared to the prior year and a reduction in high voltage revenue. The segment gross margin of 7.7% in fiscal 2018 was impacted by under recovery of construction overhead costs, lower than expected direct margins and increased competition. The fiscal 2017 segment gross margin was (0.3)% during the same period, which was primarily attributable to the financial impact of the power generating facility project mentioned above, which decreased gross profit by $13.7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Oil Gas &amp; Chemical segment was $242.4 million in the nine months ended March 31, 2018 compared to $157.1 million in the same period a year earlier. The increase of $85.3 million is primarily attributable to higher turnaround, maintenance and construction volumes. The segment gross margin was 11.4% for the nine months ended March 31, 2018 compared to 4.3% in the same period last year. The segment gross margin for fiscal 2018 was positively impacted by strong project execution, project closeouts, and improved recovery of construction overhead costs. Fiscal 2017 gross margin was negatively impacted by project execution issues and lower volume which led to higher under recovery of construction overhead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for the Storage Solutions segment was $218.3 million in the nine months ended March 31, 2018 compared to $402.3 million in the same period a year earlier, a decrease of $184.0 million. The decrease in segment revenue is primarily the result of delays in project awards which have prevented the Company from replacing higher revenue generated in the prior fiscal year in connection with work on the construction of a significant crude gathering terminals project. The segment gross margin was 7.8% in the nine months ended March 31, 2018 and 12.2% in the nine months ended March 31, 2017. The fiscal 2018 segment gross margin was negatively impacted by lower direct margins and under recovery of construction overhead costs. The fiscal 2017 segment gross margin was supported by strong project execution and project closeouts, partially offset by under recovery of construction overhead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Industrial segment increased $61.5 million to $134.5 million in the nine months ended March 31, 2018 compared to $73.0 million in the same period a year earlier. The increase in revenue is primarily attributable to higher business volumes in the iron and steel industry. The segment gross margin was 7.7% for the nine months ended March 31, 2018 compared to 4.1% for the same period a year earlier. The fiscal 2018 segment gross margin was positively impacted by higher volumes, which led to improved recovery of construction overhead costs, and a favorable project closeout. The fiscal 2017 segment gross margin was negatively impacted by lower than anticipated volumes, which led to increased under recovery of construction overhead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long-term maintenance contracts with no minimum commitments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94,873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238,681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186,265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205,215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725,034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44,652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43,347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229,060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117,761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434,820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(245,645)</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81,147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213,638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338,424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281,000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914,209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162,637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287,007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141,551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91,078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682,273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121,711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169,033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415,230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324,428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1,030,402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(798,466)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81,147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213,638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338,424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281,000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914,209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volatility may increase for some segments from time to time when individual project awards are less frequent, but more significant.</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change in backlog in the Electrical Infrastructure segment during the nine months ended March 31, 2018 is mainly attributable to work related to a major power generation project that is nearing completion partially offset by high voltage awards. The Company is seeing decreased activity in this segment caused by a decline in the demand for power generation facilities and increased competition for high voltage projects in our traditional markets.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backlog in the Oil, Gas &amp; Chemical segment during the nine months ended March 31, 2018 is mainly attributable to progress on previously announced awards, partially offset by new project awards. The level of awards in the segment has generally met our expectations. The lower book-to-bill ratio is primarily a result of higher capital work volumes related to a major capital project awarded in the prior fiscal year.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backlog in the Storage Solutions segment during the nine months ended March 31, 2018 is attributable to increased project awards, including a significant terminal award. We expect backlog in this segment to continue to grow in the near term based on favorable market conditions and our bidding opportunities.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backlog in the Industrial segment during the nine months ended March 31, 2018 is primarily attributable to a significant award for a thermal vacuum chamber and significant awards for capital projects and maintenance work in the iron and steel industry. We expect spending from our iron and steel customers to remain strong in the near term.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include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Market Uncertainty</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prolonged decline in crude oil prices beginning in late 2014 has caused sustained uncertainty in the energy industry, which although improving, has negatively impacted our fiscal year to date operating results, particularly in the Storage Solutions segment. However, since the beginning of fiscal 2018, the price of West Texas Intermediate Crude Oil has increased nearly 40%, which is a positive development for our customers in both the Storage Solutions and Oil Gas &amp; Chemical segments. With the increasing price of crude oil, we are seeing some near-term positive developments in our Storage Solutions segment backlog such as book-to-bill ratios of 3.0 and 1.9 observed during the three and nine months ended March 31, 2018, respectively. However, crude oil futures are currently exhibiting "backwardation", which occurs when the price of crude oil futures decline as the months go further into the future. This may indicate that market participants believe the current price of crude oil is temporarily elevated and that it may decline in the near to intermediate term. Our customers' spending on large capital projects in the Storage Solutions and Oil Gas &amp; Chemical segments is heavily influenced by their expectations of long-term commodity prices. As such, the Company expects that a flattening or reversal of the crude oil backwardation along with sustained or increasing crude oil prices will lead to our customers pursuing more capital projects.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Industrial segment, our iron and steel customers have increased maintenance spending and resumed major capital projects in response to improving business conditions led by rising steel prices, a stronger U.S. economy and a weaker U.S. Dollar. In the mining and minerals markets, copper prices have increased since the beginning of fiscal 2018. As a result, we are seeing increased bidding activity, but we have not yet seen a corresponding increase in project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fluctuation in commodity prices to have a significant impact on the Electrical Infrastructure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is a supplemental, non-GAAP financial measure. EBITDA is defined as net income (loss) before interest expense, income taxes, depreciation and amortization. We have presented Adjusted EBITDA, which we define as net income (loss) attributable to Matrix Service Company before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attributable to Matrix Service Company”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attributable to Matrix Service Company,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83" w:lineRule="exact"/>
        <w:rPr>
          <w:sz w:val="20"/>
          <w:szCs w:val="20"/>
          <w:color w:val="auto"/>
        </w:rPr>
      </w:pPr>
    </w:p>
    <w:p>
      <w:pPr>
        <w:ind w:left="980" w:right="240" w:hanging="324"/>
        <w:spacing w:after="0" w:line="31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8" w:lineRule="exact"/>
        <w:rPr>
          <w:rFonts w:ascii="Arial" w:cs="Arial" w:eastAsia="Arial" w:hAnsi="Arial"/>
          <w:sz w:val="18"/>
          <w:szCs w:val="18"/>
          <w:color w:val="auto"/>
        </w:rPr>
      </w:pPr>
    </w:p>
    <w:p>
      <w:pPr>
        <w:ind w:left="5640" w:hanging="98"/>
        <w:spacing w:after="0"/>
        <w:tabs>
          <w:tab w:leader="none" w:pos="5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(loss) attributable to Matrix Service Company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1,573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15,839</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22,797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16,960</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nine months ended March 31, 2018 were cash on hand, capacity under our senior secured revolving credit facility and cash generated from operations before consideration of changes in working capital. Cash on hand at March 31, 2018 totaled $46.9 million and availability under the senior secured revolving credit facility totaled $86.8 million resulting in available liquidity of $133.7 million as of March 31, 2018, which was $34.1 million higher than liquidity as of December 31, 2017 and $11.5 million higher than liquidity as of June 30, 2017. The Company's liquidity continues to be adequate to support its long-term strategic growth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March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99,669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decrease in cash</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(27,202)</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repayments on credit facility</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41,252</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March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133,722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nine months ended March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122,206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3,080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repayments on credit facility</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35,545</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March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133,722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this Financial Condition and Liquidity section of the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w:t>
      </w:r>
    </w:p>
    <w:p>
      <w:pPr>
        <w:sectPr>
          <w:pgSz w:w="11900" w:h="16838" w:orient="portrait"/>
          <w:cols w:equalWidth="0" w:num="1">
            <w:col w:w="11420"/>
          </w:cols>
          <w:pgMar w:left="240" w:top="341"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Nine Months Ended March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for the nine months ended March 31, 2018 totaled $45.9 million. The various components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6960" w:type="dxa"/>
            <w:vAlign w:val="bottom"/>
            <w:gridSpan w:val="2"/>
          </w:tcPr>
          <w:p>
            <w:pPr>
              <w:jc w:val="right"/>
              <w:ind w:right="3050"/>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6960" w:type="dxa"/>
            <w:vAlign w:val="bottom"/>
            <w:gridSpan w:val="2"/>
          </w:tcPr>
          <w:p>
            <w:pPr>
              <w:jc w:val="right"/>
              <w:ind w:right="41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324"/>
        </w:trPr>
        <w:tc>
          <w:tcPr>
            <w:tcW w:w="3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9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21,535</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18,223</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45,902</w:t>
            </w:r>
          </w:p>
        </w:tc>
      </w:tr>
      <w:tr>
        <w:trPr>
          <w:trHeight w:val="20"/>
        </w:trPr>
        <w:tc>
          <w:tcPr>
            <w:tcW w:w="35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March 31, 2018 in comparison to June 30, 2017 include the following:</w:t>
      </w:r>
    </w:p>
    <w:p>
      <w:pPr>
        <w:spacing w:after="0" w:line="225" w:lineRule="exact"/>
        <w:rPr>
          <w:sz w:val="20"/>
          <w:szCs w:val="20"/>
          <w:color w:val="auto"/>
        </w:rPr>
      </w:pPr>
    </w:p>
    <w:p>
      <w:pPr>
        <w:ind w:left="980" w:right="2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Accounts receivable, net of bad debt expense recognized during the period and the settlement of $2.0 million of accounts receivable in exchange for backlog (see Item 1. Financial Statements, Note 4 - Intangible Assets Including Goodwill), decreased by $19.8 million during the nine months ended March 31, 2018, which increased cash flows from operating activities. The variance is attributable to the timing of billing and collections and declining business volumes during the fiscal year.</w:t>
      </w:r>
    </w:p>
    <w:p>
      <w:pPr>
        <w:spacing w:after="0" w:line="186" w:lineRule="exact"/>
        <w:rPr>
          <w:rFonts w:ascii="Arial" w:cs="Arial" w:eastAsia="Arial" w:hAnsi="Arial"/>
          <w:sz w:val="18"/>
          <w:szCs w:val="18"/>
          <w:color w:val="auto"/>
        </w:rPr>
      </w:pPr>
    </w:p>
    <w:p>
      <w:pPr>
        <w:ind w:left="980" w:right="64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Accounts payable decreased by $37.7 million during the nine months ended March 31, 2018, which reduced cash flows from operating activities. The variance is primarily attributable to the timing of vendor payments and declining business volumes during the fiscal year.</w:t>
      </w:r>
    </w:p>
    <w:p>
      <w:pPr>
        <w:spacing w:after="0" w:line="150" w:lineRule="exact"/>
        <w:rPr>
          <w:rFonts w:ascii="Arial" w:cs="Arial" w:eastAsia="Arial" w:hAnsi="Arial"/>
          <w:sz w:val="16"/>
          <w:szCs w:val="16"/>
          <w:color w:val="auto"/>
        </w:rPr>
      </w:pPr>
    </w:p>
    <w:p>
      <w:pPr>
        <w:ind w:left="5640" w:hanging="98"/>
        <w:spacing w:after="0"/>
        <w:tabs>
          <w:tab w:leader="none" w:pos="5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right="140" w:hanging="324"/>
        <w:spacing w:after="0" w:line="25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$24.2 million, which increased cash flows from operating activities. Billings on uncompleted contracts in excess of costs and estimated earnings ("BIE") increased $13.5 million, which increased cash flows from operating activities. The net change in CIE and BIE increased cash $37.7 million for the nine months ended March 31, 2018. CIE and BIE balances can experience significant fluctuations based on the timing of when job costs are incurred and the invoicing of those job costs to the customer.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used $7.0 million of cash in the nine months ended March 31, 2018 primarily due to $6.2 million of capital expenditures and a $1.7 million working capital payment in connection with the Houston Interests acquisition. Capital expenditures consisted of: $2.2 million for software and office equipment, $1.5 million for transportation and fabrication equipment, $1.3 million for construction equipment, and $1.2 million for buildings. Proceeds from asset sales provided $0.9 million of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Financing activities used $36.3 million of cash in the nine months ended March 31, 2018 primarily due to net repayments of $35.5 million under our credit facility, the repurchase of $0.6 million of Company stock for payment of withholding taxes due on equity-based compensation, and the payment of $0.4 million for debt amendment fees, partially offset by $0.2 million of proceeds from the issuance of common stock under the employee stock purchase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March 31, 2018, Consolidated EBITDA was $40.4 million. Consolidated Funded Indebtedness at March 31, 2018 was $34.3 million.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EBITDA, as defined in the Credit Agreement, differs from Adjusted EBITDA, as reported under "Results of Operations - Non-GAAP Financial Measure," in Item 7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 The Company excluded as extraordinary items the acquisition and integration costs incurred during the previous four quarters.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March 31, 2018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178,899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86,837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580"/>
        <w:spacing w:after="0" w:line="438" w:lineRule="auto"/>
        <w:rPr>
          <w:sz w:val="20"/>
          <w:szCs w:val="20"/>
          <w:color w:val="auto"/>
        </w:rPr>
      </w:pPr>
      <w:r>
        <w:rPr>
          <w:rFonts w:ascii="Arial" w:cs="Arial" w:eastAsia="Arial" w:hAnsi="Arial"/>
          <w:sz w:val="18"/>
          <w:szCs w:val="18"/>
          <w:color w:val="auto"/>
        </w:rPr>
        <w:t xml:space="preserve">At March 31, 2018,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12, 2016, the Board of Directors approved a new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it is modified or revoked by the Board of Directors. No shares have been repurchased under the December 2016 Program as of March 31, 2018.</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1,070,599 treasury shares as of March 31, 2018 and intends to utilize these treasury shares in connection with equity awards under the Company’s stock incentive plans and for sales to the Employee Stock Purchase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impact of the Tax Cuts and Jobs Act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2017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agricultural and mining industries in particular;</w:t>
      </w:r>
    </w:p>
    <w:p>
      <w:pPr>
        <w:spacing w:after="0" w:line="248"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2017, filed with the Securities and Exchange Commission. For more information on market risk, see Part II, Item 7A in our fiscal 2017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2018. Based on the foregoing, our Chief Executive Officer and Chief Financial Officer concluded that our disclosure controls and procedures were effective at the reasonable assurance level at March 31, 2018.</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third quarter of fiscal year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January 1 to January 31, 2018</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1,824,817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February 1 to February 28,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1,824,817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1 to March 31, 2018</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1,824,817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52"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as the maximum number of shares that may yet be purchased was calculated using the closing price of our stock on the last trading day of the quarter and the cumulative limit of $25.0 million remaining under the program as of the end of the quarter.</w:t>
      </w:r>
    </w:p>
    <w:p>
      <w:pPr>
        <w:spacing w:after="0" w:line="220" w:lineRule="exact"/>
        <w:rPr>
          <w:rFonts w:ascii="Arial" w:cs="Arial" w:eastAsia="Arial" w:hAnsi="Arial"/>
          <w:sz w:val="18"/>
          <w:szCs w:val="18"/>
          <w:color w:val="auto"/>
        </w:rPr>
      </w:pPr>
    </w:p>
    <w:p>
      <w:pPr>
        <w:ind w:left="5640" w:hanging="98"/>
        <w:spacing w:after="0"/>
        <w:tabs>
          <w:tab w:leader="none" w:pos="5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194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Pursuant to Section 302 of Sarbanes-Oxley Act of 2002 – CEO.</w:t>
              </w:r>
            </w:hyperlink>
          </w:p>
        </w:tc>
        <w:tc>
          <w:tcPr>
            <w:tcW w:w="1240" w:type="dxa"/>
            <w:vAlign w:val="bottom"/>
            <w:gridSpan w:val="2"/>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55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Pursuant to Section 302 of Sarbanes-Oxley Act of 2002 – CFO.</w:t>
              </w:r>
            </w:hyperlink>
          </w:p>
        </w:tc>
        <w:tc>
          <w:tcPr>
            <w:tcW w:w="1260" w:type="dxa"/>
            <w:vAlign w:val="bottom"/>
            <w:gridSpan w:val="3"/>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68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Pursuant to 18 U.S.C. 1350 (section 906 of Sarbanes-Oxley Act of 2002) – CEO.</w:t>
              </w:r>
            </w:hyperlink>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6800" w:type="dxa"/>
            <w:vAlign w:val="bottom"/>
            <w:gridSpan w:val="5"/>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Pursuant to 18 U.S.C. 1350 (section 906 of Sarbanes-Oxley Act of 2002) – CFO.</w:t>
              </w:r>
            </w:hyperlink>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6780" w:type="dxa"/>
            <w:vAlign w:val="bottom"/>
            <w:tcBorders>
              <w:top w:val="single" w:sz="8" w:color="0000FF"/>
            </w:tcBorders>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w:t>
              </w:r>
            </w:hyperlink>
          </w:p>
        </w:tc>
        <w:tc>
          <w:tcPr>
            <w:tcW w:w="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412"/>
        </w:trPr>
        <w:tc>
          <w:tcPr>
            <w:tcW w:w="1940" w:type="dxa"/>
            <w:vAlign w:val="bottom"/>
          </w:tcPr>
          <w:p>
            <w:pPr>
              <w:ind w:left="40"/>
              <w:spacing w:after="0"/>
              <w:rPr>
                <w:sz w:val="20"/>
                <w:szCs w:val="20"/>
                <w:color w:val="auto"/>
              </w:rPr>
            </w:pPr>
            <w:r>
              <w:rPr>
                <w:rFonts w:ascii="Arial" w:cs="Arial" w:eastAsia="Arial" w:hAnsi="Arial"/>
                <w:sz w:val="18"/>
                <w:szCs w:val="18"/>
                <w:color w:val="auto"/>
              </w:rPr>
              <w:t>Exhibit 101.INS:</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101.SCH:</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101.CAL:</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101.DEF:</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101.LAB:</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101.PRE:</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1940" w:type="dxa"/>
            <w:vAlign w:val="bottom"/>
          </w:tcPr>
          <w:p>
            <w:pPr>
              <w:spacing w:after="0"/>
              <w:rPr>
                <w:sz w:val="24"/>
                <w:szCs w:val="24"/>
                <w:color w:val="auto"/>
              </w:rPr>
            </w:pPr>
          </w:p>
        </w:tc>
        <w:tc>
          <w:tcPr>
            <w:tcW w:w="5540" w:type="dxa"/>
            <w:vAlign w:val="bottom"/>
            <w:gridSpan w:val="2"/>
          </w:tcPr>
          <w:p>
            <w:pPr>
              <w:ind w:left="3600"/>
              <w:spacing w:after="0"/>
              <w:rPr>
                <w:sz w:val="20"/>
                <w:szCs w:val="20"/>
                <w:color w:val="auto"/>
              </w:rPr>
            </w:pPr>
            <w:r>
              <w:rPr>
                <w:rFonts w:ascii="Arial" w:cs="Arial" w:eastAsia="Arial" w:hAnsi="Arial"/>
                <w:sz w:val="18"/>
                <w:szCs w:val="18"/>
                <w:color w:val="auto"/>
              </w:rPr>
              <w:t>- 36-</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w:t>
      </w:r>
    </w:p>
    <w:p>
      <w:pPr>
        <w:sectPr>
          <w:pgSz w:w="11900" w:h="16838" w:orient="portrait"/>
          <w:cols w:equalWidth="0" w:num="1">
            <w:col w:w="11420"/>
          </w:cols>
          <w:pgMar w:left="240" w:top="34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10,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2018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10,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2018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2018:</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Citations and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Violations</w:t>
            </w:r>
            <w:r>
              <w:rPr>
                <w:rFonts w:ascii="Arial" w:cs="Arial" w:eastAsia="Arial" w:hAnsi="Arial"/>
                <w:sz w:val="8"/>
                <w:szCs w:val="8"/>
                <w:color w:val="auto"/>
                <w:w w:val="93"/>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1"/>
              </w:rPr>
              <w:t>Morenci Inc. 02-</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00024</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center"/>
              <w:ind w:left="6"/>
              <w:spacing w:after="0"/>
              <w:rPr>
                <w:sz w:val="20"/>
                <w:szCs w:val="20"/>
                <w:color w:val="auto"/>
              </w:rPr>
            </w:pPr>
            <w:r>
              <w:rPr>
                <w:rFonts w:ascii="Arial" w:cs="Arial" w:eastAsia="Arial" w:hAnsi="Arial"/>
                <w:sz w:val="11"/>
                <w:szCs w:val="11"/>
                <w:color w:val="auto"/>
                <w:w w:val="90"/>
              </w:rPr>
              <w:t>Safford Inc. 02-03131</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Big Island Mine &amp;</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Refinery 48-00154</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Solvay Chemicals Inc.</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right"/>
              <w:ind w:right="286"/>
              <w:spacing w:after="0"/>
              <w:rPr>
                <w:sz w:val="20"/>
                <w:szCs w:val="20"/>
                <w:color w:val="auto"/>
              </w:rPr>
            </w:pPr>
            <w:r>
              <w:rPr>
                <w:rFonts w:ascii="Arial" w:cs="Arial" w:eastAsia="Arial" w:hAnsi="Arial"/>
                <w:sz w:val="11"/>
                <w:szCs w:val="11"/>
                <w:color w:val="auto"/>
              </w:rPr>
              <w:t>48-01295</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Permanente Cement</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Plan &amp; Quarry 04-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1"/>
              </w:rPr>
              <w:t>$354</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1"/>
              </w:rPr>
              <w:t>2</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04075</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lvl w:ilvl="1">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upperLetter"/>
      <w:start w:val="1"/>
    </w:lvl>
    <w:lvl w:ilvl="1">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2019-12-28T21:48:34Z</dcterms:created>
  <dcterms:modified xsi:type="dcterms:W3CDTF">2019-12-28T21:48:34Z</dcterms:modified>
</cp:coreProperties>
</file>