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120"/>
        <w:jc w:val="center"/>
        <w:rPr>
          <w:color w:val="000000"/>
        </w:rPr>
      </w:pPr>
      <w:r>
        <w:rPr>
          <w:color w:val="000000"/>
        </w:rPr>
        <w:t> </w:t>
      </w:r>
      <w:r>
        <w:rPr>
          <w:rFonts w:ascii="Times New Roman;serif" w:hAnsi="Times New Roman;serif"/>
          <w:b/>
          <w:color w:val="000000"/>
          <w:sz w:val="20"/>
        </w:rPr>
        <w:t>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28, 2026 </w:t>
      </w:r>
    </w:p>
    <w:p>
      <w:pPr>
        <w:pStyle w:val="TextBody"/>
        <w:bidi w:val="0"/>
        <w:spacing w:lineRule="auto" w:line="288" w:before="80" w:after="283"/>
        <w:jc w:val="center"/>
        <w:rPr/>
      </w:pPr>
      <w:r>
        <w:rPr>
          <w:rFonts w:ascii="Times New Roman;serif" w:hAnsi="Times New Roman;serif"/>
          <w:b/>
          <w:color w:val="000000"/>
          <w:sz w:val="20"/>
        </w:rPr>
        <w:t>___________________</w:t>
      </w: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001-15461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 East 5th Street, Suite 1100, Tulsa, Oklahoma 74103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918-838-8822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Act of 1934 (17 CFR §240.12b-2).</w:t>
      </w:r>
    </w:p>
    <w:p>
      <w:pPr>
        <w:pStyle w:val="TextBody"/>
        <w:bidi w:val="0"/>
        <w:spacing w:lineRule="auto" w:line="288" w:before="60" w:after="1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40"/>
        <w:jc w:val="left"/>
        <w:rPr/>
      </w:pPr>
      <w:r>
        <w:rPr>
          <w:rFonts w:ascii="Times New Roman;serif" w:hAnsi="Times New Roman;serif"/>
          <w:b w:val="false"/>
          <w:color w:val="000000"/>
          <w:sz w:val="20"/>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connection with our previously announced leadership transition and his appointment to the role of President and Chief Executive Officer of Matrix Service Company (the “Company”), the Board of Directors (the “Board”) of the Company has elected Shawn P. Payne as a Director of the Company effective July 1, 2026, to serve until our next annual meeting.</w:t>
      </w:r>
      <w:r>
        <w:rPr>
          <w:color w:val="000000"/>
        </w:rPr>
        <w:t xml:space="preserve"> </w:t>
      </w:r>
      <w:r>
        <w:rPr>
          <w:rFonts w:ascii="Times New Roman;serif" w:hAnsi="Times New Roman;serif"/>
          <w:b w:val="false"/>
          <w:color w:val="000000"/>
          <w:sz w:val="20"/>
        </w:rPr>
        <w:t>There are no arrangements or understandings between Mr. Payne and any other person pursuant to which he was selected as a Director. The Board has also appointed Mr. Payne to serve as a member of the Project Risk Committee of the Board and chair of the Strategy Committee of the Board.</w:t>
      </w:r>
      <w:r>
        <w:rPr>
          <w:color w:val="000000"/>
        </w:rPr>
        <w:t xml:space="preserve"> </w:t>
      </w:r>
      <w:r>
        <w:rPr>
          <w:rFonts w:ascii="Times New Roman;serif" w:hAnsi="Times New Roman;serif"/>
          <w:b w:val="false"/>
          <w:color w:val="000000"/>
          <w:sz w:val="20"/>
        </w:rPr>
        <w:t>No changes were made to Mr. Payne’s compensation arrangements as a result of his election as a Director of the Company. Mr. Payne’s son, Peyton Payne, is currently employed by an operating subsidiary of the Company as an estimator and receives annual compensation of less than $150,000.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20"/>
        <w:jc w:val="left"/>
        <w:rPr/>
      </w:pPr>
      <w:r>
        <w:rPr/>
      </w:r>
    </w:p>
    <w:tbl>
      <w:tblPr>
        <w:tblW w:w="8546" w:type="dxa"/>
        <w:jc w:val="left"/>
        <w:tblInd w:w="0" w:type="dxa"/>
        <w:tblLayout w:type="fixed"/>
        <w:tblCellMar>
          <w:top w:w="28" w:type="dxa"/>
          <w:left w:w="28" w:type="dxa"/>
          <w:bottom w:w="28" w:type="dxa"/>
          <w:right w:w="28" w:type="dxa"/>
        </w:tblCellMar>
      </w:tblPr>
      <w:tblGrid>
        <w:gridCol w:w="618"/>
        <w:gridCol w:w="543"/>
        <w:gridCol w:w="548"/>
        <w:gridCol w:w="109"/>
        <w:gridCol w:w="109"/>
        <w:gridCol w:w="109"/>
        <w:gridCol w:w="238"/>
        <w:gridCol w:w="238"/>
        <w:gridCol w:w="238"/>
        <w:gridCol w:w="238"/>
        <w:gridCol w:w="238"/>
        <w:gridCol w:w="238"/>
        <w:gridCol w:w="1570"/>
        <w:gridCol w:w="1570"/>
        <w:gridCol w:w="1570"/>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 July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537</Words>
  <Characters>2963</Characters>
  <CharactersWithSpaces>3473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