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26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UNITED STATES</w:t>
            </w: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7"/>
              </w:rPr>
              <w:t>WASHINGTON, D.C. 20549</w:t>
            </w:r>
          </w:p>
        </w:tc>
      </w:tr>
      <w:tr>
        <w:trPr>
          <w:trHeight w:val="378"/>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SCHEDULE 14A INFORMATION</w:t>
            </w:r>
          </w:p>
        </w:tc>
      </w:tr>
      <w:tr>
        <w:trPr>
          <w:trHeight w:val="360"/>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60" w:type="dxa"/>
            <w:vAlign w:val="bottom"/>
          </w:tcPr>
          <w:p>
            <w:pPr>
              <w:ind w:left="2480"/>
              <w:spacing w:after="0"/>
              <w:rPr>
                <w:sz w:val="20"/>
                <w:szCs w:val="20"/>
                <w:color w:val="auto"/>
              </w:rPr>
            </w:pPr>
            <w:r>
              <w:rPr>
                <w:rFonts w:ascii="Arial" w:cs="Arial" w:eastAsia="Arial" w:hAnsi="Arial"/>
                <w:sz w:val="18"/>
                <w:szCs w:val="18"/>
                <w:b w:val="1"/>
                <w:bCs w:val="1"/>
                <w:color w:val="auto"/>
              </w:rPr>
              <w:t>(Amendment No.</w:t>
            </w:r>
          </w:p>
        </w:tc>
        <w:tc>
          <w:tcPr>
            <w:tcW w:w="1140" w:type="dxa"/>
            <w:vAlign w:val="bottom"/>
          </w:tcPr>
          <w:p>
            <w:pPr>
              <w:jc w:val="right"/>
              <w:ind w:right="870"/>
              <w:spacing w:after="0"/>
              <w:rPr>
                <w:sz w:val="20"/>
                <w:szCs w:val="20"/>
                <w:color w:val="auto"/>
              </w:rPr>
            </w:pPr>
            <w:r>
              <w:rPr>
                <w:rFonts w:ascii="Arial" w:cs="Arial" w:eastAsia="Arial" w:hAnsi="Arial"/>
                <w:sz w:val="18"/>
                <w:szCs w:val="18"/>
                <w:b w:val="1"/>
                <w:bCs w:val="1"/>
                <w:color w:val="auto"/>
              </w:rPr>
              <w:t>)</w:t>
            </w:r>
          </w:p>
        </w:tc>
      </w:tr>
      <w:tr>
        <w:trPr>
          <w:trHeight w:val="398"/>
        </w:trPr>
        <w:tc>
          <w:tcPr>
            <w:tcW w:w="22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26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r>
      <w:tr>
        <w:trPr>
          <w:trHeight w:val="358"/>
        </w:trPr>
        <w:tc>
          <w:tcPr>
            <w:tcW w:w="226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3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4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36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Matrix Service Company</w:t>
      </w:r>
    </w:p>
    <w:p>
      <w:pPr>
        <w:spacing w:after="0" w:line="4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4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87"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6"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720" w:right="340" w:hanging="685"/>
        <w:spacing w:after="0" w:line="308"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216" w:right="4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2014 ANNUAL MEETING OF STOCKHOLDERS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will be held at the Company’s Corporate Headquarters, 5100 East Skelly Drive, Tulsa, Oklahoma, on the 13th day of November 2014, at 2:00 p.m., Central time, for the following purposes:</w:t>
      </w:r>
    </w:p>
    <w:p>
      <w:pPr>
        <w:spacing w:after="0" w:line="127" w:lineRule="exact"/>
        <w:rPr>
          <w:sz w:val="20"/>
          <w:szCs w:val="20"/>
          <w:color w:val="auto"/>
        </w:rPr>
      </w:pPr>
    </w:p>
    <w:p>
      <w:pPr>
        <w:ind w:left="580" w:right="30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persons to serve as members of the Board of Directors of the Company until the 2015 annual stockholders meeting or until their successors have been elected and qualified;</w:t>
      </w:r>
    </w:p>
    <w:p>
      <w:pPr>
        <w:spacing w:after="0" w:line="8" w:lineRule="exact"/>
        <w:rPr>
          <w:rFonts w:ascii="Arial" w:cs="Arial" w:eastAsia="Arial" w:hAnsi="Arial"/>
          <w:sz w:val="18"/>
          <w:szCs w:val="18"/>
          <w:color w:val="auto"/>
        </w:rPr>
      </w:pPr>
    </w:p>
    <w:p>
      <w:pPr>
        <w:ind w:left="580" w:right="31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2015;</w:t>
      </w:r>
    </w:p>
    <w:p>
      <w:pPr>
        <w:spacing w:after="0" w:line="8"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63" w:lineRule="exact"/>
        <w:rPr>
          <w:rFonts w:ascii="Arial" w:cs="Arial" w:eastAsia="Arial" w:hAnsi="Arial"/>
          <w:sz w:val="18"/>
          <w:szCs w:val="18"/>
          <w:color w:val="auto"/>
        </w:rPr>
      </w:pPr>
    </w:p>
    <w:p>
      <w:pPr>
        <w:ind w:left="580" w:right="2740" w:hanging="545"/>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2012 Stock and Incentive Compensation Plan to, among other things, increase the number of shares of Common Stock of the Company authorized for issuance thereunder from 1,300,000 to 2,300,000; and</w:t>
      </w:r>
    </w:p>
    <w:p>
      <w:pPr>
        <w:spacing w:after="0" w:line="19"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Board of Directors has fixed the close of business on September 26, 2014 as the record date for the meeting (the “Record Date”), and only holders of record of the Company’s common stock at such time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263525</wp:posOffset>
            </wp:positionV>
            <wp:extent cx="155194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10,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80"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3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13, 2014. Stockholders may view this proxy statement, our form of proxy and our 2014 Annual Report to Stockholders over the Internet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6"/>
          </w:tcPr>
          <w:p>
            <w:pPr>
              <w:ind w:left="500"/>
              <w:spacing w:after="0"/>
              <w:rPr>
                <w:sz w:val="20"/>
                <w:szCs w:val="20"/>
                <w:color w:val="auto"/>
              </w:rPr>
            </w:pPr>
            <w:r>
              <w:rPr>
                <w:rFonts w:ascii="Arial" w:cs="Arial" w:eastAsia="Arial" w:hAnsi="Arial"/>
                <w:sz w:val="18"/>
                <w:szCs w:val="18"/>
                <w:b w:val="1"/>
                <w:bCs w:val="1"/>
                <w:color w:val="auto"/>
              </w:rPr>
              <w:t>MATRIX SERVICE COMPANY</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0"/>
              </w:rPr>
              <w:t>5100 East Skelly Drive, Suite 700</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w w:val="91"/>
              </w:rPr>
              <w:t>Tulsa, Oklahoma 74135</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w w:val="99"/>
              </w:rPr>
              <w:t>PROXY STATEMENT</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4"/>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89"/>
        </w:trPr>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2760" w:type="dxa"/>
            <w:vAlign w:val="bottom"/>
            <w:gridSpan w:val="3"/>
            <w:shd w:val="clear" w:color="auto" w:fill="CCEEFF"/>
          </w:tcPr>
          <w:p>
            <w:pPr>
              <w:ind w:left="1660"/>
              <w:spacing w:after="0"/>
              <w:rPr>
                <w:sz w:val="20"/>
                <w:szCs w:val="20"/>
                <w:color w:val="auto"/>
              </w:rPr>
            </w:pPr>
            <w:r>
              <w:rPr>
                <w:rFonts w:ascii="Arial" w:cs="Arial" w:eastAsia="Arial" w:hAnsi="Arial"/>
                <w:sz w:val="13"/>
                <w:szCs w:val="13"/>
                <w:b w:val="1"/>
                <w:bCs w:val="1"/>
                <w:color w:val="auto"/>
              </w:rPr>
              <w:t>Page</w:t>
            </w: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4">
              <w:r>
                <w:rPr>
                  <w:rFonts w:ascii="Arial" w:cs="Arial" w:eastAsia="Arial" w:hAnsi="Arial"/>
                  <w:sz w:val="13"/>
                  <w:szCs w:val="13"/>
                  <w:color w:val="0000FF"/>
                </w:rPr>
                <w:t>Solicitation and Revocation of Proxies</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4">
              <w:r>
                <w:rPr>
                  <w:rFonts w:ascii="Arial" w:cs="Arial" w:eastAsia="Arial" w:hAnsi="Arial"/>
                  <w:sz w:val="13"/>
                  <w:szCs w:val="13"/>
                  <w:u w:val="single" w:color="auto"/>
                  <w:color w:val="0000FF"/>
                  <w:w w:val="82"/>
                </w:rPr>
                <w:t>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660" w:type="dxa"/>
            <w:vAlign w:val="bottom"/>
            <w:gridSpan w:val="46"/>
            <w:shd w:val="clear" w:color="auto" w:fill="CCEEFF"/>
          </w:tcPr>
          <w:p>
            <w:pPr>
              <w:ind w:left="40"/>
              <w:spacing w:after="0"/>
              <w:rPr>
                <w:rFonts w:ascii="Arial" w:cs="Arial" w:eastAsia="Arial" w:hAnsi="Arial"/>
                <w:sz w:val="13"/>
                <w:szCs w:val="13"/>
                <w:color w:val="0000FF"/>
              </w:rPr>
            </w:pPr>
            <w:hyperlink w:anchor="page5">
              <w:r>
                <w:rPr>
                  <w:rFonts w:ascii="Arial" w:cs="Arial" w:eastAsia="Arial" w:hAnsi="Arial"/>
                  <w:sz w:val="13"/>
                  <w:szCs w:val="13"/>
                  <w:color w:val="0000FF"/>
                </w:rPr>
                <w:t>Stockholders Entitled to Vote</w:t>
              </w:r>
            </w:hyperlink>
          </w:p>
        </w:tc>
        <w:tc>
          <w:tcPr>
            <w:tcW w:w="1860" w:type="dxa"/>
            <w:vAlign w:val="bottom"/>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5">
              <w:r>
                <w:rPr>
                  <w:rFonts w:ascii="Arial" w:cs="Arial" w:eastAsia="Arial" w:hAnsi="Arial"/>
                  <w:sz w:val="13"/>
                  <w:szCs w:val="13"/>
                  <w:u w:val="single" w:color="auto"/>
                  <w:color w:val="0000FF"/>
                  <w:w w:val="82"/>
                </w:rPr>
                <w:t>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5">
              <w:r>
                <w:rPr>
                  <w:rFonts w:ascii="Arial" w:cs="Arial" w:eastAsia="Arial" w:hAnsi="Arial"/>
                  <w:sz w:val="13"/>
                  <w:szCs w:val="13"/>
                  <w:color w:val="0000FF"/>
                </w:rPr>
                <w:t>Proposal Number 1: Election of Directors</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5">
              <w:r>
                <w:rPr>
                  <w:rFonts w:ascii="Arial" w:cs="Arial" w:eastAsia="Arial" w:hAnsi="Arial"/>
                  <w:sz w:val="13"/>
                  <w:szCs w:val="13"/>
                  <w:u w:val="single" w:color="auto"/>
                  <w:color w:val="0000FF"/>
                  <w:w w:val="82"/>
                </w:rPr>
                <w:t>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0000FF"/>
            </w:tcBorders>
            <w:gridSpan w:val="17"/>
            <w:shd w:val="clear" w:color="auto" w:fill="CCEEFF"/>
          </w:tcPr>
          <w:p>
            <w:pPr>
              <w:spacing w:after="0"/>
              <w:rPr>
                <w:rFonts w:ascii="Arial" w:cs="Arial" w:eastAsia="Arial" w:hAnsi="Arial"/>
                <w:sz w:val="13"/>
                <w:szCs w:val="13"/>
                <w:color w:val="0000FF"/>
                <w:w w:val="88"/>
              </w:rPr>
            </w:pPr>
            <w:hyperlink w:anchor="page6">
              <w:r>
                <w:rPr>
                  <w:rFonts w:ascii="Arial" w:cs="Arial" w:eastAsia="Arial" w:hAnsi="Arial"/>
                  <w:sz w:val="13"/>
                  <w:szCs w:val="13"/>
                  <w:color w:val="0000FF"/>
                  <w:w w:val="88"/>
                </w:rPr>
                <w:t>Nominated Director Biographies</w:t>
              </w:r>
            </w:hyperlink>
          </w:p>
        </w:tc>
        <w:tc>
          <w:tcPr>
            <w:tcW w:w="6620" w:type="dxa"/>
            <w:vAlign w:val="bottom"/>
            <w:tcBorders>
              <w:bottom w:val="single" w:sz="8" w:color="CCEEFF"/>
            </w:tcBorders>
            <w:gridSpan w:val="27"/>
            <w:shd w:val="clear" w:color="auto" w:fill="CCEEFF"/>
          </w:tcPr>
          <w:p>
            <w:pPr>
              <w:spacing w:after="0"/>
              <w:rPr>
                <w:sz w:val="14"/>
                <w:szCs w:val="14"/>
                <w:color w:val="auto"/>
              </w:rPr>
            </w:pPr>
          </w:p>
        </w:tc>
        <w:tc>
          <w:tcPr>
            <w:tcW w:w="1860" w:type="dxa"/>
            <w:vAlign w:val="bottom"/>
            <w:tcBorders>
              <w:bottom w:val="single" w:sz="8" w:color="CCEEFF"/>
            </w:tcBorders>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6">
              <w:r>
                <w:rPr>
                  <w:rFonts w:ascii="Arial" w:cs="Arial" w:eastAsia="Arial" w:hAnsi="Arial"/>
                  <w:sz w:val="13"/>
                  <w:szCs w:val="13"/>
                  <w:u w:val="single" w:color="auto"/>
                  <w:color w:val="0000FF"/>
                  <w:w w:val="82"/>
                </w:rPr>
                <w:t>2</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8">
              <w:r>
                <w:rPr>
                  <w:rFonts w:ascii="Arial" w:cs="Arial" w:eastAsia="Arial" w:hAnsi="Arial"/>
                  <w:sz w:val="13"/>
                  <w:szCs w:val="13"/>
                  <w:color w:val="0000FF"/>
                </w:rPr>
                <w:t>Corporate Governance and Board Matters</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0000FF"/>
            </w:tcBorders>
            <w:gridSpan w:val="18"/>
            <w:shd w:val="clear" w:color="auto" w:fill="CCEEFF"/>
          </w:tcPr>
          <w:p>
            <w:pPr>
              <w:spacing w:after="0"/>
              <w:rPr>
                <w:rFonts w:ascii="Arial" w:cs="Arial" w:eastAsia="Arial" w:hAnsi="Arial"/>
                <w:sz w:val="13"/>
                <w:szCs w:val="13"/>
                <w:color w:val="0000FF"/>
                <w:w w:val="87"/>
              </w:rPr>
            </w:pPr>
            <w:hyperlink w:anchor="page8">
              <w:r>
                <w:rPr>
                  <w:rFonts w:ascii="Arial" w:cs="Arial" w:eastAsia="Arial" w:hAnsi="Arial"/>
                  <w:sz w:val="13"/>
                  <w:szCs w:val="13"/>
                  <w:color w:val="0000FF"/>
                  <w:w w:val="87"/>
                </w:rPr>
                <w:t>Director Independence Guidelines</w:t>
              </w:r>
            </w:hyperlink>
          </w:p>
        </w:tc>
        <w:tc>
          <w:tcPr>
            <w:tcW w:w="6540" w:type="dxa"/>
            <w:vAlign w:val="bottom"/>
            <w:tcBorders>
              <w:bottom w:val="single" w:sz="8" w:color="CCEEFF"/>
            </w:tcBorders>
            <w:gridSpan w:val="26"/>
            <w:shd w:val="clear" w:color="auto" w:fill="CCEEFF"/>
          </w:tcPr>
          <w:p>
            <w:pPr>
              <w:spacing w:after="0"/>
              <w:rPr>
                <w:sz w:val="14"/>
                <w:szCs w:val="14"/>
                <w:color w:val="auto"/>
              </w:rPr>
            </w:pPr>
          </w:p>
        </w:tc>
        <w:tc>
          <w:tcPr>
            <w:tcW w:w="1860" w:type="dxa"/>
            <w:vAlign w:val="bottom"/>
            <w:tcBorders>
              <w:bottom w:val="single" w:sz="8" w:color="CCEEFF"/>
            </w:tcBorders>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4</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Board Leadership Structure and Role in Risk Oversight</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9">
              <w:r>
                <w:rPr>
                  <w:rFonts w:ascii="Arial" w:cs="Arial" w:eastAsia="Arial" w:hAnsi="Arial"/>
                  <w:sz w:val="13"/>
                  <w:szCs w:val="13"/>
                  <w:u w:val="single" w:color="auto"/>
                  <w:color w:val="0000FF"/>
                  <w:w w:val="82"/>
                </w:rPr>
                <w:t>5</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Meetings and Committees of the Board of Directors</w:t>
              </w:r>
            </w:hyperlink>
          </w:p>
        </w:tc>
        <w:tc>
          <w:tcPr>
            <w:tcW w:w="1860" w:type="dxa"/>
            <w:vAlign w:val="bottom"/>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9">
              <w:r>
                <w:rPr>
                  <w:rFonts w:ascii="Arial" w:cs="Arial" w:eastAsia="Arial" w:hAnsi="Arial"/>
                  <w:sz w:val="13"/>
                  <w:szCs w:val="13"/>
                  <w:u w:val="single" w:color="auto"/>
                  <w:color w:val="0000FF"/>
                  <w:w w:val="82"/>
                </w:rPr>
                <w:t>5</w:t>
              </w:r>
            </w:hyperlink>
          </w:p>
        </w:tc>
        <w:tc>
          <w:tcPr>
            <w:tcW w:w="900" w:type="dxa"/>
            <w:vAlign w:val="bottom"/>
            <w:shd w:val="clear" w:color="auto" w:fill="CCEEFF"/>
          </w:tcPr>
          <w:p>
            <w:pPr>
              <w:spacing w:after="0"/>
              <w:rPr>
                <w:sz w:val="14"/>
                <w:szCs w:val="14"/>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620" w:type="dxa"/>
            <w:vAlign w:val="bottom"/>
            <w:tcBorders>
              <w:top w:val="single" w:sz="8" w:color="0000FF"/>
            </w:tcBorders>
            <w:gridSpan w:val="29"/>
          </w:tcPr>
          <w:p>
            <w:pPr>
              <w:spacing w:after="0"/>
              <w:rPr>
                <w:rFonts w:ascii="Arial" w:cs="Arial" w:eastAsia="Arial" w:hAnsi="Arial"/>
                <w:sz w:val="13"/>
                <w:szCs w:val="13"/>
                <w:color w:val="0000FF"/>
              </w:rPr>
            </w:pPr>
            <w:hyperlink w:anchor="page11">
              <w:r>
                <w:rPr>
                  <w:rFonts w:ascii="Arial" w:cs="Arial" w:eastAsia="Arial" w:hAnsi="Arial"/>
                  <w:sz w:val="13"/>
                  <w:szCs w:val="13"/>
                  <w:color w:val="0000FF"/>
                </w:rPr>
                <w:t>Director Nomination Process</w:t>
              </w:r>
            </w:hyperlink>
          </w:p>
        </w:tc>
        <w:tc>
          <w:tcPr>
            <w:tcW w:w="5660" w:type="dxa"/>
            <w:vAlign w:val="bottom"/>
            <w:tcBorders>
              <w:top w:val="single" w:sz="8" w:color="CCEEFF"/>
            </w:tcBorders>
            <w:gridSpan w:val="15"/>
          </w:tcPr>
          <w:p>
            <w:pPr>
              <w:spacing w:after="0"/>
              <w:rPr>
                <w:sz w:val="12"/>
                <w:szCs w:val="12"/>
                <w:color w:val="auto"/>
              </w:rPr>
            </w:pPr>
          </w:p>
        </w:tc>
        <w:tc>
          <w:tcPr>
            <w:tcW w:w="1860" w:type="dxa"/>
            <w:vAlign w:val="bottom"/>
            <w:tcBorders>
              <w:top w:val="single" w:sz="8" w:color="CCEEFF"/>
            </w:tcBorders>
            <w:gridSpan w:val="2"/>
          </w:tcPr>
          <w:p>
            <w:pPr>
              <w:jc w:val="center"/>
              <w:ind w:left="1657"/>
              <w:spacing w:after="0"/>
              <w:rPr>
                <w:rFonts w:ascii="Arial" w:cs="Arial" w:eastAsia="Arial" w:hAnsi="Arial"/>
                <w:sz w:val="13"/>
                <w:szCs w:val="13"/>
                <w:u w:val="single" w:color="auto"/>
                <w:color w:val="0000FF"/>
                <w:w w:val="82"/>
              </w:rPr>
            </w:pPr>
            <w:hyperlink w:anchor="page11">
              <w:r>
                <w:rPr>
                  <w:rFonts w:ascii="Arial" w:cs="Arial" w:eastAsia="Arial" w:hAnsi="Arial"/>
                  <w:sz w:val="13"/>
                  <w:szCs w:val="13"/>
                  <w:u w:val="single" w:color="auto"/>
                  <w:color w:val="0000FF"/>
                  <w:w w:val="82"/>
                </w:rPr>
                <w:t>8</w:t>
              </w:r>
            </w:hyperlink>
          </w:p>
        </w:tc>
        <w:tc>
          <w:tcPr>
            <w:tcW w:w="900" w:type="dxa"/>
            <w:vAlign w:val="bottom"/>
            <w:tcBorders>
              <w:top w:val="single" w:sz="8" w:color="CCEEFF"/>
            </w:tcBorders>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0000FF"/>
            </w:tcBorders>
            <w:gridSpan w:val="5"/>
            <w:shd w:val="clear" w:color="auto" w:fill="CCEEFF"/>
          </w:tcPr>
          <w:p>
            <w:pPr>
              <w:spacing w:after="0"/>
              <w:rPr>
                <w:rFonts w:ascii="Arial" w:cs="Arial" w:eastAsia="Arial" w:hAnsi="Arial"/>
                <w:sz w:val="13"/>
                <w:szCs w:val="13"/>
                <w:color w:val="0000FF"/>
                <w:w w:val="85"/>
              </w:rPr>
            </w:pPr>
            <w:hyperlink w:anchor="page12">
              <w:r>
                <w:rPr>
                  <w:rFonts w:ascii="Arial" w:cs="Arial" w:eastAsia="Arial" w:hAnsi="Arial"/>
                  <w:sz w:val="13"/>
                  <w:szCs w:val="13"/>
                  <w:color w:val="0000FF"/>
                  <w:w w:val="85"/>
                </w:rPr>
                <w:t>Executive Sessions</w:t>
              </w:r>
            </w:hyperlink>
          </w:p>
        </w:tc>
        <w:tc>
          <w:tcPr>
            <w:tcW w:w="7300" w:type="dxa"/>
            <w:vAlign w:val="bottom"/>
            <w:tcBorders>
              <w:bottom w:val="single" w:sz="8" w:color="CCEEFF"/>
            </w:tcBorders>
            <w:gridSpan w:val="39"/>
            <w:shd w:val="clear" w:color="auto" w:fill="CCEEFF"/>
          </w:tcPr>
          <w:p>
            <w:pPr>
              <w:spacing w:after="0"/>
              <w:rPr>
                <w:sz w:val="14"/>
                <w:szCs w:val="14"/>
                <w:color w:val="auto"/>
              </w:rPr>
            </w:pPr>
          </w:p>
        </w:tc>
        <w:tc>
          <w:tcPr>
            <w:tcW w:w="1860" w:type="dxa"/>
            <w:vAlign w:val="bottom"/>
            <w:tcBorders>
              <w:bottom w:val="single" w:sz="8" w:color="CCEEFF"/>
            </w:tcBorders>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8</w:t>
              </w:r>
            </w:hyperlink>
          </w:p>
        </w:tc>
        <w:tc>
          <w:tcPr>
            <w:tcW w:w="900" w:type="dxa"/>
            <w:vAlign w:val="bottom"/>
            <w:tcBorders>
              <w:bottom w:val="single" w:sz="8" w:color="CCEEFF"/>
            </w:tcBorders>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Communications with the Board of Directors</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8</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13">
              <w:r>
                <w:rPr>
                  <w:rFonts w:ascii="Arial" w:cs="Arial" w:eastAsia="Arial" w:hAnsi="Arial"/>
                  <w:sz w:val="13"/>
                  <w:szCs w:val="13"/>
                  <w:color w:val="0000FF"/>
                </w:rPr>
                <w:t>Equity Ownership Guidelines for Directors</w:t>
              </w:r>
            </w:hyperlink>
          </w:p>
        </w:tc>
        <w:tc>
          <w:tcPr>
            <w:tcW w:w="1860" w:type="dxa"/>
            <w:vAlign w:val="bottom"/>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13">
              <w:r>
                <w:rPr>
                  <w:rFonts w:ascii="Arial" w:cs="Arial" w:eastAsia="Arial" w:hAnsi="Arial"/>
                  <w:sz w:val="13"/>
                  <w:szCs w:val="13"/>
                  <w:u w:val="single" w:color="auto"/>
                  <w:color w:val="0000FF"/>
                  <w:w w:val="82"/>
                </w:rPr>
                <w:t>9</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13">
              <w:r>
                <w:rPr>
                  <w:rFonts w:ascii="Arial" w:cs="Arial" w:eastAsia="Arial" w:hAnsi="Arial"/>
                  <w:sz w:val="13"/>
                  <w:szCs w:val="13"/>
                  <w:color w:val="0000FF"/>
                </w:rPr>
                <w:t>Director Compensation</w:t>
              </w:r>
            </w:hyperlink>
          </w:p>
        </w:tc>
        <w:tc>
          <w:tcPr>
            <w:tcW w:w="1860" w:type="dxa"/>
            <w:vAlign w:val="bottom"/>
            <w:gridSpan w:val="2"/>
          </w:tcPr>
          <w:p>
            <w:pPr>
              <w:jc w:val="center"/>
              <w:ind w:left="1657"/>
              <w:spacing w:after="0"/>
              <w:rPr>
                <w:rFonts w:ascii="Arial" w:cs="Arial" w:eastAsia="Arial" w:hAnsi="Arial"/>
                <w:sz w:val="13"/>
                <w:szCs w:val="13"/>
                <w:u w:val="single" w:color="auto"/>
                <w:color w:val="0000FF"/>
                <w:w w:val="82"/>
              </w:rPr>
            </w:pPr>
            <w:hyperlink w:anchor="page13">
              <w:r>
                <w:rPr>
                  <w:rFonts w:ascii="Arial" w:cs="Arial" w:eastAsia="Arial" w:hAnsi="Arial"/>
                  <w:sz w:val="13"/>
                  <w:szCs w:val="13"/>
                  <w:u w:val="single" w:color="auto"/>
                  <w:color w:val="0000FF"/>
                  <w:w w:val="82"/>
                </w:rPr>
                <w:t>9</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13">
              <w:r>
                <w:rPr>
                  <w:rFonts w:ascii="Arial" w:cs="Arial" w:eastAsia="Arial" w:hAnsi="Arial"/>
                  <w:sz w:val="13"/>
                  <w:szCs w:val="13"/>
                  <w:color w:val="0000FF"/>
                </w:rPr>
                <w:t>General</w:t>
              </w:r>
            </w:hyperlink>
          </w:p>
        </w:tc>
        <w:tc>
          <w:tcPr>
            <w:tcW w:w="1860" w:type="dxa"/>
            <w:vAlign w:val="bottom"/>
            <w:gridSpan w:val="2"/>
            <w:shd w:val="clear" w:color="auto" w:fill="CCEEFF"/>
          </w:tcPr>
          <w:p>
            <w:pPr>
              <w:jc w:val="center"/>
              <w:ind w:left="1657"/>
              <w:spacing w:after="0"/>
              <w:rPr>
                <w:rFonts w:ascii="Arial" w:cs="Arial" w:eastAsia="Arial" w:hAnsi="Arial"/>
                <w:sz w:val="13"/>
                <w:szCs w:val="13"/>
                <w:u w:val="single" w:color="auto"/>
                <w:color w:val="0000FF"/>
                <w:w w:val="82"/>
              </w:rPr>
            </w:pPr>
            <w:hyperlink w:anchor="page13">
              <w:r>
                <w:rPr>
                  <w:rFonts w:ascii="Arial" w:cs="Arial" w:eastAsia="Arial" w:hAnsi="Arial"/>
                  <w:sz w:val="13"/>
                  <w:szCs w:val="13"/>
                  <w:u w:val="single" w:color="auto"/>
                  <w:color w:val="0000FF"/>
                  <w:w w:val="82"/>
                </w:rPr>
                <w:t>9</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14">
              <w:r>
                <w:rPr>
                  <w:rFonts w:ascii="Arial" w:cs="Arial" w:eastAsia="Arial" w:hAnsi="Arial"/>
                  <w:sz w:val="13"/>
                  <w:szCs w:val="13"/>
                  <w:color w:val="0000FF"/>
                </w:rPr>
                <w:t>Director Compensation</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4">
              <w:r>
                <w:rPr>
                  <w:rFonts w:ascii="Arial" w:cs="Arial" w:eastAsia="Arial" w:hAnsi="Arial"/>
                  <w:sz w:val="13"/>
                  <w:szCs w:val="13"/>
                  <w:color w:val="0000FF"/>
                  <w:w w:val="82"/>
                </w:rPr>
                <w:t>10</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660" w:type="dxa"/>
            <w:vAlign w:val="bottom"/>
            <w:gridSpan w:val="46"/>
            <w:shd w:val="clear" w:color="auto" w:fill="CCEEFF"/>
          </w:tcPr>
          <w:p>
            <w:pPr>
              <w:ind w:left="40"/>
              <w:spacing w:after="0"/>
              <w:rPr>
                <w:rFonts w:ascii="Arial" w:cs="Arial" w:eastAsia="Arial" w:hAnsi="Arial"/>
                <w:sz w:val="13"/>
                <w:szCs w:val="13"/>
                <w:color w:val="0000FF"/>
              </w:rPr>
            </w:pPr>
            <w:hyperlink w:anchor="page14">
              <w:r>
                <w:rPr>
                  <w:rFonts w:ascii="Arial" w:cs="Arial" w:eastAsia="Arial" w:hAnsi="Arial"/>
                  <w:sz w:val="13"/>
                  <w:szCs w:val="13"/>
                  <w:color w:val="0000FF"/>
                </w:rPr>
                <w:t>Audit Committee Matters</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EE"/>
                <w:w w:val="82"/>
              </w:rPr>
            </w:pPr>
            <w:hyperlink w:anchor="page15">
              <w:r>
                <w:rPr>
                  <w:rFonts w:ascii="Arial" w:cs="Arial" w:eastAsia="Arial" w:hAnsi="Arial"/>
                  <w:sz w:val="13"/>
                  <w:szCs w:val="13"/>
                  <w:color w:val="0000EE"/>
                  <w:w w:val="82"/>
                </w:rPr>
                <w:t>11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Report of the Audit Committee of the Board of Directors</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Fees of Independent Registered Public Accounting Firm</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32"/>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Audit Committee Pre-Approval Policy</w:t>
              </w:r>
            </w:hyperlink>
          </w:p>
        </w:tc>
        <w:tc>
          <w:tcPr>
            <w:tcW w:w="5440" w:type="dxa"/>
            <w:vAlign w:val="bottom"/>
            <w:gridSpan w:val="12"/>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660" w:type="dxa"/>
            <w:vAlign w:val="bottom"/>
            <w:gridSpan w:val="46"/>
            <w:shd w:val="clear" w:color="auto" w:fill="CCEEFF"/>
          </w:tcPr>
          <w:p>
            <w:pPr>
              <w:ind w:left="40"/>
              <w:spacing w:after="0"/>
              <w:rPr>
                <w:rFonts w:ascii="Arial" w:cs="Arial" w:eastAsia="Arial" w:hAnsi="Arial"/>
                <w:sz w:val="13"/>
                <w:szCs w:val="13"/>
                <w:color w:val="0000FF"/>
              </w:rPr>
            </w:pPr>
            <w:hyperlink w:anchor="page16">
              <w:r>
                <w:rPr>
                  <w:rFonts w:ascii="Arial" w:cs="Arial" w:eastAsia="Arial" w:hAnsi="Arial"/>
                  <w:sz w:val="13"/>
                  <w:szCs w:val="13"/>
                  <w:color w:val="0000FF"/>
                </w:rPr>
                <w:t>Proposal Number 2: Ratification of Selection of Independent Registered Public Accounting Firm</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16">
              <w:r>
                <w:rPr>
                  <w:rFonts w:ascii="Arial" w:cs="Arial" w:eastAsia="Arial" w:hAnsi="Arial"/>
                  <w:sz w:val="13"/>
                  <w:szCs w:val="13"/>
                  <w:color w:val="0000FF"/>
                </w:rPr>
                <w:t>Executive Officer Information</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Executive Officer Biographies</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16">
              <w:r>
                <w:rPr>
                  <w:rFonts w:ascii="Arial" w:cs="Arial" w:eastAsia="Arial" w:hAnsi="Arial"/>
                  <w:sz w:val="13"/>
                  <w:szCs w:val="13"/>
                  <w:color w:val="0000FF"/>
                  <w:w w:val="82"/>
                </w:rPr>
                <w:t>12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17">
              <w:r>
                <w:rPr>
                  <w:rFonts w:ascii="Arial" w:cs="Arial" w:eastAsia="Arial" w:hAnsi="Arial"/>
                  <w:sz w:val="13"/>
                  <w:szCs w:val="13"/>
                  <w:color w:val="0000FF"/>
                </w:rPr>
                <w:t>Compensation Discussion and Analysis</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13</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spacing w:after="0"/>
              <w:rPr>
                <w:rFonts w:ascii="Arial" w:cs="Arial" w:eastAsia="Arial" w:hAnsi="Arial"/>
                <w:sz w:val="13"/>
                <w:szCs w:val="13"/>
                <w:color w:val="0000FF"/>
                <w:w w:val="88"/>
              </w:rPr>
            </w:pPr>
            <w:hyperlink w:anchor="page17">
              <w:r>
                <w:rPr>
                  <w:rFonts w:ascii="Arial" w:cs="Arial" w:eastAsia="Arial" w:hAnsi="Arial"/>
                  <w:sz w:val="13"/>
                  <w:szCs w:val="13"/>
                  <w:color w:val="0000FF"/>
                  <w:w w:val="88"/>
                </w:rPr>
                <w:t>Executive Summary</w:t>
              </w:r>
            </w:hyperlink>
          </w:p>
        </w:tc>
        <w:tc>
          <w:tcPr>
            <w:tcW w:w="7240" w:type="dxa"/>
            <w:vAlign w:val="bottom"/>
            <w:gridSpan w:val="38"/>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13</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18">
              <w:r>
                <w:rPr>
                  <w:rFonts w:ascii="Arial" w:cs="Arial" w:eastAsia="Arial" w:hAnsi="Arial"/>
                  <w:sz w:val="13"/>
                  <w:szCs w:val="13"/>
                  <w:color w:val="0000FF"/>
                </w:rPr>
                <w:t>Compensation Philosophy and Objectives</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Committee Consideration of the 2013 Stockholder Vote on Executive Compensation</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19">
              <w:r>
                <w:rPr>
                  <w:rFonts w:ascii="Arial" w:cs="Arial" w:eastAsia="Arial" w:hAnsi="Arial"/>
                  <w:sz w:val="13"/>
                  <w:szCs w:val="13"/>
                  <w:color w:val="0000FF"/>
                  <w:w w:val="82"/>
                </w:rPr>
                <w:t>15</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40"/>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Key Elements of Executive Compensation</w:t>
              </w:r>
            </w:hyperlink>
          </w:p>
        </w:tc>
        <w:tc>
          <w:tcPr>
            <w:tcW w:w="4020" w:type="dxa"/>
            <w:vAlign w:val="bottom"/>
            <w:gridSpan w:val="4"/>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19">
              <w:r>
                <w:rPr>
                  <w:rFonts w:ascii="Arial" w:cs="Arial" w:eastAsia="Arial" w:hAnsi="Arial"/>
                  <w:sz w:val="13"/>
                  <w:szCs w:val="13"/>
                  <w:color w:val="0000FF"/>
                  <w:w w:val="82"/>
                </w:rPr>
                <w:t>16</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24">
              <w:r>
                <w:rPr>
                  <w:rFonts w:ascii="Arial" w:cs="Arial" w:eastAsia="Arial" w:hAnsi="Arial"/>
                  <w:sz w:val="13"/>
                  <w:szCs w:val="13"/>
                  <w:color w:val="0000FF"/>
                </w:rPr>
                <w:t>Clawback Policy</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24">
              <w:r>
                <w:rPr>
                  <w:rFonts w:ascii="Arial" w:cs="Arial" w:eastAsia="Arial" w:hAnsi="Arial"/>
                  <w:sz w:val="13"/>
                  <w:szCs w:val="13"/>
                  <w:color w:val="0000FF"/>
                  <w:w w:val="82"/>
                </w:rPr>
                <w:t>21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Policy on Hedging and Pledging of Company Securities</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21</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40" w:type="dxa"/>
            <w:vAlign w:val="bottom"/>
            <w:gridSpan w:val="25"/>
            <w:shd w:val="clear" w:color="auto" w:fill="CCEEFF"/>
          </w:tcPr>
          <w:p>
            <w:pPr>
              <w:spacing w:after="0"/>
              <w:rPr>
                <w:rFonts w:ascii="Arial" w:cs="Arial" w:eastAsia="Arial" w:hAnsi="Arial"/>
                <w:sz w:val="13"/>
                <w:szCs w:val="13"/>
                <w:color w:val="0000FF"/>
                <w:w w:val="86"/>
              </w:rPr>
            </w:pPr>
            <w:hyperlink w:anchor="page25">
              <w:r>
                <w:rPr>
                  <w:rFonts w:ascii="Arial" w:cs="Arial" w:eastAsia="Arial" w:hAnsi="Arial"/>
                  <w:sz w:val="13"/>
                  <w:szCs w:val="13"/>
                  <w:color w:val="0000FF"/>
                  <w:w w:val="86"/>
                </w:rPr>
                <w:t>Compensation Program as it Relates to Risk</w:t>
              </w:r>
            </w:hyperlink>
          </w:p>
        </w:tc>
        <w:tc>
          <w:tcPr>
            <w:tcW w:w="6040" w:type="dxa"/>
            <w:vAlign w:val="bottom"/>
            <w:gridSpan w:val="19"/>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gridSpan w:val="25"/>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Equity Ownership Guidelines</w:t>
              </w:r>
            </w:hyperlink>
          </w:p>
        </w:tc>
        <w:tc>
          <w:tcPr>
            <w:tcW w:w="6040" w:type="dxa"/>
            <w:vAlign w:val="bottom"/>
            <w:gridSpan w:val="19"/>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320" w:type="dxa"/>
            <w:vAlign w:val="bottom"/>
            <w:gridSpan w:val="37"/>
            <w:shd w:val="clear" w:color="auto" w:fill="CCEEFF"/>
          </w:tcPr>
          <w:p>
            <w:pPr>
              <w:spacing w:after="0"/>
              <w:rPr>
                <w:rFonts w:ascii="Arial" w:cs="Arial" w:eastAsia="Arial" w:hAnsi="Arial"/>
                <w:sz w:val="13"/>
                <w:szCs w:val="13"/>
                <w:color w:val="0000FF"/>
                <w:w w:val="88"/>
              </w:rPr>
            </w:pPr>
            <w:hyperlink w:anchor="page26">
              <w:r>
                <w:rPr>
                  <w:rFonts w:ascii="Arial" w:cs="Arial" w:eastAsia="Arial" w:hAnsi="Arial"/>
                  <w:sz w:val="13"/>
                  <w:szCs w:val="13"/>
                  <w:color w:val="0000FF"/>
                  <w:w w:val="88"/>
                </w:rPr>
                <w:t>Report of the Compensation Committee of the Board of Directors</w:t>
              </w:r>
            </w:hyperlink>
          </w:p>
        </w:tc>
        <w:tc>
          <w:tcPr>
            <w:tcW w:w="4960" w:type="dxa"/>
            <w:vAlign w:val="bottom"/>
            <w:gridSpan w:val="7"/>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26">
              <w:r>
                <w:rPr>
                  <w:rFonts w:ascii="Arial" w:cs="Arial" w:eastAsia="Arial" w:hAnsi="Arial"/>
                  <w:sz w:val="13"/>
                  <w:szCs w:val="13"/>
                  <w:color w:val="0000FF"/>
                </w:rPr>
                <w:t>Executive Officer Compensation</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26">
              <w:r>
                <w:rPr>
                  <w:rFonts w:ascii="Arial" w:cs="Arial" w:eastAsia="Arial" w:hAnsi="Arial"/>
                  <w:sz w:val="13"/>
                  <w:szCs w:val="13"/>
                  <w:color w:val="0000FF"/>
                  <w:w w:val="82"/>
                </w:rPr>
                <w:t>23</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27">
              <w:r>
                <w:rPr>
                  <w:rFonts w:ascii="Arial" w:cs="Arial" w:eastAsia="Arial" w:hAnsi="Arial"/>
                  <w:sz w:val="13"/>
                  <w:szCs w:val="13"/>
                  <w:color w:val="0000FF"/>
                </w:rPr>
                <w:t>Summary Compensation Table</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27">
              <w:r>
                <w:rPr>
                  <w:rFonts w:ascii="Arial" w:cs="Arial" w:eastAsia="Arial" w:hAnsi="Arial"/>
                  <w:sz w:val="13"/>
                  <w:szCs w:val="13"/>
                  <w:color w:val="0000FF"/>
                  <w:w w:val="82"/>
                </w:rPr>
                <w:t>23</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15"/>
          </w:tcPr>
          <w:p>
            <w:pPr>
              <w:spacing w:after="0"/>
              <w:rPr>
                <w:rFonts w:ascii="Arial" w:cs="Arial" w:eastAsia="Arial" w:hAnsi="Arial"/>
                <w:sz w:val="13"/>
                <w:szCs w:val="13"/>
                <w:color w:val="0000FF"/>
                <w:w w:val="89"/>
              </w:rPr>
            </w:pPr>
            <w:hyperlink w:anchor="page28">
              <w:r>
                <w:rPr>
                  <w:rFonts w:ascii="Arial" w:cs="Arial" w:eastAsia="Arial" w:hAnsi="Arial"/>
                  <w:sz w:val="13"/>
                  <w:szCs w:val="13"/>
                  <w:color w:val="0000FF"/>
                  <w:w w:val="89"/>
                </w:rPr>
                <w:t>Grants of Plan-Based Awards</w:t>
              </w:r>
            </w:hyperlink>
          </w:p>
        </w:tc>
        <w:tc>
          <w:tcPr>
            <w:tcW w:w="6720" w:type="dxa"/>
            <w:vAlign w:val="bottom"/>
            <w:gridSpan w:val="29"/>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28">
              <w:r>
                <w:rPr>
                  <w:rFonts w:ascii="Arial" w:cs="Arial" w:eastAsia="Arial" w:hAnsi="Arial"/>
                  <w:sz w:val="13"/>
                  <w:szCs w:val="13"/>
                  <w:color w:val="0000FF"/>
                  <w:w w:val="82"/>
                </w:rPr>
                <w:t>25</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FF"/>
              </w:rPr>
            </w:pPr>
            <w:hyperlink w:anchor="page30">
              <w:r>
                <w:rPr>
                  <w:rFonts w:ascii="Arial" w:cs="Arial" w:eastAsia="Arial" w:hAnsi="Arial"/>
                  <w:sz w:val="13"/>
                  <w:szCs w:val="13"/>
                  <w:color w:val="0000FF"/>
                </w:rPr>
                <w:t>Outstanding Equity Awards</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30">
              <w:r>
                <w:rPr>
                  <w:rFonts w:ascii="Arial" w:cs="Arial" w:eastAsia="Arial" w:hAnsi="Arial"/>
                  <w:sz w:val="13"/>
                  <w:szCs w:val="13"/>
                  <w:color w:val="0000FF"/>
                  <w:w w:val="82"/>
                </w:rPr>
                <w:t>27</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34">
              <w:r>
                <w:rPr>
                  <w:rFonts w:ascii="Arial" w:cs="Arial" w:eastAsia="Arial" w:hAnsi="Arial"/>
                  <w:sz w:val="13"/>
                  <w:szCs w:val="13"/>
                  <w:color w:val="0000FF"/>
                </w:rPr>
                <w:t>Option Exercises and Stock Vested</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34">
              <w:r>
                <w:rPr>
                  <w:rFonts w:ascii="Arial" w:cs="Arial" w:eastAsia="Arial" w:hAnsi="Arial"/>
                  <w:sz w:val="13"/>
                  <w:szCs w:val="13"/>
                  <w:color w:val="0000FF"/>
                  <w:w w:val="82"/>
                </w:rPr>
                <w:t>29</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40" w:type="dxa"/>
            <w:vAlign w:val="bottom"/>
            <w:gridSpan w:val="35"/>
            <w:shd w:val="clear" w:color="auto" w:fill="CCEEFF"/>
          </w:tcPr>
          <w:p>
            <w:pPr>
              <w:spacing w:after="0"/>
              <w:rPr>
                <w:rFonts w:ascii="Arial" w:cs="Arial" w:eastAsia="Arial" w:hAnsi="Arial"/>
                <w:sz w:val="13"/>
                <w:szCs w:val="13"/>
                <w:color w:val="0000FF"/>
                <w:w w:val="87"/>
              </w:rPr>
            </w:pPr>
            <w:hyperlink w:anchor="page34">
              <w:r>
                <w:rPr>
                  <w:rFonts w:ascii="Arial" w:cs="Arial" w:eastAsia="Arial" w:hAnsi="Arial"/>
                  <w:sz w:val="13"/>
                  <w:szCs w:val="13"/>
                  <w:color w:val="0000FF"/>
                  <w:w w:val="87"/>
                </w:rPr>
                <w:t>Potential Payments Upon Termination or Change of Control</w:t>
              </w:r>
            </w:hyperlink>
          </w:p>
        </w:tc>
        <w:tc>
          <w:tcPr>
            <w:tcW w:w="5240" w:type="dxa"/>
            <w:vAlign w:val="bottom"/>
            <w:gridSpan w:val="9"/>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34">
              <w:r>
                <w:rPr>
                  <w:rFonts w:ascii="Arial" w:cs="Arial" w:eastAsia="Arial" w:hAnsi="Arial"/>
                  <w:sz w:val="13"/>
                  <w:szCs w:val="13"/>
                  <w:color w:val="0000FF"/>
                  <w:w w:val="82"/>
                </w:rPr>
                <w:t>29</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FF"/>
              </w:rPr>
            </w:pPr>
            <w:hyperlink w:anchor="page37">
              <w:r>
                <w:rPr>
                  <w:rFonts w:ascii="Arial" w:cs="Arial" w:eastAsia="Arial" w:hAnsi="Arial"/>
                  <w:sz w:val="13"/>
                  <w:szCs w:val="13"/>
                  <w:color w:val="0000FF"/>
                </w:rPr>
                <w:t>Proposal Number 3: Advisory Vote to Approve Named Executive Officer Compensation</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660" w:type="dxa"/>
            <w:vAlign w:val="bottom"/>
            <w:gridSpan w:val="46"/>
            <w:shd w:val="clear" w:color="auto" w:fill="CCEEFF"/>
          </w:tcPr>
          <w:p>
            <w:pPr>
              <w:ind w:left="40"/>
              <w:spacing w:after="0"/>
              <w:rPr>
                <w:rFonts w:ascii="Arial" w:cs="Arial" w:eastAsia="Arial" w:hAnsi="Arial"/>
                <w:sz w:val="13"/>
                <w:szCs w:val="13"/>
                <w:color w:val="0000FF"/>
              </w:rPr>
            </w:pPr>
            <w:hyperlink w:anchor="page37">
              <w:r>
                <w:rPr>
                  <w:rFonts w:ascii="Arial" w:cs="Arial" w:eastAsia="Arial" w:hAnsi="Arial"/>
                  <w:sz w:val="13"/>
                  <w:szCs w:val="13"/>
                  <w:color w:val="0000FF"/>
                </w:rPr>
                <w:t>Certain Relationships and Related Transactions</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EE"/>
                <w:w w:val="82"/>
              </w:rPr>
            </w:pPr>
            <w:hyperlink w:anchor="page37">
              <w:r>
                <w:rPr>
                  <w:rFonts w:ascii="Arial" w:cs="Arial" w:eastAsia="Arial" w:hAnsi="Arial"/>
                  <w:sz w:val="13"/>
                  <w:szCs w:val="13"/>
                  <w:color w:val="0000EE"/>
                  <w:w w:val="82"/>
                </w:rPr>
                <w:t>32</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FF"/>
              </w:rPr>
            </w:pPr>
            <w:hyperlink w:anchor="page37">
              <w:r>
                <w:rPr>
                  <w:rFonts w:ascii="Arial" w:cs="Arial" w:eastAsia="Arial" w:hAnsi="Arial"/>
                  <w:sz w:val="13"/>
                  <w:szCs w:val="13"/>
                  <w:color w:val="0000FF"/>
                </w:rPr>
                <w:t>Review, Approval or Ratification of Transactions with Related Persons</w:t>
              </w:r>
            </w:hyperlink>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32</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8660" w:type="dxa"/>
            <w:vAlign w:val="bottom"/>
            <w:gridSpan w:val="46"/>
            <w:shd w:val="clear" w:color="auto" w:fill="CCEEFF"/>
          </w:tcPr>
          <w:p>
            <w:pPr>
              <w:ind w:left="40"/>
              <w:spacing w:after="0"/>
              <w:rPr>
                <w:rFonts w:ascii="Arial" w:cs="Arial" w:eastAsia="Arial" w:hAnsi="Arial"/>
                <w:sz w:val="13"/>
                <w:szCs w:val="13"/>
                <w:color w:val="0000FF"/>
              </w:rPr>
            </w:pPr>
            <w:hyperlink w:anchor="page38">
              <w:r>
                <w:rPr>
                  <w:rFonts w:ascii="Arial" w:cs="Arial" w:eastAsia="Arial" w:hAnsi="Arial"/>
                  <w:sz w:val="13"/>
                  <w:szCs w:val="13"/>
                  <w:color w:val="0000FF"/>
                </w:rPr>
                <w:t>Security Ownership of Certain Beneficial Owners and Management</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38">
              <w:r>
                <w:rPr>
                  <w:rFonts w:ascii="Arial" w:cs="Arial" w:eastAsia="Arial" w:hAnsi="Arial"/>
                  <w:sz w:val="13"/>
                  <w:szCs w:val="13"/>
                  <w:color w:val="0000FF"/>
                  <w:w w:val="82"/>
                </w:rPr>
                <w:t>34</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gridSpan w:val="36"/>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Equity Ownership Guidelines</w:t>
              </w:r>
            </w:hyperlink>
          </w:p>
        </w:tc>
        <w:tc>
          <w:tcPr>
            <w:tcW w:w="5200" w:type="dxa"/>
            <w:vAlign w:val="bottom"/>
            <w:gridSpan w:val="8"/>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FF"/>
                <w:w w:val="82"/>
              </w:rPr>
            </w:pPr>
            <w:hyperlink w:anchor="page39">
              <w:r>
                <w:rPr>
                  <w:rFonts w:ascii="Arial" w:cs="Arial" w:eastAsia="Arial" w:hAnsi="Arial"/>
                  <w:sz w:val="13"/>
                  <w:szCs w:val="13"/>
                  <w:color w:val="0000FF"/>
                  <w:w w:val="82"/>
                </w:rPr>
                <w:t>34</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0" w:type="dxa"/>
            <w:vAlign w:val="bottom"/>
            <w:gridSpan w:val="34"/>
            <w:shd w:val="clear" w:color="auto" w:fill="CCEEFF"/>
          </w:tcPr>
          <w:p>
            <w:pPr>
              <w:spacing w:after="0"/>
              <w:rPr>
                <w:rFonts w:ascii="Arial" w:cs="Arial" w:eastAsia="Arial" w:hAnsi="Arial"/>
                <w:sz w:val="13"/>
                <w:szCs w:val="13"/>
                <w:color w:val="0000FF"/>
                <w:w w:val="88"/>
              </w:rPr>
            </w:pPr>
            <w:hyperlink w:anchor="page40">
              <w:r>
                <w:rPr>
                  <w:rFonts w:ascii="Arial" w:cs="Arial" w:eastAsia="Arial" w:hAnsi="Arial"/>
                  <w:sz w:val="13"/>
                  <w:szCs w:val="13"/>
                  <w:color w:val="0000FF"/>
                  <w:w w:val="88"/>
                </w:rPr>
                <w:t>Section 16(a) Beneficial Ownership Reporting Compliance</w:t>
              </w:r>
            </w:hyperlink>
          </w:p>
        </w:tc>
        <w:tc>
          <w:tcPr>
            <w:tcW w:w="5280" w:type="dxa"/>
            <w:vAlign w:val="bottom"/>
            <w:gridSpan w:val="10"/>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35</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8660" w:type="dxa"/>
            <w:vAlign w:val="bottom"/>
            <w:gridSpan w:val="46"/>
          </w:tcPr>
          <w:p>
            <w:pPr>
              <w:ind w:left="40"/>
              <w:spacing w:after="0"/>
              <w:rPr>
                <w:rFonts w:ascii="Arial" w:cs="Arial" w:eastAsia="Arial" w:hAnsi="Arial"/>
                <w:sz w:val="13"/>
                <w:szCs w:val="13"/>
                <w:color w:val="0000EE"/>
              </w:rPr>
            </w:pPr>
            <w:hyperlink w:anchor="page40">
              <w:r>
                <w:rPr>
                  <w:rFonts w:ascii="Arial" w:cs="Arial" w:eastAsia="Arial" w:hAnsi="Arial"/>
                  <w:sz w:val="13"/>
                  <w:szCs w:val="13"/>
                  <w:color w:val="0000EE"/>
                </w:rPr>
                <w:t>Proposal Number 4: Approval of Amendments to the 2012 Stock and Incentive Compensation Plan</w:t>
              </w:r>
            </w:hyperlink>
          </w:p>
        </w:tc>
        <w:tc>
          <w:tcPr>
            <w:tcW w:w="1860" w:type="dxa"/>
            <w:vAlign w:val="bottom"/>
            <w:gridSpan w:val="2"/>
          </w:tcPr>
          <w:p>
            <w:pPr>
              <w:jc w:val="center"/>
              <w:ind w:left="1677"/>
              <w:spacing w:after="0"/>
              <w:rPr>
                <w:rFonts w:ascii="Arial" w:cs="Arial" w:eastAsia="Arial" w:hAnsi="Arial"/>
                <w:sz w:val="13"/>
                <w:szCs w:val="13"/>
                <w:color w:val="0000EE"/>
                <w:w w:val="82"/>
              </w:rPr>
            </w:pPr>
            <w:hyperlink w:anchor="page40">
              <w:r>
                <w:rPr>
                  <w:rFonts w:ascii="Arial" w:cs="Arial" w:eastAsia="Arial" w:hAnsi="Arial"/>
                  <w:sz w:val="13"/>
                  <w:szCs w:val="13"/>
                  <w:color w:val="0000EE"/>
                  <w:w w:val="82"/>
                </w:rPr>
                <w:t>36</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20" w:type="dxa"/>
            <w:vAlign w:val="bottom"/>
            <w:gridSpan w:val="28"/>
            <w:shd w:val="clear" w:color="auto" w:fill="CCEEFF"/>
          </w:tcPr>
          <w:p>
            <w:pPr>
              <w:spacing w:after="0"/>
              <w:rPr>
                <w:rFonts w:ascii="Arial" w:cs="Arial" w:eastAsia="Arial" w:hAnsi="Arial"/>
                <w:sz w:val="13"/>
                <w:szCs w:val="13"/>
                <w:color w:val="0000EE"/>
                <w:w w:val="87"/>
              </w:rPr>
            </w:pPr>
            <w:hyperlink w:anchor="page41">
              <w:r>
                <w:rPr>
                  <w:rFonts w:ascii="Arial" w:cs="Arial" w:eastAsia="Arial" w:hAnsi="Arial"/>
                  <w:sz w:val="13"/>
                  <w:szCs w:val="13"/>
                  <w:color w:val="0000EE"/>
                  <w:w w:val="87"/>
                </w:rPr>
                <w:t>Background on the Request for Additional Shares</w:t>
              </w:r>
            </w:hyperlink>
          </w:p>
        </w:tc>
        <w:tc>
          <w:tcPr>
            <w:tcW w:w="5760" w:type="dxa"/>
            <w:vAlign w:val="bottom"/>
            <w:gridSpan w:val="16"/>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EE"/>
                <w:w w:val="82"/>
              </w:rPr>
            </w:pPr>
            <w:hyperlink w:anchor="page41">
              <w:r>
                <w:rPr>
                  <w:rFonts w:ascii="Arial" w:cs="Arial" w:eastAsia="Arial" w:hAnsi="Arial"/>
                  <w:sz w:val="13"/>
                  <w:szCs w:val="13"/>
                  <w:color w:val="0000EE"/>
                  <w:w w:val="82"/>
                </w:rPr>
                <w:t>36</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80" w:type="dxa"/>
            <w:vAlign w:val="bottom"/>
            <w:gridSpan w:val="44"/>
          </w:tcPr>
          <w:p>
            <w:pPr>
              <w:spacing w:after="0"/>
              <w:rPr>
                <w:rFonts w:ascii="Arial" w:cs="Arial" w:eastAsia="Arial" w:hAnsi="Arial"/>
                <w:sz w:val="13"/>
                <w:szCs w:val="13"/>
                <w:color w:val="0000EE"/>
              </w:rPr>
            </w:pPr>
            <w:hyperlink w:anchor="page42">
              <w:r>
                <w:rPr>
                  <w:rFonts w:ascii="Arial" w:cs="Arial" w:eastAsia="Arial" w:hAnsi="Arial"/>
                  <w:sz w:val="13"/>
                  <w:szCs w:val="13"/>
                  <w:color w:val="0000EE"/>
                </w:rPr>
                <w:t>Background on the Request for Approval of the Material Terms for Code Section 162(m) Purposes</w:t>
              </w:r>
            </w:hyperlink>
          </w:p>
        </w:tc>
        <w:tc>
          <w:tcPr>
            <w:tcW w:w="1860" w:type="dxa"/>
            <w:vAlign w:val="bottom"/>
            <w:gridSpan w:val="2"/>
          </w:tcPr>
          <w:p>
            <w:pPr>
              <w:jc w:val="center"/>
              <w:ind w:left="1677"/>
              <w:spacing w:after="0"/>
              <w:rPr>
                <w:rFonts w:ascii="Arial" w:cs="Arial" w:eastAsia="Arial" w:hAnsi="Arial"/>
                <w:sz w:val="13"/>
                <w:szCs w:val="13"/>
                <w:color w:val="0000EE"/>
                <w:w w:val="82"/>
              </w:rPr>
            </w:pPr>
            <w:hyperlink w:anchor="page42">
              <w:r>
                <w:rPr>
                  <w:rFonts w:ascii="Arial" w:cs="Arial" w:eastAsia="Arial" w:hAnsi="Arial"/>
                  <w:sz w:val="13"/>
                  <w:szCs w:val="13"/>
                  <w:color w:val="0000EE"/>
                  <w:w w:val="82"/>
                </w:rPr>
                <w:t>37</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320" w:type="dxa"/>
            <w:vAlign w:val="bottom"/>
            <w:gridSpan w:val="27"/>
            <w:shd w:val="clear" w:color="auto" w:fill="CCEEFF"/>
          </w:tcPr>
          <w:p>
            <w:pPr>
              <w:spacing w:after="0"/>
              <w:rPr>
                <w:rFonts w:ascii="Arial" w:cs="Arial" w:eastAsia="Arial" w:hAnsi="Arial"/>
                <w:sz w:val="13"/>
                <w:szCs w:val="13"/>
                <w:color w:val="0000EE"/>
                <w:w w:val="87"/>
              </w:rPr>
            </w:pPr>
            <w:hyperlink w:anchor="page42">
              <w:r>
                <w:rPr>
                  <w:rFonts w:ascii="Arial" w:cs="Arial" w:eastAsia="Arial" w:hAnsi="Arial"/>
                  <w:sz w:val="13"/>
                  <w:szCs w:val="13"/>
                  <w:color w:val="0000EE"/>
                  <w:w w:val="87"/>
                </w:rPr>
                <w:t>Summary of Certain Key Features of the Plan</w:t>
              </w:r>
            </w:hyperlink>
          </w:p>
        </w:tc>
        <w:tc>
          <w:tcPr>
            <w:tcW w:w="5960" w:type="dxa"/>
            <w:vAlign w:val="bottom"/>
            <w:gridSpan w:val="17"/>
            <w:shd w:val="clear" w:color="auto" w:fill="CCEEFF"/>
          </w:tcPr>
          <w:p>
            <w:pPr>
              <w:spacing w:after="0"/>
              <w:rPr>
                <w:sz w:val="12"/>
                <w:szCs w:val="12"/>
                <w:color w:val="auto"/>
              </w:rPr>
            </w:pPr>
          </w:p>
        </w:tc>
        <w:tc>
          <w:tcPr>
            <w:tcW w:w="1860" w:type="dxa"/>
            <w:vAlign w:val="bottom"/>
            <w:gridSpan w:val="2"/>
            <w:shd w:val="clear" w:color="auto" w:fill="CCEEFF"/>
          </w:tcPr>
          <w:p>
            <w:pPr>
              <w:jc w:val="center"/>
              <w:ind w:left="1677"/>
              <w:spacing w:after="0"/>
              <w:rPr>
                <w:rFonts w:ascii="Arial" w:cs="Arial" w:eastAsia="Arial" w:hAnsi="Arial"/>
                <w:sz w:val="13"/>
                <w:szCs w:val="13"/>
                <w:color w:val="0000EE"/>
                <w:w w:val="82"/>
              </w:rPr>
            </w:pPr>
            <w:hyperlink w:anchor="page42">
              <w:r>
                <w:rPr>
                  <w:rFonts w:ascii="Arial" w:cs="Arial" w:eastAsia="Arial" w:hAnsi="Arial"/>
                  <w:sz w:val="13"/>
                  <w:szCs w:val="13"/>
                  <w:color w:val="0000EE"/>
                  <w:w w:val="82"/>
                </w:rPr>
                <w:t>37</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gridSpan w:val="27"/>
          </w:tcPr>
          <w:p>
            <w:pPr>
              <w:spacing w:after="0"/>
              <w:rPr>
                <w:rFonts w:ascii="Arial" w:cs="Arial" w:eastAsia="Arial" w:hAnsi="Arial"/>
                <w:sz w:val="13"/>
                <w:szCs w:val="13"/>
                <w:color w:val="0000EE"/>
              </w:rPr>
            </w:pPr>
            <w:hyperlink w:anchor="page42">
              <w:r>
                <w:rPr>
                  <w:rFonts w:ascii="Arial" w:cs="Arial" w:eastAsia="Arial" w:hAnsi="Arial"/>
                  <w:sz w:val="13"/>
                  <w:szCs w:val="13"/>
                  <w:color w:val="0000EE"/>
                </w:rPr>
                <w:t>Summary of the Plan</w:t>
              </w:r>
            </w:hyperlink>
          </w:p>
        </w:tc>
        <w:tc>
          <w:tcPr>
            <w:tcW w:w="5960" w:type="dxa"/>
            <w:vAlign w:val="bottom"/>
            <w:gridSpan w:val="17"/>
          </w:tcPr>
          <w:p>
            <w:pPr>
              <w:spacing w:after="0"/>
              <w:rPr>
                <w:sz w:val="12"/>
                <w:szCs w:val="12"/>
                <w:color w:val="auto"/>
              </w:rPr>
            </w:pPr>
          </w:p>
        </w:tc>
        <w:tc>
          <w:tcPr>
            <w:tcW w:w="1860" w:type="dxa"/>
            <w:vAlign w:val="bottom"/>
            <w:gridSpan w:val="2"/>
          </w:tcPr>
          <w:p>
            <w:pPr>
              <w:jc w:val="center"/>
              <w:ind w:left="1677"/>
              <w:spacing w:after="0"/>
              <w:rPr>
                <w:rFonts w:ascii="Arial" w:cs="Arial" w:eastAsia="Arial" w:hAnsi="Arial"/>
                <w:sz w:val="13"/>
                <w:szCs w:val="13"/>
                <w:color w:val="0000EE"/>
                <w:w w:val="82"/>
              </w:rPr>
            </w:pPr>
            <w:hyperlink w:anchor="page42">
              <w:r>
                <w:rPr>
                  <w:rFonts w:ascii="Arial" w:cs="Arial" w:eastAsia="Arial" w:hAnsi="Arial"/>
                  <w:sz w:val="13"/>
                  <w:szCs w:val="13"/>
                  <w:color w:val="0000EE"/>
                  <w:w w:val="82"/>
                </w:rPr>
                <w:t>37</w:t>
              </w:r>
            </w:hyperlink>
          </w:p>
        </w:tc>
        <w:tc>
          <w:tcPr>
            <w:tcW w:w="90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80" w:type="dxa"/>
            <w:vAlign w:val="bottom"/>
            <w:gridSpan w:val="44"/>
            <w:shd w:val="clear" w:color="auto" w:fill="CCEEFF"/>
          </w:tcPr>
          <w:p>
            <w:pPr>
              <w:spacing w:after="0"/>
              <w:rPr>
                <w:rFonts w:ascii="Arial" w:cs="Arial" w:eastAsia="Arial" w:hAnsi="Arial"/>
                <w:sz w:val="13"/>
                <w:szCs w:val="13"/>
                <w:color w:val="0000EE"/>
              </w:rPr>
            </w:pPr>
            <w:hyperlink w:anchor="page46">
              <w:r>
                <w:rPr>
                  <w:rFonts w:ascii="Arial" w:cs="Arial" w:eastAsia="Arial" w:hAnsi="Arial"/>
                  <w:sz w:val="13"/>
                  <w:szCs w:val="13"/>
                  <w:color w:val="0000EE"/>
                </w:rPr>
                <w:t>Federal Income Tax Consequences</w:t>
              </w:r>
            </w:hyperlink>
          </w:p>
        </w:tc>
        <w:tc>
          <w:tcPr>
            <w:tcW w:w="1860" w:type="dxa"/>
            <w:vAlign w:val="bottom"/>
            <w:gridSpan w:val="2"/>
            <w:shd w:val="clear" w:color="auto" w:fill="CCEEFF"/>
          </w:tcPr>
          <w:p>
            <w:pPr>
              <w:jc w:val="center"/>
              <w:ind w:left="1677"/>
              <w:spacing w:after="0"/>
              <w:rPr>
                <w:rFonts w:ascii="Arial" w:cs="Arial" w:eastAsia="Arial" w:hAnsi="Arial"/>
                <w:sz w:val="13"/>
                <w:szCs w:val="13"/>
                <w:color w:val="0000EE"/>
                <w:w w:val="82"/>
              </w:rPr>
            </w:pPr>
            <w:hyperlink w:anchor="page46">
              <w:r>
                <w:rPr>
                  <w:rFonts w:ascii="Arial" w:cs="Arial" w:eastAsia="Arial" w:hAnsi="Arial"/>
                  <w:sz w:val="13"/>
                  <w:szCs w:val="13"/>
                  <w:color w:val="0000EE"/>
                  <w:w w:val="82"/>
                </w:rPr>
                <w:t>41</w:t>
              </w:r>
            </w:hyperlink>
          </w:p>
        </w:tc>
        <w:tc>
          <w:tcPr>
            <w:tcW w:w="90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940" w:type="dxa"/>
            <w:vAlign w:val="bottom"/>
            <w:gridSpan w:val="10"/>
          </w:tcPr>
          <w:p>
            <w:pPr>
              <w:spacing w:after="0"/>
              <w:rPr>
                <w:rFonts w:ascii="Arial" w:cs="Arial" w:eastAsia="Arial" w:hAnsi="Arial"/>
                <w:sz w:val="13"/>
                <w:szCs w:val="13"/>
                <w:color w:val="0000EE"/>
              </w:rPr>
            </w:pPr>
            <w:hyperlink w:anchor="page47">
              <w:r>
                <w:rPr>
                  <w:rFonts w:ascii="Arial" w:cs="Arial" w:eastAsia="Arial" w:hAnsi="Arial"/>
                  <w:sz w:val="13"/>
                  <w:szCs w:val="13"/>
                  <w:color w:val="0000EE"/>
                </w:rPr>
                <w:t>Plan Benefits</w:t>
              </w:r>
            </w:hyperlink>
          </w:p>
        </w:tc>
        <w:tc>
          <w:tcPr>
            <w:tcW w:w="260" w:type="dxa"/>
            <w:vAlign w:val="bottom"/>
            <w:gridSpan w:val="2"/>
          </w:tcPr>
          <w:p>
            <w:pPr>
              <w:jc w:val="center"/>
              <w:spacing w:after="0"/>
              <w:rPr>
                <w:rFonts w:ascii="Arial" w:cs="Arial" w:eastAsia="Arial" w:hAnsi="Arial"/>
                <w:sz w:val="13"/>
                <w:szCs w:val="13"/>
                <w:color w:val="0000EE"/>
                <w:w w:val="82"/>
              </w:rPr>
            </w:pPr>
            <w:hyperlink w:anchor="page47">
              <w:r>
                <w:rPr>
                  <w:rFonts w:ascii="Arial" w:cs="Arial" w:eastAsia="Arial" w:hAnsi="Arial"/>
                  <w:sz w:val="13"/>
                  <w:szCs w:val="13"/>
                  <w:color w:val="0000EE"/>
                  <w:w w:val="82"/>
                </w:rPr>
                <w:t>42</w:t>
              </w:r>
            </w:hyperlink>
          </w:p>
        </w:tc>
        <w:tc>
          <w:tcPr>
            <w:tcW w:w="84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940" w:type="dxa"/>
            <w:vAlign w:val="bottom"/>
            <w:gridSpan w:val="10"/>
            <w:shd w:val="clear" w:color="auto" w:fill="CCEEFF"/>
          </w:tcPr>
          <w:p>
            <w:pPr>
              <w:spacing w:after="0"/>
              <w:rPr>
                <w:rFonts w:ascii="Arial" w:cs="Arial" w:eastAsia="Arial" w:hAnsi="Arial"/>
                <w:sz w:val="13"/>
                <w:szCs w:val="13"/>
                <w:color w:val="0000EE"/>
              </w:rPr>
            </w:pPr>
            <w:hyperlink w:anchor="page47">
              <w:r>
                <w:rPr>
                  <w:rFonts w:ascii="Arial" w:cs="Arial" w:eastAsia="Arial" w:hAnsi="Arial"/>
                  <w:sz w:val="13"/>
                  <w:szCs w:val="13"/>
                  <w:color w:val="0000EE"/>
                </w:rPr>
                <w:t>Vote Required</w:t>
              </w:r>
            </w:hyperlink>
          </w:p>
        </w:tc>
        <w:tc>
          <w:tcPr>
            <w:tcW w:w="260" w:type="dxa"/>
            <w:vAlign w:val="bottom"/>
            <w:tcBorders>
              <w:right w:val="single" w:sz="8" w:color="CCEEFF"/>
            </w:tcBorders>
            <w:gridSpan w:val="2"/>
            <w:shd w:val="clear" w:color="auto" w:fill="CCEEFF"/>
          </w:tcPr>
          <w:p>
            <w:pPr>
              <w:jc w:val="center"/>
              <w:spacing w:after="0"/>
              <w:rPr>
                <w:rFonts w:ascii="Arial" w:cs="Arial" w:eastAsia="Arial" w:hAnsi="Arial"/>
                <w:sz w:val="13"/>
                <w:szCs w:val="13"/>
                <w:color w:val="0000EE"/>
                <w:w w:val="82"/>
              </w:rPr>
            </w:pPr>
            <w:hyperlink w:anchor="page47">
              <w:r>
                <w:rPr>
                  <w:rFonts w:ascii="Arial" w:cs="Arial" w:eastAsia="Arial" w:hAnsi="Arial"/>
                  <w:sz w:val="13"/>
                  <w:szCs w:val="13"/>
                  <w:color w:val="0000EE"/>
                  <w:w w:val="82"/>
                </w:rPr>
                <w:t>42</w:t>
              </w:r>
            </w:hyperlink>
          </w:p>
        </w:tc>
        <w:tc>
          <w:tcPr>
            <w:tcW w:w="84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0280" w:type="dxa"/>
            <w:vAlign w:val="bottom"/>
            <w:gridSpan w:val="11"/>
          </w:tcPr>
          <w:p>
            <w:pPr>
              <w:spacing w:after="0"/>
              <w:rPr>
                <w:rFonts w:ascii="Arial" w:cs="Arial" w:eastAsia="Arial" w:hAnsi="Arial"/>
                <w:sz w:val="13"/>
                <w:szCs w:val="13"/>
                <w:color w:val="0000FF"/>
              </w:rPr>
            </w:pPr>
            <w:hyperlink w:anchor="page47">
              <w:r>
                <w:rPr>
                  <w:rFonts w:ascii="Arial" w:cs="Arial" w:eastAsia="Arial" w:hAnsi="Arial"/>
                  <w:sz w:val="13"/>
                  <w:szCs w:val="13"/>
                  <w:color w:val="0000FF"/>
                </w:rPr>
                <w:t>Securities Authorized for Issuance Under Equity Compensation Plans</w:t>
              </w:r>
            </w:hyperlink>
          </w:p>
        </w:tc>
        <w:tc>
          <w:tcPr>
            <w:tcW w:w="260" w:type="dxa"/>
            <w:vAlign w:val="bottom"/>
            <w:gridSpan w:val="2"/>
          </w:tcPr>
          <w:p>
            <w:pPr>
              <w:jc w:val="center"/>
              <w:spacing w:after="0"/>
              <w:rPr>
                <w:rFonts w:ascii="Arial" w:cs="Arial" w:eastAsia="Arial" w:hAnsi="Arial"/>
                <w:sz w:val="13"/>
                <w:szCs w:val="13"/>
                <w:color w:val="0000FF"/>
                <w:w w:val="82"/>
              </w:rPr>
            </w:pPr>
            <w:hyperlink w:anchor="page47">
              <w:r>
                <w:rPr>
                  <w:rFonts w:ascii="Arial" w:cs="Arial" w:eastAsia="Arial" w:hAnsi="Arial"/>
                  <w:sz w:val="13"/>
                  <w:szCs w:val="13"/>
                  <w:color w:val="0000FF"/>
                  <w:w w:val="82"/>
                </w:rPr>
                <w:t>42</w:t>
              </w:r>
            </w:hyperlink>
          </w:p>
        </w:tc>
        <w:tc>
          <w:tcPr>
            <w:tcW w:w="84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gridSpan w:val="5"/>
            <w:shd w:val="clear" w:color="auto" w:fill="CCEEFF"/>
          </w:tcPr>
          <w:p>
            <w:pPr>
              <w:spacing w:after="0"/>
              <w:rPr>
                <w:rFonts w:ascii="Arial" w:cs="Arial" w:eastAsia="Arial" w:hAnsi="Arial"/>
                <w:sz w:val="13"/>
                <w:szCs w:val="13"/>
                <w:color w:val="0000FF"/>
                <w:w w:val="86"/>
              </w:rPr>
            </w:pPr>
            <w:hyperlink w:anchor="page48">
              <w:r>
                <w:rPr>
                  <w:rFonts w:ascii="Arial" w:cs="Arial" w:eastAsia="Arial" w:hAnsi="Arial"/>
                  <w:sz w:val="13"/>
                  <w:szCs w:val="13"/>
                  <w:color w:val="0000FF"/>
                  <w:w w:val="86"/>
                </w:rPr>
                <w:t>Proposals of Stockholders</w:t>
              </w:r>
            </w:hyperlink>
          </w:p>
        </w:tc>
        <w:tc>
          <w:tcPr>
            <w:tcW w:w="8960" w:type="dxa"/>
            <w:vAlign w:val="bottom"/>
            <w:gridSpan w:val="6"/>
            <w:shd w:val="clear" w:color="auto" w:fill="CCEEFF"/>
          </w:tcPr>
          <w:p>
            <w:pPr>
              <w:spacing w:after="0"/>
              <w:rPr>
                <w:sz w:val="12"/>
                <w:szCs w:val="12"/>
                <w:color w:val="auto"/>
              </w:rPr>
            </w:pPr>
          </w:p>
        </w:tc>
        <w:tc>
          <w:tcPr>
            <w:tcW w:w="260" w:type="dxa"/>
            <w:vAlign w:val="bottom"/>
            <w:tcBorders>
              <w:right w:val="single" w:sz="8" w:color="CCEEFF"/>
            </w:tcBorders>
            <w:gridSpan w:val="2"/>
            <w:shd w:val="clear" w:color="auto" w:fill="CCEEFF"/>
          </w:tcPr>
          <w:p>
            <w:pPr>
              <w:jc w:val="center"/>
              <w:spacing w:after="0"/>
              <w:rPr>
                <w:rFonts w:ascii="Arial" w:cs="Arial" w:eastAsia="Arial" w:hAnsi="Arial"/>
                <w:sz w:val="13"/>
                <w:szCs w:val="13"/>
                <w:color w:val="0000FF"/>
                <w:w w:val="82"/>
              </w:rPr>
            </w:pPr>
            <w:hyperlink w:anchor="page48">
              <w:r>
                <w:rPr>
                  <w:rFonts w:ascii="Arial" w:cs="Arial" w:eastAsia="Arial" w:hAnsi="Arial"/>
                  <w:sz w:val="13"/>
                  <w:szCs w:val="13"/>
                  <w:color w:val="0000FF"/>
                  <w:w w:val="82"/>
                </w:rPr>
                <w:t>43</w:t>
              </w:r>
            </w:hyperlink>
          </w:p>
        </w:tc>
        <w:tc>
          <w:tcPr>
            <w:tcW w:w="84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gridSpan w:val="5"/>
          </w:tcPr>
          <w:p>
            <w:pPr>
              <w:spacing w:after="0"/>
              <w:rPr>
                <w:rFonts w:ascii="Arial" w:cs="Arial" w:eastAsia="Arial" w:hAnsi="Arial"/>
                <w:sz w:val="13"/>
                <w:szCs w:val="13"/>
                <w:color w:val="0000FF"/>
              </w:rPr>
            </w:pPr>
            <w:hyperlink w:anchor="page48">
              <w:r>
                <w:rPr>
                  <w:rFonts w:ascii="Arial" w:cs="Arial" w:eastAsia="Arial" w:hAnsi="Arial"/>
                  <w:sz w:val="13"/>
                  <w:szCs w:val="13"/>
                  <w:color w:val="0000FF"/>
                </w:rPr>
                <w:t>Other Matters</w:t>
              </w:r>
            </w:hyperlink>
          </w:p>
        </w:tc>
        <w:tc>
          <w:tcPr>
            <w:tcW w:w="8960" w:type="dxa"/>
            <w:vAlign w:val="bottom"/>
            <w:gridSpan w:val="6"/>
          </w:tcPr>
          <w:p>
            <w:pPr>
              <w:spacing w:after="0"/>
              <w:rPr>
                <w:sz w:val="12"/>
                <w:szCs w:val="12"/>
                <w:color w:val="auto"/>
              </w:rPr>
            </w:pPr>
          </w:p>
        </w:tc>
        <w:tc>
          <w:tcPr>
            <w:tcW w:w="260" w:type="dxa"/>
            <w:vAlign w:val="bottom"/>
            <w:gridSpan w:val="2"/>
          </w:tcPr>
          <w:p>
            <w:pPr>
              <w:jc w:val="center"/>
              <w:spacing w:after="0"/>
              <w:rPr>
                <w:rFonts w:ascii="Arial" w:cs="Arial" w:eastAsia="Arial" w:hAnsi="Arial"/>
                <w:sz w:val="13"/>
                <w:szCs w:val="13"/>
                <w:color w:val="0000FF"/>
                <w:w w:val="82"/>
              </w:rPr>
            </w:pPr>
            <w:hyperlink w:anchor="page48">
              <w:r>
                <w:rPr>
                  <w:rFonts w:ascii="Arial" w:cs="Arial" w:eastAsia="Arial" w:hAnsi="Arial"/>
                  <w:sz w:val="13"/>
                  <w:szCs w:val="13"/>
                  <w:color w:val="0000FF"/>
                  <w:w w:val="82"/>
                </w:rPr>
                <w:t>44</w:t>
              </w:r>
            </w:hyperlink>
          </w:p>
        </w:tc>
        <w:tc>
          <w:tcPr>
            <w:tcW w:w="84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940" w:type="dxa"/>
            <w:vAlign w:val="bottom"/>
            <w:gridSpan w:val="10"/>
            <w:shd w:val="clear" w:color="auto" w:fill="CCEEFF"/>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Matters That May Come Before the Annual Meeting</w:t>
              </w:r>
            </w:hyperlink>
          </w:p>
        </w:tc>
        <w:tc>
          <w:tcPr>
            <w:tcW w:w="260" w:type="dxa"/>
            <w:vAlign w:val="bottom"/>
            <w:tcBorders>
              <w:right w:val="single" w:sz="8" w:color="CCEEFF"/>
            </w:tcBorders>
            <w:gridSpan w:val="2"/>
            <w:shd w:val="clear" w:color="auto" w:fill="CCEEFF"/>
          </w:tcPr>
          <w:p>
            <w:pPr>
              <w:jc w:val="center"/>
              <w:spacing w:after="0"/>
              <w:rPr>
                <w:rFonts w:ascii="Arial" w:cs="Arial" w:eastAsia="Arial" w:hAnsi="Arial"/>
                <w:sz w:val="13"/>
                <w:szCs w:val="13"/>
                <w:color w:val="0000FF"/>
                <w:w w:val="82"/>
              </w:rPr>
            </w:pPr>
            <w:hyperlink w:anchor="page49">
              <w:r>
                <w:rPr>
                  <w:rFonts w:ascii="Arial" w:cs="Arial" w:eastAsia="Arial" w:hAnsi="Arial"/>
                  <w:sz w:val="13"/>
                  <w:szCs w:val="13"/>
                  <w:color w:val="0000FF"/>
                  <w:w w:val="82"/>
                </w:rPr>
                <w:t>44</w:t>
              </w:r>
            </w:hyperlink>
          </w:p>
        </w:tc>
        <w:tc>
          <w:tcPr>
            <w:tcW w:w="84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6"/>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Availability of Form 10-K</w:t>
              </w:r>
            </w:hyperlink>
          </w:p>
        </w:tc>
        <w:tc>
          <w:tcPr>
            <w:tcW w:w="7280" w:type="dxa"/>
            <w:vAlign w:val="bottom"/>
            <w:gridSpan w:val="4"/>
          </w:tcPr>
          <w:p>
            <w:pPr>
              <w:spacing w:after="0"/>
              <w:rPr>
                <w:sz w:val="12"/>
                <w:szCs w:val="12"/>
                <w:color w:val="auto"/>
              </w:rPr>
            </w:pPr>
          </w:p>
        </w:tc>
        <w:tc>
          <w:tcPr>
            <w:tcW w:w="260" w:type="dxa"/>
            <w:vAlign w:val="bottom"/>
            <w:gridSpan w:val="2"/>
          </w:tcPr>
          <w:p>
            <w:pPr>
              <w:jc w:val="center"/>
              <w:spacing w:after="0"/>
              <w:rPr>
                <w:rFonts w:ascii="Arial" w:cs="Arial" w:eastAsia="Arial" w:hAnsi="Arial"/>
                <w:sz w:val="13"/>
                <w:szCs w:val="13"/>
                <w:color w:val="0000FF"/>
                <w:w w:val="82"/>
              </w:rPr>
            </w:pPr>
            <w:hyperlink w:anchor="page49">
              <w:r>
                <w:rPr>
                  <w:rFonts w:ascii="Arial" w:cs="Arial" w:eastAsia="Arial" w:hAnsi="Arial"/>
                  <w:sz w:val="13"/>
                  <w:szCs w:val="13"/>
                  <w:color w:val="0000FF"/>
                  <w:w w:val="82"/>
                </w:rPr>
                <w:t>44</w:t>
              </w:r>
            </w:hyperlink>
          </w:p>
        </w:tc>
        <w:tc>
          <w:tcPr>
            <w:tcW w:w="84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40" w:type="dxa"/>
            <w:vAlign w:val="bottom"/>
            <w:gridSpan w:val="9"/>
            <w:shd w:val="clear" w:color="auto" w:fill="CCEEFF"/>
          </w:tcPr>
          <w:p>
            <w:pPr>
              <w:spacing w:after="0"/>
              <w:rPr>
                <w:rFonts w:ascii="Arial" w:cs="Arial" w:eastAsia="Arial" w:hAnsi="Arial"/>
                <w:sz w:val="13"/>
                <w:szCs w:val="13"/>
                <w:color w:val="0000FF"/>
                <w:w w:val="89"/>
              </w:rPr>
            </w:pPr>
            <w:hyperlink w:anchor="page49">
              <w:r>
                <w:rPr>
                  <w:rFonts w:ascii="Arial" w:cs="Arial" w:eastAsia="Arial" w:hAnsi="Arial"/>
                  <w:sz w:val="13"/>
                  <w:szCs w:val="13"/>
                  <w:color w:val="0000FF"/>
                  <w:w w:val="89"/>
                </w:rPr>
                <w:t>Important Notice Regarding the Availability of Proxy Materials for the Stockholders Meeting to be held on November 13, 2014</w:t>
              </w:r>
            </w:hyperlink>
          </w:p>
        </w:tc>
        <w:tc>
          <w:tcPr>
            <w:tcW w:w="3500" w:type="dxa"/>
            <w:vAlign w:val="bottom"/>
            <w:shd w:val="clear" w:color="auto" w:fill="CCEEFF"/>
          </w:tcPr>
          <w:p>
            <w:pPr>
              <w:spacing w:after="0"/>
              <w:rPr>
                <w:sz w:val="12"/>
                <w:szCs w:val="12"/>
                <w:color w:val="auto"/>
              </w:rPr>
            </w:pPr>
          </w:p>
        </w:tc>
        <w:tc>
          <w:tcPr>
            <w:tcW w:w="260" w:type="dxa"/>
            <w:vAlign w:val="bottom"/>
            <w:tcBorders>
              <w:right w:val="single" w:sz="8" w:color="CCEEFF"/>
            </w:tcBorders>
            <w:gridSpan w:val="2"/>
            <w:shd w:val="clear" w:color="auto" w:fill="CCEEFF"/>
          </w:tcPr>
          <w:p>
            <w:pPr>
              <w:jc w:val="center"/>
              <w:spacing w:after="0"/>
              <w:rPr>
                <w:rFonts w:ascii="Arial" w:cs="Arial" w:eastAsia="Arial" w:hAnsi="Arial"/>
                <w:sz w:val="13"/>
                <w:szCs w:val="13"/>
                <w:color w:val="0000FF"/>
                <w:w w:val="82"/>
              </w:rPr>
            </w:pPr>
            <w:hyperlink w:anchor="page49">
              <w:r>
                <w:rPr>
                  <w:rFonts w:ascii="Arial" w:cs="Arial" w:eastAsia="Arial" w:hAnsi="Arial"/>
                  <w:sz w:val="13"/>
                  <w:szCs w:val="13"/>
                  <w:color w:val="0000FF"/>
                  <w:w w:val="82"/>
                </w:rPr>
                <w:t>44</w:t>
              </w:r>
            </w:hyperlink>
          </w:p>
        </w:tc>
        <w:tc>
          <w:tcPr>
            <w:tcW w:w="84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0280" w:type="dxa"/>
            <w:vAlign w:val="bottom"/>
            <w:gridSpan w:val="11"/>
          </w:tcPr>
          <w:p>
            <w:pPr>
              <w:spacing w:after="0"/>
              <w:rPr>
                <w:rFonts w:ascii="Arial" w:cs="Arial" w:eastAsia="Arial" w:hAnsi="Arial"/>
                <w:sz w:val="13"/>
                <w:szCs w:val="13"/>
                <w:color w:val="0000EE"/>
              </w:rPr>
            </w:pPr>
            <w:hyperlink w:anchor="page49">
              <w:r>
                <w:rPr>
                  <w:rFonts w:ascii="Arial" w:cs="Arial" w:eastAsia="Arial" w:hAnsi="Arial"/>
                  <w:sz w:val="13"/>
                  <w:szCs w:val="13"/>
                  <w:color w:val="0000EE"/>
                </w:rPr>
                <w:t>Exhibit A: Amendment Number 1 to the Matrix Service Company 2012 Stock and Incentive Compensation Plan</w:t>
              </w:r>
            </w:hyperlink>
          </w:p>
        </w:tc>
        <w:tc>
          <w:tcPr>
            <w:tcW w:w="1100" w:type="dxa"/>
            <w:vAlign w:val="bottom"/>
            <w:gridSpan w:val="3"/>
          </w:tcPr>
          <w:p>
            <w:pPr>
              <w:jc w:val="center"/>
              <w:ind w:right="840"/>
              <w:spacing w:after="0"/>
              <w:rPr>
                <w:rFonts w:ascii="Arial" w:cs="Arial" w:eastAsia="Arial" w:hAnsi="Arial"/>
                <w:sz w:val="13"/>
                <w:szCs w:val="13"/>
                <w:color w:val="0000EE"/>
                <w:w w:val="94"/>
              </w:rPr>
            </w:pPr>
            <w:hyperlink w:anchor="page49">
              <w:r>
                <w:rPr>
                  <w:rFonts w:ascii="Arial" w:cs="Arial" w:eastAsia="Arial" w:hAnsi="Arial"/>
                  <w:sz w:val="13"/>
                  <w:szCs w:val="13"/>
                  <w:color w:val="0000EE"/>
                  <w:w w:val="94"/>
                </w:rPr>
                <w:t>A - 1</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13, 2014</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accompanying proxy is solicited by the Board of Directors of Matrix Service Company (“Matrix”, the “Company”, “we”, “our” or “us”) for use at the Annual Meeting of Stockholders to be held on November 13, 2014, and at any adjournments thereof for the purposes set forth in the accompanying Notice of 2014 Annual Meeting of Stockholders. The Annual Meeting will be held at 2:00 p.m., Central time, at the Company’s Corporate Headquarters, 5100 East Skelly Drive, Tulsa, Oklahoma. This proxy statement and accompanying proxy were first sent on or about October 10, 2014 to stockholders of record on September 26, 2014. The annual report of the Company on Form 10-K for the fiscal year ended June 30, 2014 accompanies this proxy statement.</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700, Tulsa, Oklahoma, 74135, or by a later dated vote by Internet or by telephone. The proxy also may be revoked if the stockholder is present at the meeting and elects to vote in person.</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but may be reimbursed for their out-of-pocket expenses in connection therewith.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close of business on the record date of September 26, 2014 there were 26,513,271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may be specified on all proposals, except the election of directors. Abstentions on Proposal Numbers 2, 3 and 4 will have the effect of a negative vote. A “broker non-vote” will have no effect on the outcome of the election of directors or the other proposals.</w:t>
      </w:r>
    </w:p>
    <w:p>
      <w:pPr>
        <w:spacing w:after="0" w:line="2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w:t>
      </w:r>
      <w:r>
        <w:rPr>
          <w:rFonts w:ascii="Arial" w:cs="Arial" w:eastAsia="Arial" w:hAnsi="Arial"/>
          <w:sz w:val="16"/>
          <w:szCs w:val="16"/>
          <w:color w:val="auto"/>
        </w:rPr>
        <w:t xml:space="preserve"> </w:t>
      </w:r>
      <w:r>
        <w:rPr>
          <w:rFonts w:ascii="Arial" w:cs="Arial" w:eastAsia="Arial" w:hAnsi="Arial"/>
          <w:sz w:val="16"/>
          <w:szCs w:val="16"/>
          <w:b w:val="1"/>
          <w:bCs w:val="1"/>
          <w:color w:val="auto"/>
        </w:rPr>
        <w:t>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Certificate of Incorporation and Bylaws provide that the number of directors on the Board shall be fixed from time to time by the Board of Directors but shall not be less than three nor more than 15 persons. The Board has fixed its size at seven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recommends that you vote “For” the election of the seven nominees identified below who have been nominated to serve as directors until the next annual meeting of stockholders or until their successors are duly elected and qualified. Proxies solicited hereby will be voted “For” all seven nominees unless stockholders specify otherwise in their proxies. The seven nominees who receive the highest number of affirmative votes of the shares voting shall be elected as directors.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at the time of the 2014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for service on the Board of Directors.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of Directors being effective.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Michael J. Hall</w:t>
      </w:r>
      <w:r>
        <w:rPr>
          <w:rFonts w:ascii="Arial" w:cs="Arial" w:eastAsia="Arial" w:hAnsi="Arial"/>
          <w:sz w:val="17"/>
          <w:szCs w:val="17"/>
          <w:color w:val="auto"/>
        </w:rPr>
        <w:t>, age 70, was first elected as a director of the Company effective October 1998 and was elected Chairman of the Board in November 2006.</w:t>
      </w:r>
      <w:r>
        <w:rPr>
          <w:rFonts w:ascii="Arial" w:cs="Arial" w:eastAsia="Arial" w:hAnsi="Arial"/>
          <w:sz w:val="17"/>
          <w:szCs w:val="17"/>
          <w:b w:val="1"/>
          <w:bCs w:val="1"/>
          <w:color w:val="auto"/>
        </w:rPr>
        <w:t xml:space="preserve"> </w:t>
      </w:r>
      <w:r>
        <w:rPr>
          <w:rFonts w:ascii="Arial" w:cs="Arial" w:eastAsia="Arial" w:hAnsi="Arial"/>
          <w:sz w:val="17"/>
          <w:szCs w:val="17"/>
          <w:color w:val="auto"/>
        </w:rPr>
        <w:t>Mr. Hall previously served as President and Chief Executive Officer of the Company from March 2005 until his retirement in November 2006. Mr. Hall also served as Vice President, Finance and Chief Financial Officer of the Company from November 1998 until his initial retirement in May 2004. Prior to working for Matrix Service Company,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member of the Board of Directors of Alliance G.P., LLC (the general partner of Alliance Holdings, G.P., L.P.); a member of the Board of Directors of Alliance Resource Management G.P., LLC (the managing general partner of Alliance Resources Partners, L.P.); former director and Chairman of the Board of Integrated Electrical Services, Inc.; and a former Independent Trustee and Chairman of the Board of Trustees for American Performance Funds.</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and his extensive experience and expertise in complex financial and operational matters gained from his service as a Chief Financial Officer and a Chief Executive Officer.</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John R. Hewitt</w:t>
      </w:r>
      <w:r>
        <w:rPr>
          <w:rFonts w:ascii="Arial" w:cs="Arial" w:eastAsia="Arial" w:hAnsi="Arial"/>
          <w:sz w:val="17"/>
          <w:szCs w:val="17"/>
          <w:color w:val="auto"/>
        </w:rPr>
        <w:t>, age 56, was appointed as President and Chief Executive Officer and as a director of the Company in May 2011. Mr. Hewitt has spent his</w:t>
      </w:r>
      <w:r>
        <w:rPr>
          <w:rFonts w:ascii="Arial" w:cs="Arial" w:eastAsia="Arial" w:hAnsi="Arial"/>
          <w:sz w:val="17"/>
          <w:szCs w:val="17"/>
          <w:b w:val="1"/>
          <w:bCs w:val="1"/>
          <w:color w:val="auto"/>
        </w:rPr>
        <w:t xml:space="preserve"> </w:t>
      </w:r>
      <w:r>
        <w:rPr>
          <w:rFonts w:ascii="Arial" w:cs="Arial" w:eastAsia="Arial" w:hAnsi="Arial"/>
          <w:sz w:val="17"/>
          <w:szCs w:val="17"/>
          <w:color w:val="auto"/>
        </w:rPr>
        <w:t>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 that, he served as President, Aker Construction Inc. where he had full profit and loss responsibility for a multi-disciplined direct hire industrial construction business operating throughout North America.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I. Edgar (Ed) Hendrix</w:t>
      </w:r>
      <w:r>
        <w:rPr>
          <w:rFonts w:ascii="Arial" w:cs="Arial" w:eastAsia="Arial" w:hAnsi="Arial"/>
          <w:sz w:val="17"/>
          <w:szCs w:val="17"/>
          <w:color w:val="auto"/>
        </w:rPr>
        <w:t>, age 70, was first elected as a director of the Company effective October 2000 and served as Chairman of the Board of Directors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2005 until November 2006. Mr. Hendrix served as President of Patriot Energy Resources, LLC from 2005 to 2012.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Paul K. Lackey</w:t>
      </w:r>
      <w:r>
        <w:rPr>
          <w:rFonts w:ascii="Arial" w:cs="Arial" w:eastAsia="Arial" w:hAnsi="Arial"/>
          <w:sz w:val="17"/>
          <w:szCs w:val="17"/>
          <w:color w:val="auto"/>
        </w:rPr>
        <w:t>, age 71, was first elected as a director of the Company effective October 2000. Mr. Lackey has served as Chairman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Chairman of the Board of St. John Health Systems and a member of the Economic Policy Council of the Kansas City Federal Reserve Bank.</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555555"/>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age 69, was first elected as a director of the Company effective May 2003. Mr. Maxwell has been Chairman of Flintco LLC ("Flintco")</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2013. Flintco is ranked 23rd by Engineering News-Record (ENR) among commercial construction companies in the United States. Prior to the assuming the Chairman role he was President and CEO and a Director of Flintco for twenty-six years. Prior to his election as President and Chief Executive Officer, Mr. Maxwell was the Chief Financial Officer and Division President of Flintco for four years. Mr. Maxwell began his career with five years at Deloitte &amp; Touche and was the Chief Financial Officer of a public company, Kanark Corporation, for seven years. Mr. Maxwell earned Undergraduate and Masters Degrees in Accounting at the University of Oklahoma and is a Certified Public Accountant (inactive). Mr. Maxwell is an advisory director of Commerce Bank in Tulsa, Oklahoma. In addition, Mr. Maxwell serves as a director for the Tulsa Metro Chamber of Commerce and Hillcrest Hospital.</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2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Jim W. Mogg, </w:t>
      </w:r>
      <w:r>
        <w:rPr>
          <w:rFonts w:ascii="Arial" w:cs="Arial" w:eastAsia="Arial" w:hAnsi="Arial"/>
          <w:sz w:val="16"/>
          <w:szCs w:val="16"/>
          <w:color w:val="auto"/>
        </w:rPr>
        <w:t>age 65, has served as a director since August 2013. Mr. Mogg has also served on the Board of Directors of ONEOK, Inc., a publicly traded</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energy company since July 2007 and ONEOK Partners, L.P., a publicly traded master limited partnership that operates natural gas and natural gas liquids gathering, processing, pipelines, and fractionation assets, since August 2009. Mr. Mogg served as Chairman of the Board of DCP Midstream GP, LLC, the general partner of DCP Midstream Partners, L.P., ("DCP Midstream") from August 2005 to April 2007. From January 2004 to September 2006, Mr.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Bill Barrett Corporation, an exploration and production company, where he is currently the non-executive Chairman.</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James H. Miller, </w:t>
      </w:r>
      <w:r>
        <w:rPr>
          <w:rFonts w:ascii="Arial" w:cs="Arial" w:eastAsia="Arial" w:hAnsi="Arial"/>
          <w:sz w:val="18"/>
          <w:szCs w:val="18"/>
          <w:color w:val="auto"/>
        </w:rPr>
        <w:t>age 59, has served as a director of the Company since since May 2014. Mr. Miller is currently Executive Vice President - Americas of</w:t>
      </w:r>
      <w:r>
        <w:rPr>
          <w:rFonts w:ascii="Arial" w:cs="Arial" w:eastAsia="Arial" w:hAnsi="Arial"/>
          <w:sz w:val="18"/>
          <w:szCs w:val="18"/>
          <w:b w:val="1"/>
          <w:bCs w:val="1"/>
          <w:color w:val="auto"/>
        </w:rPr>
        <w:t xml:space="preserve"> </w:t>
      </w:r>
      <w:r>
        <w:rPr>
          <w:rFonts w:ascii="Arial" w:cs="Arial" w:eastAsia="Arial" w:hAnsi="Arial"/>
          <w:sz w:val="18"/>
          <w:szCs w:val="18"/>
          <w:color w:val="auto"/>
        </w:rPr>
        <w:t>Kvaerner U.S., a position he has held since June 2011. He is also a Director and Officer for all remaining Kvaerner U.S. based legal and operating entities. From June 2008 through June 2011, Mr. Miller served as Chief Executive Officer &amp; President of Aker Philadelphia Shipyard. From June 2011 to April 2014, Mr. Miller also served as Chairman of the Board for Aker Philadelphia Shipyard ASA. Before going to the shipyard, Mr. Miller was President of Aker Solutions Process &amp; Construction Americas, where he was responsible for financial operations of seven business units which generated in excess of $1.0 billion in revenues per year. Prior to joining Aker Solutions Process &amp; Construction Americas, Mr. Miller held the position of President of Aker Construction, Inc., which was one of the largest union construction companies in North America. Mr. Miller graduated from the University of Edinboro in Pennsylvania with a Bachelors of Arts degree.</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Miller's extensive progressive leadership positions with a large multi-national construction contractor have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Pursuant to the applicable rules for companies traded on the NASDAQ Global Market System (“NASDAQ”) and the rules and regulations of the Securities and Exchange Commission (“SEC”), the Board of Directors has adopted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of Directors has affirmatively determined that each of Mr. Hall, Mr. Hendrix, Mr. Lackey, Mr. Maxwell, Mr. Mogg and Mr. Miller are “independent” under the guidelines. Mr. Hewitt is not considered to be independent because of his current employment as President and Chief Executive Officer of the Company. In evaluating Mr. Miller's independence, the Board considered his indirect interest, as an executive officer of the seller, in the December 2013 acquisition of Kvaerner North American Construction. The acquisition is described in the Company's fiscal 2014 Annual Report on Form 10-K. The Board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concluded that his independence was not impaired since Mr. Miller joined the Board approximately five months after the transaction closed and, subsequent to the acquisition, the companies have had no client/customer, vendor/supplier, contractor/subcontractor or other relationship that could potentially impair Mr. Miller's independent judgment.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also considered Mr. Miller's familial relationships in assessing his independence. Mr. Miller's son and son-in-law are employees of Kvaerner North American Construction, subsequently renamed Matrix North American Construction. The Board concluded that these relationships do not impair Mr. Miller's independence as neither his son nor his son-in-law hold executive officer positions within Matrix North American Construction and are several levels below the level of executive officers of Matrix Service Company.</w:t>
      </w:r>
    </w:p>
    <w:p>
      <w:pPr>
        <w:spacing w:after="0" w:line="13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has six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Board of Directors met nine times during fiscal year 2014. The Board has three standing committees – the Audit Committee, the Compensation Committee, and the Nominating and Corporate Governance Committee. Each of the members of each of the committees qualifies as an “independent director” under the NASDAQ listing standards. During fiscal 2014, each director attended a minimum of 75% of the total number of meetings of the Board and of the total number of meetings held by all committees of which he was a member. Mr. Miller attended all meetings of the Board subsequent to his appointment in May 2014.</w:t>
      </w:r>
    </w:p>
    <w:p>
      <w:pPr>
        <w:spacing w:after="0" w:line="13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Corporate Governance Guidelines provide that each director is expected to attend the annual meetings of stockholders of the Company. All of the members of the Company’s Board of Directors who were serving as directors at the time of the 2013 annual meeting attended the 2013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0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682"/>
        </w:trPr>
        <w:tc>
          <w:tcPr>
            <w:tcW w:w="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547"/>
        </w:trPr>
        <w:tc>
          <w:tcPr>
            <w:tcW w:w="504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6380" w:type="dxa"/>
            <w:vAlign w:val="bottom"/>
            <w:gridSpan w:val="4"/>
          </w:tcPr>
          <w:p>
            <w:pPr>
              <w:ind w:left="700"/>
              <w:spacing w:after="0"/>
              <w:rPr>
                <w:sz w:val="20"/>
                <w:szCs w:val="20"/>
                <w:color w:val="auto"/>
              </w:rPr>
            </w:pPr>
            <w:r>
              <w:rPr>
                <w:rFonts w:ascii="Arial" w:cs="Arial" w:eastAsia="Arial" w:hAnsi="Arial"/>
                <w:sz w:val="18"/>
                <w:szCs w:val="18"/>
                <w:b w:val="1"/>
                <w:bCs w:val="1"/>
                <w:color w:val="auto"/>
              </w:rPr>
              <w:t>Fiscal 2014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 Edgar Hendrix, Chairman</w:t>
            </w:r>
          </w:p>
        </w:tc>
        <w:tc>
          <w:tcPr>
            <w:tcW w:w="638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Served all of Fiscal 2014</w:t>
            </w:r>
          </w:p>
        </w:tc>
      </w:tr>
      <w:tr>
        <w:trPr>
          <w:trHeight w:val="243"/>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Paul K. Lackey, Member</w:t>
            </w:r>
          </w:p>
        </w:tc>
        <w:tc>
          <w:tcPr>
            <w:tcW w:w="6380" w:type="dxa"/>
            <w:vAlign w:val="bottom"/>
            <w:gridSpan w:val="4"/>
          </w:tcPr>
          <w:p>
            <w:pPr>
              <w:ind w:left="700"/>
              <w:spacing w:after="0"/>
              <w:rPr>
                <w:sz w:val="20"/>
                <w:szCs w:val="20"/>
                <w:color w:val="auto"/>
              </w:rPr>
            </w:pPr>
            <w:r>
              <w:rPr>
                <w:rFonts w:ascii="Arial" w:cs="Arial" w:eastAsia="Arial" w:hAnsi="Arial"/>
                <w:sz w:val="18"/>
                <w:szCs w:val="18"/>
                <w:color w:val="auto"/>
              </w:rPr>
              <w:t>Served all of Fiscal 2014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638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Served all of Fiscal 2014</w:t>
            </w:r>
          </w:p>
        </w:tc>
      </w:tr>
      <w:tr>
        <w:trPr>
          <w:trHeight w:val="243"/>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Jim W. Mogg, Member</w:t>
            </w:r>
          </w:p>
        </w:tc>
        <w:tc>
          <w:tcPr>
            <w:tcW w:w="6380" w:type="dxa"/>
            <w:vAlign w:val="bottom"/>
            <w:gridSpan w:val="4"/>
          </w:tcPr>
          <w:p>
            <w:pPr>
              <w:ind w:left="700"/>
              <w:spacing w:after="0"/>
              <w:rPr>
                <w:sz w:val="20"/>
                <w:szCs w:val="20"/>
                <w:color w:val="auto"/>
              </w:rPr>
            </w:pPr>
            <w:r>
              <w:rPr>
                <w:rFonts w:ascii="Arial" w:cs="Arial" w:eastAsia="Arial" w:hAnsi="Arial"/>
                <w:sz w:val="18"/>
                <w:szCs w:val="18"/>
                <w:color w:val="auto"/>
              </w:rPr>
              <w:t>Served a majority of Fiscal 2014 (a)</w:t>
            </w:r>
          </w:p>
        </w:tc>
      </w:tr>
    </w:tbl>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Audit Committee in August 2013.</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six meetings during fiscal 2014.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80" w:type="dxa"/>
            <w:vAlign w:val="bottom"/>
            <w:gridSpan w:val="5"/>
          </w:tcPr>
          <w:p>
            <w:pPr>
              <w:ind w:left="1380"/>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547"/>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Fiscal 2014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K. Lackey, Chairman</w:t>
            </w:r>
          </w:p>
        </w:tc>
        <w:tc>
          <w:tcPr>
            <w:tcW w:w="1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2014</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I. Edgar Hendrix, Member</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Served all of Fiscal 2014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1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2014</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Served a majority of Fiscal 2014 (a)</w:t>
            </w:r>
          </w:p>
        </w:tc>
      </w:tr>
    </w:tbl>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Compensation Committee in August 2013.</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six meetings during fiscal 2014. The Compensation Committee has no authority under its charter to delegate some or all of its authority to subcommittees or other persons and it has no current plans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fiscal 2014, the Compensation Committee was composed of I. Edgar Hendrix, Paul K. Lackey, Tom E. Maxwell and Jim W. Mogg, all of whom are non-employee directors of the Company. During fiscal 2014,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682"/>
        </w:trPr>
        <w:tc>
          <w:tcPr>
            <w:tcW w:w="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520" w:type="dxa"/>
            <w:vAlign w:val="bottom"/>
            <w:gridSpan w:val="5"/>
          </w:tcPr>
          <w:p>
            <w:pPr>
              <w:ind w:left="840"/>
              <w:spacing w:after="0"/>
              <w:rPr>
                <w:sz w:val="20"/>
                <w:szCs w:val="20"/>
                <w:color w:val="auto"/>
              </w:rPr>
            </w:pPr>
            <w:r>
              <w:rPr>
                <w:rFonts w:ascii="Arial" w:cs="Arial" w:eastAsia="Arial" w:hAnsi="Arial"/>
                <w:sz w:val="18"/>
                <w:szCs w:val="18"/>
                <w:b w:val="1"/>
                <w:bCs w:val="1"/>
                <w:color w:val="auto"/>
              </w:rPr>
              <w:t>Nominating and Corporate Governance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547"/>
        </w:trPr>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840" w:type="dxa"/>
            <w:vAlign w:val="bottom"/>
          </w:tcPr>
          <w:p>
            <w:pPr>
              <w:spacing w:after="0"/>
              <w:rPr>
                <w:sz w:val="24"/>
                <w:szCs w:val="24"/>
                <w:color w:val="auto"/>
              </w:rPr>
            </w:pPr>
          </w:p>
        </w:tc>
        <w:tc>
          <w:tcPr>
            <w:tcW w:w="7680" w:type="dxa"/>
            <w:vAlign w:val="bottom"/>
            <w:gridSpan w:val="4"/>
          </w:tcPr>
          <w:p>
            <w:pPr>
              <w:ind w:left="2000"/>
              <w:spacing w:after="0"/>
              <w:rPr>
                <w:sz w:val="20"/>
                <w:szCs w:val="20"/>
                <w:color w:val="auto"/>
              </w:rPr>
            </w:pPr>
            <w:r>
              <w:rPr>
                <w:rFonts w:ascii="Arial" w:cs="Arial" w:eastAsia="Arial" w:hAnsi="Arial"/>
                <w:sz w:val="18"/>
                <w:szCs w:val="18"/>
                <w:b w:val="1"/>
                <w:bCs w:val="1"/>
                <w:color w:val="auto"/>
              </w:rPr>
              <w:t>Fiscal 2014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Chairman</w:t>
            </w:r>
          </w:p>
        </w:tc>
        <w:tc>
          <w:tcPr>
            <w:tcW w:w="8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gridSpan w:val="4"/>
            <w:shd w:val="clear" w:color="auto" w:fill="CCEEFF"/>
          </w:tcPr>
          <w:p>
            <w:pPr>
              <w:ind w:left="2000"/>
              <w:spacing w:after="0"/>
              <w:rPr>
                <w:sz w:val="20"/>
                <w:szCs w:val="20"/>
                <w:color w:val="auto"/>
              </w:rPr>
            </w:pPr>
            <w:r>
              <w:rPr>
                <w:rFonts w:ascii="Arial" w:cs="Arial" w:eastAsia="Arial" w:hAnsi="Arial"/>
                <w:sz w:val="18"/>
                <w:szCs w:val="18"/>
                <w:color w:val="auto"/>
              </w:rPr>
              <w:t>Served all of Fiscal 2014</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I. Edgar Hendrix, Member</w:t>
            </w:r>
          </w:p>
        </w:tc>
        <w:tc>
          <w:tcPr>
            <w:tcW w:w="840" w:type="dxa"/>
            <w:vAlign w:val="bottom"/>
          </w:tcPr>
          <w:p>
            <w:pPr>
              <w:spacing w:after="0"/>
              <w:rPr>
                <w:sz w:val="21"/>
                <w:szCs w:val="21"/>
                <w:color w:val="auto"/>
              </w:rPr>
            </w:pPr>
          </w:p>
        </w:tc>
        <w:tc>
          <w:tcPr>
            <w:tcW w:w="7680" w:type="dxa"/>
            <w:vAlign w:val="bottom"/>
            <w:gridSpan w:val="4"/>
          </w:tcPr>
          <w:p>
            <w:pPr>
              <w:ind w:left="2000"/>
              <w:spacing w:after="0"/>
              <w:rPr>
                <w:sz w:val="20"/>
                <w:szCs w:val="20"/>
                <w:color w:val="auto"/>
              </w:rPr>
            </w:pPr>
            <w:r>
              <w:rPr>
                <w:rFonts w:ascii="Arial" w:cs="Arial" w:eastAsia="Arial" w:hAnsi="Arial"/>
                <w:sz w:val="18"/>
                <w:szCs w:val="18"/>
                <w:color w:val="auto"/>
              </w:rPr>
              <w:t>Served all of Fiscal 2014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Paul K. Lackey, Member</w:t>
            </w:r>
          </w:p>
        </w:tc>
        <w:tc>
          <w:tcPr>
            <w:tcW w:w="8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gridSpan w:val="4"/>
            <w:shd w:val="clear" w:color="auto" w:fill="CCEEFF"/>
          </w:tcPr>
          <w:p>
            <w:pPr>
              <w:ind w:left="2000"/>
              <w:spacing w:after="0"/>
              <w:rPr>
                <w:sz w:val="20"/>
                <w:szCs w:val="20"/>
                <w:color w:val="auto"/>
              </w:rPr>
            </w:pPr>
            <w:r>
              <w:rPr>
                <w:rFonts w:ascii="Arial" w:cs="Arial" w:eastAsia="Arial" w:hAnsi="Arial"/>
                <w:sz w:val="18"/>
                <w:szCs w:val="18"/>
                <w:color w:val="auto"/>
              </w:rPr>
              <w:t>Served all of Fiscal 2014</w:t>
            </w:r>
          </w:p>
        </w:tc>
      </w:tr>
      <w:tr>
        <w:trPr>
          <w:trHeight w:val="243"/>
        </w:trPr>
        <w:tc>
          <w:tcPr>
            <w:tcW w:w="2900" w:type="dxa"/>
            <w:vAlign w:val="bottom"/>
            <w:gridSpan w:val="4"/>
          </w:tcPr>
          <w:p>
            <w:pPr>
              <w:ind w:left="40"/>
              <w:spacing w:after="0"/>
              <w:rPr>
                <w:sz w:val="20"/>
                <w:szCs w:val="20"/>
                <w:color w:val="auto"/>
              </w:rPr>
            </w:pPr>
            <w:r>
              <w:rPr>
                <w:rFonts w:ascii="Arial" w:cs="Arial" w:eastAsia="Arial" w:hAnsi="Arial"/>
                <w:sz w:val="18"/>
                <w:szCs w:val="18"/>
                <w:color w:val="auto"/>
              </w:rPr>
              <w:t>Jim W. Mogg, Member</w:t>
            </w:r>
          </w:p>
        </w:tc>
        <w:tc>
          <w:tcPr>
            <w:tcW w:w="840" w:type="dxa"/>
            <w:vAlign w:val="bottom"/>
          </w:tcPr>
          <w:p>
            <w:pPr>
              <w:spacing w:after="0"/>
              <w:rPr>
                <w:sz w:val="21"/>
                <w:szCs w:val="21"/>
                <w:color w:val="auto"/>
              </w:rPr>
            </w:pPr>
          </w:p>
        </w:tc>
        <w:tc>
          <w:tcPr>
            <w:tcW w:w="7680" w:type="dxa"/>
            <w:vAlign w:val="bottom"/>
            <w:gridSpan w:val="4"/>
          </w:tcPr>
          <w:p>
            <w:pPr>
              <w:ind w:left="2000"/>
              <w:spacing w:after="0"/>
              <w:rPr>
                <w:sz w:val="20"/>
                <w:szCs w:val="20"/>
                <w:color w:val="auto"/>
              </w:rPr>
            </w:pPr>
            <w:r>
              <w:rPr>
                <w:rFonts w:ascii="Arial" w:cs="Arial" w:eastAsia="Arial" w:hAnsi="Arial"/>
                <w:sz w:val="18"/>
                <w:szCs w:val="18"/>
                <w:color w:val="auto"/>
              </w:rPr>
              <w:t>Served a majority of Fiscal 2014 (a)</w:t>
            </w:r>
          </w:p>
        </w:tc>
      </w:tr>
    </w:tbl>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Nominating and Corporate Governance Committee in August 2013.</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3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1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Executive sessions of the Board of Directors are held periodically. The sessions are chaired by the independent, non-executive Chairman of the Board. Any non-management director may request that an additional executive session be scheduled. Executive sessions of the independent directors are held on an as needed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contact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All communications will be compiled by the Company’s Corporate Secretary and submitted to the Board or the individual director on a periodic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non-employee director is strongly encouraged to have a significant investment in the Company. The Company’s Stock Ownership Guidelines for Directors, which were revised in August 2014, require each non-employee director own a number shares of our common stock equal to five times the annual cash retainer. The following types of equity can be used to satisfy the stock ownership requirements:</w:t>
      </w:r>
    </w:p>
    <w:p>
      <w:pPr>
        <w:spacing w:after="0" w:line="127" w:lineRule="exact"/>
        <w:rPr>
          <w:sz w:val="20"/>
          <w:szCs w:val="20"/>
          <w:color w:val="auto"/>
        </w:rPr>
      </w:pPr>
    </w:p>
    <w:p>
      <w:pPr>
        <w:ind w:left="920" w:right="760" w:hanging="331"/>
        <w:spacing w:after="0" w:line="25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right="40" w:hanging="331"/>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Existing directors have five years from the August 2014 date of adoption or revision of the guidelines to attain this level of ownership. Directors elected after the date of the adoption of the Stock Ownership Guidelines will have five years from the date of their election or appointment to the Board to attain this level of ownership. All of the non-employee directors with the exception of Mr. Jim W. Mogg, who was appointed in August 2013, and Mr. James H. Miller, who was appointed in May 2014, currently satisfy the requirements.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with director compensation is to position ourselves to attract and retain individuals with relevant business and leadership backgrounds and experience by providing a competitive package of cash and equity compensation.</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benchmark data from outside consultants and makes recommendations to the full Board for approval.</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Director compensation is generally reviewed on a bi-annual basis. In August 2012, the Committee engaged a third party compensation consultant, Meridian Compensation Partners, LLC (“Meridian”), to conduct a market study of director compensation. Meridian obtained benchmark data using published compensation surveys and proxy analysis of selected benchmark companies similar in size, location and industry. The companies included in the survey are consistent with those that we use to benchmark executive compensation.</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Based on the consultant’s findings and recommendations, the Committee concluded that total compensation for directors for fiscal 2013 should be $150,000 per year with 50% in cash and 50% in equity. The objective is to provide both a short-term cash component and a long-term component to total compensation that aligns the interests of directors with those of our stockholders through stock ownership. Therefore, the Committee recommended that the equity component of director compensation should continue to be time-based restricted stock units (“RSUs”) that cliff vest on the earlier of three years after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grant date or the directors' departure from the Board for any reason. The Committee also concluded that retainers for other Board duties should be adjusted to the following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ind w:left="3960"/>
              <w:spacing w:after="0"/>
              <w:rPr>
                <w:sz w:val="20"/>
                <w:szCs w:val="20"/>
                <w:color w:val="auto"/>
              </w:rPr>
            </w:pPr>
            <w:r>
              <w:rPr>
                <w:rFonts w:ascii="Arial" w:cs="Arial" w:eastAsia="Arial" w:hAnsi="Arial"/>
                <w:sz w:val="18"/>
                <w:szCs w:val="18"/>
                <w:color w:val="auto"/>
              </w:rPr>
              <w:t>Retainer</w:t>
            </w:r>
          </w:p>
        </w:tc>
        <w:tc>
          <w:tcPr>
            <w:tcW w:w="2640" w:type="dxa"/>
            <w:vAlign w:val="bottom"/>
          </w:tcPr>
          <w:p>
            <w:pPr>
              <w:jc w:val="right"/>
              <w:ind w:right="810"/>
              <w:spacing w:after="0"/>
              <w:rPr>
                <w:sz w:val="20"/>
                <w:szCs w:val="20"/>
                <w:color w:val="auto"/>
              </w:rPr>
            </w:pPr>
            <w:r>
              <w:rPr>
                <w:rFonts w:ascii="Arial" w:cs="Arial" w:eastAsia="Arial" w:hAnsi="Arial"/>
                <w:sz w:val="18"/>
                <w:szCs w:val="18"/>
                <w:color w:val="auto"/>
              </w:rPr>
              <w:t>Amount ($)</w:t>
            </w:r>
          </w:p>
        </w:tc>
      </w:tr>
      <w:tr>
        <w:trPr>
          <w:trHeight w:val="34"/>
        </w:trPr>
        <w:tc>
          <w:tcPr>
            <w:tcW w:w="8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 Chair</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Compensation Committee Chair</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 Chair</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50,000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changes to the compensation outlined above were made to fiscal 2014 director compensation.</w:t>
      </w:r>
    </w:p>
    <w:p>
      <w:pPr>
        <w:spacing w:after="0" w:line="17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Board of Directors also has a Deferred Fee Plan which allows directors to defer all or a portion of their cash compensation with interest. The effective interest rate for the subsequent calendar year is researched and approved by the Committee at the regularly-scheduled meeting each November. For fiscal 2014, the average interest rate was 5.0%. Non-employee directors are also permitted to invest their cash retainer in Company common stock through the Company’s 2011 Employee Stock Purchase Plan (“ESPP”). Investment through the ESPP is limited to $60,000 per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2014 is summarized in the table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Change in</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Fees</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Earned</w:t>
            </w:r>
          </w:p>
        </w:tc>
        <w:tc>
          <w:tcPr>
            <w:tcW w:w="15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Deferred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or Paid</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60" w:type="dxa"/>
            <w:vAlign w:val="bottom"/>
            <w:gridSpan w:val="2"/>
            <w:vMerge w:val="continue"/>
          </w:tcPr>
          <w:p>
            <w:pPr>
              <w:spacing w:after="0"/>
              <w:rPr>
                <w:sz w:val="12"/>
                <w:szCs w:val="12"/>
                <w:color w:val="auto"/>
              </w:rPr>
            </w:pPr>
          </w:p>
        </w:tc>
        <w:tc>
          <w:tcPr>
            <w:tcW w:w="14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(1)</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Cash</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J. Hall</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74,354</w:t>
            </w: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200,816</w:t>
            </w:r>
          </w:p>
        </w:tc>
        <w:tc>
          <w:tcPr>
            <w:tcW w:w="0" w:type="dxa"/>
            <w:vAlign w:val="bottom"/>
          </w:tcPr>
          <w:p>
            <w:pPr>
              <w:spacing w:after="0"/>
              <w:rPr>
                <w:sz w:val="1"/>
                <w:szCs w:val="1"/>
                <w:color w:val="auto"/>
              </w:rPr>
            </w:pPr>
          </w:p>
        </w:tc>
      </w:tr>
      <w:tr>
        <w:trPr>
          <w:trHeight w:val="264"/>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I. Edgar Hendrix</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90,000</w:t>
            </w: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74,354</w:t>
            </w:r>
          </w:p>
        </w:tc>
        <w:tc>
          <w:tcPr>
            <w:tcW w:w="100" w:type="dxa"/>
            <w:vAlign w:val="bottom"/>
          </w:tcPr>
          <w:p>
            <w:pPr>
              <w:spacing w:after="0"/>
              <w:rPr>
                <w:sz w:val="22"/>
                <w:szCs w:val="22"/>
                <w:color w:val="auto"/>
              </w:rPr>
            </w:pP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22"/>
                <w:szCs w:val="22"/>
                <w:color w:val="auto"/>
              </w:rPr>
            </w:pP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166,583</w:t>
            </w: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Paul K. Lackey</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74,354</w:t>
            </w:r>
          </w:p>
        </w:tc>
        <w:tc>
          <w:tcPr>
            <w:tcW w:w="1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3,756</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163,110</w:t>
            </w:r>
          </w:p>
        </w:tc>
        <w:tc>
          <w:tcPr>
            <w:tcW w:w="0" w:type="dxa"/>
            <w:vAlign w:val="bottom"/>
          </w:tcPr>
          <w:p>
            <w:pPr>
              <w:spacing w:after="0"/>
              <w:rPr>
                <w:sz w:val="1"/>
                <w:szCs w:val="1"/>
                <w:color w:val="auto"/>
              </w:rPr>
            </w:pPr>
          </w:p>
        </w:tc>
      </w:tr>
      <w:tr>
        <w:trPr>
          <w:trHeight w:val="264"/>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Tom E. Maxwell</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82,500</w:t>
            </w: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74,354</w:t>
            </w:r>
          </w:p>
        </w:tc>
        <w:tc>
          <w:tcPr>
            <w:tcW w:w="100" w:type="dxa"/>
            <w:vAlign w:val="bottom"/>
          </w:tcPr>
          <w:p>
            <w:pPr>
              <w:spacing w:after="0"/>
              <w:rPr>
                <w:sz w:val="22"/>
                <w:szCs w:val="22"/>
                <w:color w:val="auto"/>
              </w:rPr>
            </w:pP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22"/>
                <w:szCs w:val="22"/>
                <w:color w:val="auto"/>
              </w:rPr>
            </w:pP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160,574</w:t>
            </w: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Jim W. Mogg</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74,354</w:t>
            </w:r>
          </w:p>
        </w:tc>
        <w:tc>
          <w:tcPr>
            <w:tcW w:w="1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149,496</w:t>
            </w:r>
          </w:p>
        </w:tc>
        <w:tc>
          <w:tcPr>
            <w:tcW w:w="0" w:type="dxa"/>
            <w:vAlign w:val="bottom"/>
          </w:tcPr>
          <w:p>
            <w:pPr>
              <w:spacing w:after="0"/>
              <w:rPr>
                <w:sz w:val="1"/>
                <w:szCs w:val="1"/>
                <w:color w:val="auto"/>
              </w:rPr>
            </w:pPr>
          </w:p>
        </w:tc>
      </w:tr>
      <w:tr>
        <w:trPr>
          <w:trHeight w:val="258"/>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James H. Miller</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right="260" w:hanging="330"/>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John R. Hewitt is not included in this table since he is a current employee and thus received no compensation for his service as a director. The compensation received by Mr. Hewitt as an employee is shown in the Summary Compensation Table for our Named Executive Officers.</w:t>
      </w:r>
    </w:p>
    <w:p>
      <w:pPr>
        <w:spacing w:after="0" w:line="119" w:lineRule="exact"/>
        <w:rPr>
          <w:rFonts w:ascii="Arial" w:cs="Arial" w:eastAsia="Arial" w:hAnsi="Arial"/>
          <w:sz w:val="14"/>
          <w:szCs w:val="14"/>
          <w:color w:val="auto"/>
        </w:rPr>
      </w:pPr>
    </w:p>
    <w:p>
      <w:pPr>
        <w:ind w:left="460" w:right="20" w:hanging="330"/>
        <w:spacing w:after="0" w:line="25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Hall deferred $125,000 in fees, Mr. Hendrix deferred $54,000 in fees, Mr. Lackey deferred $85,000 in fees, Mr. Maxwell deferred $82,500 in fees, and Mr. Mogg deferred $56,250 in fees. Mr. Miller did not defer any fees. The Deferred Fee Plan is discussed in note (5) below. Mr. Miller's fees represent those earned after his appointment to the Board in May 2014.</w:t>
      </w:r>
    </w:p>
    <w:p>
      <w:pPr>
        <w:spacing w:after="0" w:line="134" w:lineRule="exact"/>
        <w:rPr>
          <w:rFonts w:ascii="Arial" w:cs="Arial" w:eastAsia="Arial" w:hAnsi="Arial"/>
          <w:sz w:val="14"/>
          <w:szCs w:val="14"/>
          <w:color w:val="auto"/>
        </w:rPr>
      </w:pPr>
    </w:p>
    <w:p>
      <w:pPr>
        <w:ind w:left="460" w:right="60" w:hanging="330"/>
        <w:spacing w:after="0" w:line="249"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the applicable accounting guidance for equity-based awards. For further information on the valuation of these awards see Notes 1 and 10 to the Consolidated Financial Statements included in our fiscal 2014 Annual Report on Form 10-K. For services provided as a member of the Board of Directors, each non-employee director received an award of 4,700 RSUs with a grant date fair value of $74,354, with exception of Mr. Miller who was not a Director when the RSUs were granted on August 27, 2013. As of June 30, 2014, Mr. Hall, Mr. Hendrix, Mr. Lackey, and Mr. Maxwell each had 17,300 unvested RSUs. Mr. Mogg had 4,700 unvested RSUs.</w:t>
      </w:r>
    </w:p>
    <w:p>
      <w:pPr>
        <w:spacing w:after="0" w:line="137" w:lineRule="exact"/>
        <w:rPr>
          <w:rFonts w:ascii="Arial" w:cs="Arial" w:eastAsia="Arial" w:hAnsi="Arial"/>
          <w:sz w:val="14"/>
          <w:szCs w:val="14"/>
          <w:color w:val="auto"/>
        </w:rPr>
      </w:pPr>
    </w:p>
    <w:p>
      <w:pPr>
        <w:ind w:left="460" w:hanging="330"/>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2014. As of June 30, 2014, Mr. Hendrix had 5,000 stock options outstanding.</w:t>
      </w:r>
    </w:p>
    <w:p>
      <w:pPr>
        <w:spacing w:after="0" w:line="163" w:lineRule="exact"/>
        <w:rPr>
          <w:rFonts w:ascii="Arial" w:cs="Arial" w:eastAsia="Arial" w:hAnsi="Arial"/>
          <w:sz w:val="14"/>
          <w:szCs w:val="14"/>
          <w:color w:val="auto"/>
        </w:rPr>
      </w:pPr>
    </w:p>
    <w:p>
      <w:pPr>
        <w:ind w:left="460" w:right="200" w:hanging="330"/>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2014, the market rate for the deferrals was 3.984% as compared to the actual average rate paid of 5.0%.</w:t>
      </w:r>
    </w:p>
    <w:p>
      <w:pPr>
        <w:spacing w:after="0" w:line="131" w:lineRule="exact"/>
        <w:rPr>
          <w:rFonts w:ascii="Arial" w:cs="Arial" w:eastAsia="Arial" w:hAnsi="Arial"/>
          <w:sz w:val="14"/>
          <w:szCs w:val="14"/>
          <w:color w:val="auto"/>
        </w:rPr>
      </w:pPr>
    </w:p>
    <w:p>
      <w:pPr>
        <w:ind w:left="460" w:right="120"/>
        <w:spacing w:after="0" w:line="273" w:lineRule="auto"/>
        <w:rPr>
          <w:rFonts w:ascii="Arial" w:cs="Arial" w:eastAsia="Arial" w:hAnsi="Arial"/>
          <w:sz w:val="14"/>
          <w:szCs w:val="14"/>
          <w:color w:val="auto"/>
        </w:rPr>
      </w:pPr>
      <w:r>
        <w:rPr>
          <w:rFonts w:ascii="Arial" w:cs="Arial" w:eastAsia="Arial" w:hAnsi="Arial"/>
          <w:sz w:val="14"/>
          <w:szCs w:val="14"/>
          <w:color w:val="auto"/>
        </w:rPr>
        <w:t>Previously, directors were allowed to defer fees in the form of phantom shares. The fees were converted into phantom shares based on the price of our stock on the deferral election date. At June 30, 2014, Mr. Maxwell held 1,565 phantom shares valued at $51,316.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270" w:lineRule="exact"/>
        <w:rPr>
          <w:sz w:val="20"/>
          <w:szCs w:val="20"/>
          <w:color w:val="auto"/>
        </w:rPr>
      </w:pPr>
    </w:p>
    <w:p>
      <w:pPr>
        <w:ind w:left="540" w:right="500" w:hanging="316"/>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12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2014;</w:t>
      </w:r>
    </w:p>
    <w:p>
      <w:pPr>
        <w:spacing w:after="0" w:line="170"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Auditing Standard No. 16 of the Public Company Accounting Oversight Board; and</w:t>
      </w:r>
    </w:p>
    <w:p>
      <w:pPr>
        <w:spacing w:after="0" w:line="170" w:lineRule="exact"/>
        <w:rPr>
          <w:rFonts w:ascii="Arial" w:cs="Arial" w:eastAsia="Arial" w:hAnsi="Arial"/>
          <w:sz w:val="18"/>
          <w:szCs w:val="18"/>
          <w:color w:val="auto"/>
        </w:rPr>
      </w:pPr>
    </w:p>
    <w:p>
      <w:pPr>
        <w:ind w:left="540" w:hanging="316"/>
        <w:spacing w:after="0" w:line="31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2014 for filing with the Securities and Exchange Commission. The Audit Committee, subject to ratification by the stockholders, has selected Deloitte &amp; Touche LLP as the Company’s independent registered public accounting firm for the year ending June 30, 2015.</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Audit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Audit Committee Member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Fees billed for audit services in fiscal 2014 and 2013 include fees associated with the annual audit, the reviews of our quarterly reports on Form 10-Q, the audit of our internal controls, and services performed in connection with other filings with the SEC. Fees for other services represent fees associated with the tax due diligence and acquisition structuring in connection with the December 20, 2013 acquisition of Kvaerner North American Construction. The acquisition is described in the Company's fiscal 2014 Annual Report on Form 10-K.</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Deloitte &amp; Touche LLP</w:t>
            </w:r>
          </w:p>
        </w:tc>
      </w:tr>
      <w:tr>
        <w:trPr>
          <w:trHeight w:val="264"/>
        </w:trPr>
        <w:tc>
          <w:tcPr>
            <w:tcW w:w="7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 2014</w:t>
            </w:r>
          </w:p>
        </w:tc>
        <w:tc>
          <w:tcPr>
            <w:tcW w:w="360" w:type="dxa"/>
            <w:vAlign w:val="bottom"/>
          </w:tcPr>
          <w:p>
            <w:pPr>
              <w:spacing w:after="0"/>
              <w:rPr>
                <w:sz w:val="22"/>
                <w:szCs w:val="22"/>
                <w:color w:val="auto"/>
              </w:rPr>
            </w:pPr>
          </w:p>
        </w:tc>
        <w:tc>
          <w:tcPr>
            <w:tcW w:w="1540" w:type="dxa"/>
            <w:vAlign w:val="bottom"/>
          </w:tcPr>
          <w:p>
            <w:pPr>
              <w:jc w:val="right"/>
              <w:ind w:right="514"/>
              <w:spacing w:after="0"/>
              <w:rPr>
                <w:sz w:val="20"/>
                <w:szCs w:val="20"/>
                <w:color w:val="auto"/>
              </w:rPr>
            </w:pPr>
            <w:r>
              <w:rPr>
                <w:rFonts w:ascii="Arial" w:cs="Arial" w:eastAsia="Arial" w:hAnsi="Arial"/>
                <w:sz w:val="14"/>
                <w:szCs w:val="14"/>
                <w:b w:val="1"/>
                <w:bCs w:val="1"/>
                <w:color w:val="auto"/>
              </w:rPr>
              <w:t>Fiscal 2013</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Services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1,238,493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864,218</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36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133,646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1,372,139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864,218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2015. Deloitte &amp; Touche LLP has served as independent auditors for the Company since January 2006.</w:t>
      </w:r>
    </w:p>
    <w:p>
      <w:pPr>
        <w:spacing w:after="0" w:line="13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2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Deloitte &amp; Touche LLP’s engagement.</w:t>
      </w:r>
    </w:p>
    <w:p>
      <w:pPr>
        <w:spacing w:after="0" w:line="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1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47,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Kevin S. Cavanah, </w:t>
      </w:r>
      <w:r>
        <w:rPr>
          <w:rFonts w:ascii="Arial" w:cs="Arial" w:eastAsia="Arial" w:hAnsi="Arial"/>
          <w:sz w:val="17"/>
          <w:szCs w:val="17"/>
          <w:color w:val="auto"/>
        </w:rPr>
        <w:t>age 50, has served as Vice President – Finance, Chief Financial Officer and Secretary for the Company since December 2010.</w:t>
      </w:r>
    </w:p>
    <w:p>
      <w:pPr>
        <w:spacing w:after="0" w:line="3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Cavanah served as Vice President, Accounting and Financial Reporting for the Company from August 2007 to December 2010 and as Controller from April 2003 to December 2010. Prior to joining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 Mr. Cavanah is a member of Financial Executives International.</w:t>
      </w:r>
    </w:p>
    <w:p>
      <w:pPr>
        <w:spacing w:after="0" w:line="129"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color w:val="auto"/>
        </w:rPr>
        <w:t>Jack Frost</w:t>
      </w:r>
      <w:r>
        <w:rPr>
          <w:rFonts w:ascii="Arial" w:cs="Arial" w:eastAsia="Arial" w:hAnsi="Arial"/>
          <w:sz w:val="16"/>
          <w:szCs w:val="16"/>
          <w:color w:val="auto"/>
        </w:rPr>
        <w:t>, age 56, has served as Vice President – Environmental, Health and Safety since February 2012. Prior to joining Matrix, Mr. Frost served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2010 to 2012 as Global Director of Quality, Heath, Safety, Environmental and Security (“QHSES”) for Tesco Corporation and was responsible for the development and implementation of all global strategic and tactical QHSES initiatives. Previous to Tesco, Mr. Frost was the Global Director of QHSES for Wellstream International from 2008 to 2010. Mr. Frost was the Europe-Eurasia Environmental, Health and Safety Manager for Hess Corporation from 2004 to 2008. Mr. Frost holds a Bachelor of Arts degree in Legal Studies from the University of Louisiana at Monroe. He is a Board Certified Safety Professional and holds an Associate in Risk Management designation. Mr. Frost is a member of the American Society of Safety Engineers.</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65, has served as Vice President and Chief Operating Officer since May 2008. From 2002 to 2008, Mr. Montalbano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59, has served as President, Matrix Service Inc., one of the Company's principal operating subsidiaries, since August 2005.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the Company as Chief Operating Officer from October 2004 to August 2005 and as Vice President of Matrix Service Inc. from October 1999 to October 2004. Prior to joining the Company,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Jason W. Turner</w:t>
      </w:r>
      <w:r>
        <w:rPr>
          <w:rFonts w:ascii="Arial" w:cs="Arial" w:eastAsia="Arial" w:hAnsi="Arial"/>
          <w:sz w:val="17"/>
          <w:szCs w:val="17"/>
          <w:color w:val="auto"/>
        </w:rPr>
        <w:t>, age 43, has served as President, Matrix North American Holdings, since December 2013. He previously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Development and Treasurer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2014. Compensation for our Named Executive Officers is determined by the Compensation Committee of the Board of Directors (the “Committee”) and is supported by market data and advice from their independent compensation consultant, Meridian Compensation Partners, LLC (“Meridian”). The factors below are relevant when discussing the Company's Named Executive Officers in fiscal 2014.</w:t>
      </w:r>
    </w:p>
    <w:p>
      <w:pPr>
        <w:spacing w:after="0" w:line="119" w:lineRule="exact"/>
        <w:rPr>
          <w:sz w:val="20"/>
          <w:szCs w:val="20"/>
          <w:color w:val="auto"/>
        </w:rPr>
      </w:pPr>
    </w:p>
    <w:p>
      <w:pPr>
        <w:ind w:left="340" w:right="1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experienced a record year in terms of revenue, earnings per share and backlog, with strong organic and acquisition-related growth, while continuing to strengthen its balance sheet.</w:t>
      </w:r>
    </w:p>
    <w:p>
      <w:pPr>
        <w:spacing w:after="0" w:line="116" w:lineRule="exact"/>
        <w:rPr>
          <w:rFonts w:ascii="Arial" w:cs="Arial" w:eastAsia="Arial" w:hAnsi="Arial"/>
          <w:sz w:val="18"/>
          <w:szCs w:val="18"/>
          <w:color w:val="auto"/>
        </w:rPr>
      </w:pPr>
    </w:p>
    <w:p>
      <w:pPr>
        <w:ind w:left="340" w:right="140" w:hanging="332"/>
        <w:spacing w:after="0" w:line="27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announced in certain previous fiscal 2014 filings with the Securities and Exchange Commission, on December 20, 2013, the Company acquired the stock of Kvaerner North American Construction Ltd. and substantially all the assets of Kvaerner North American Construction Inc., together referred to as "KNAC." The Company also formed Matrix North American Holdings and appointed Jason W. Turner as President of Matrix North American Holdings to oversee both the acquired business and the Company's legacy North American union business, known as Matrix SME. At the time of his appointment, Mr. Turner was serving as Vice President, Corporate Development and Treasurer.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23, 2014, Matthew J. Petrizzo, resigned as President of Matrix SME.</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Based on the executive officer appointment and resignation discussed above, we have included six officers in our 2014 compensation tables. The officers included are the CEO, CFO, the next three most highly compensated officers that were employed by the Company at June 30, 2014 and Mr. Petrizzo.</w:t>
      </w:r>
    </w:p>
    <w:p>
      <w:pPr>
        <w:spacing w:after="0" w:line="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Summarized below are the highlights of key decision and actions taken regarding the compensation of our Named Executive Officers in fiscal 2014. These actions were approved by the Compensation Committee, with advice from Meridian and are consistent with our stated compensation philosophy.</w:t>
      </w:r>
    </w:p>
    <w:p>
      <w:pPr>
        <w:spacing w:after="0" w:line="124" w:lineRule="exact"/>
        <w:rPr>
          <w:sz w:val="20"/>
          <w:szCs w:val="20"/>
          <w:color w:val="auto"/>
        </w:rPr>
      </w:pPr>
    </w:p>
    <w:p>
      <w:pPr>
        <w:ind w:left="660" w:right="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 Salaries and Target Short-Term Incentive Bonuses: The market data provided by Meridian indicated that the base salary of the CEO was below the median and the base salary of the CFO was significantly below the median. After reviewing market data and the performance of the Company and each of its named executives, the Committee approved an increase to the CFO's salary of 20.0% and and increase to the CEO's salary of 8.3%. The Committee also approved increases to the COO's salary of 7.1% and the operating company presidents of approximately 3%.</w:t>
      </w:r>
    </w:p>
    <w:p>
      <w:pPr>
        <w:spacing w:after="0" w:line="154"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2014 Short-Term Incentive Payout: The fiscal short-term incentive plan metrics were based on the achievement of various financial and safety goals. The achievement of the financial goals determine 85% of the payout while the achievement of the safety goals determine the remaining 15%. All of the Named Executive Officers received payouts under the safety goals of between threshold and target levels. Under the financial goals, all of the current Named Executive Officers received payouts at near maximum levels.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long-term incentive, or LTI, awards were comprised of the following:</w:t>
      </w:r>
    </w:p>
    <w:p>
      <w:pPr>
        <w:spacing w:after="0" w:line="225" w:lineRule="exact"/>
        <w:rPr>
          <w:rFonts w:ascii="Arial" w:cs="Arial" w:eastAsia="Arial" w:hAnsi="Arial"/>
          <w:sz w:val="18"/>
          <w:szCs w:val="18"/>
          <w:color w:val="auto"/>
        </w:rPr>
      </w:pPr>
    </w:p>
    <w:p>
      <w:pPr>
        <w:ind w:left="1300" w:right="4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One-third of the award consisted of service-based restricted stock units (“RSUs”). Restrictions on the RSUs lapse in four equal annual installments;</w:t>
      </w:r>
    </w:p>
    <w:p>
      <w:pPr>
        <w:spacing w:after="0" w:line="170" w:lineRule="exact"/>
        <w:rPr>
          <w:rFonts w:ascii="Arial" w:cs="Arial" w:eastAsia="Arial" w:hAnsi="Arial"/>
          <w:sz w:val="18"/>
          <w:szCs w:val="18"/>
          <w:color w:val="auto"/>
        </w:rPr>
      </w:pPr>
    </w:p>
    <w:p>
      <w:pPr>
        <w:ind w:left="1300" w:right="24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Award recipients may receive anywhere from zero to two shares of our common stock for each performance unit on the third anniversary of the date of the award depending on the Company’s relative Total Shareholder Return in comparison to the performance of a peer group of companies.</w:t>
      </w:r>
    </w:p>
    <w:p>
      <w:pPr>
        <w:spacing w:after="0" w:line="181" w:lineRule="exact"/>
        <w:rPr>
          <w:rFonts w:ascii="Arial" w:cs="Arial" w:eastAsia="Arial" w:hAnsi="Arial"/>
          <w:sz w:val="18"/>
          <w:szCs w:val="18"/>
          <w:color w:val="auto"/>
        </w:rPr>
      </w:pPr>
    </w:p>
    <w:p>
      <w:pPr>
        <w:jc w:val="both"/>
        <w:ind w:left="1300" w:right="1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One-third of the award consisted of a cash-based long-term incentive award. The payout for the cash-based long-term incentive award will range from zero to 150% of the target payout and is based on the Company’s Average Return on Invested Capital for fiscal years 2014 and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91" w:lineRule="exact"/>
        <w:rPr>
          <w:sz w:val="20"/>
          <w:szCs w:val="20"/>
          <w:color w:val="auto"/>
        </w:rPr>
      </w:pPr>
    </w:p>
    <w:p>
      <w:pPr>
        <w:ind w:left="540" w:right="480" w:hanging="316"/>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jc w:val="both"/>
        <w:ind w:left="540" w:hanging="316"/>
        <w:spacing w:after="0" w:line="26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20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980" w:hanging="316"/>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Committee is supported by our Vice President, Human Resources in the design, review and administration of our executive compensation programs. The Committee engages a third party compensation consulting firm to evaluate executive officer compensation, evaluate Company practices in relation to other companies and provide associated recommendations.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 Consideration of the 2013 Stockholder Vote on Executive Compensation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2013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2013 annual meeting of stockholders. At this meeting, more than 98% of the votes cast on the say-on-pay proposal were in favor of our Named Executive Officers' compensation as disclosed in the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71"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Pay;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per the Compensation Committee policy, the Committee engaged Meridian to evaluate the mix of targeted compensation and the other types of programs that we offer.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Committee evaluated the competitiveness of the compensation package offered to our executives in both form and structure. Meridian’s executive compensation practices analysis included a review of proxy information for the following companies: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Astec Industries Inc.</w:t>
            </w:r>
          </w:p>
        </w:tc>
        <w:tc>
          <w:tcPr>
            <w:tcW w:w="6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Mistras Group Inc.</w:t>
            </w:r>
          </w:p>
        </w:tc>
      </w:tr>
      <w:tr>
        <w:trPr>
          <w:trHeight w:val="243"/>
        </w:trPr>
        <w:tc>
          <w:tcPr>
            <w:tcW w:w="4860" w:type="dxa"/>
            <w:vAlign w:val="bottom"/>
          </w:tcPr>
          <w:p>
            <w:pPr>
              <w:ind w:left="620"/>
              <w:spacing w:after="0"/>
              <w:rPr>
                <w:sz w:val="20"/>
                <w:szCs w:val="20"/>
                <w:color w:val="auto"/>
              </w:rPr>
            </w:pPr>
            <w:r>
              <w:rPr>
                <w:rFonts w:ascii="Arial" w:cs="Arial" w:eastAsia="Arial" w:hAnsi="Arial"/>
                <w:sz w:val="18"/>
                <w:szCs w:val="18"/>
                <w:color w:val="auto"/>
              </w:rPr>
              <w:t>Columbus McKinnon Corp.</w:t>
            </w:r>
          </w:p>
        </w:tc>
        <w:tc>
          <w:tcPr>
            <w:tcW w:w="6560" w:type="dxa"/>
            <w:vAlign w:val="bottom"/>
          </w:tcPr>
          <w:p>
            <w:pPr>
              <w:ind w:left="2220"/>
              <w:spacing w:after="0"/>
              <w:rPr>
                <w:sz w:val="20"/>
                <w:szCs w:val="20"/>
                <w:color w:val="auto"/>
              </w:rPr>
            </w:pPr>
            <w:r>
              <w:rPr>
                <w:rFonts w:ascii="Arial" w:cs="Arial" w:eastAsia="Arial" w:hAnsi="Arial"/>
                <w:sz w:val="18"/>
                <w:szCs w:val="18"/>
                <w:color w:val="auto"/>
              </w:rPr>
              <w:t>MYR Group Inc.</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Dresser-Rand Group Inc.</w:t>
            </w:r>
          </w:p>
        </w:tc>
        <w:tc>
          <w:tcPr>
            <w:tcW w:w="656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Pike Electric Corp.</w:t>
            </w:r>
          </w:p>
        </w:tc>
      </w:tr>
      <w:tr>
        <w:trPr>
          <w:trHeight w:val="243"/>
        </w:trPr>
        <w:tc>
          <w:tcPr>
            <w:tcW w:w="4860" w:type="dxa"/>
            <w:vAlign w:val="bottom"/>
          </w:tcPr>
          <w:p>
            <w:pPr>
              <w:ind w:left="620"/>
              <w:spacing w:after="0"/>
              <w:rPr>
                <w:sz w:val="20"/>
                <w:szCs w:val="20"/>
                <w:color w:val="auto"/>
              </w:rPr>
            </w:pPr>
            <w:r>
              <w:rPr>
                <w:rFonts w:ascii="Arial" w:cs="Arial" w:eastAsia="Arial" w:hAnsi="Arial"/>
                <w:sz w:val="18"/>
                <w:szCs w:val="18"/>
                <w:color w:val="auto"/>
              </w:rPr>
              <w:t>Dycom Industries Inc.</w:t>
            </w:r>
          </w:p>
        </w:tc>
        <w:tc>
          <w:tcPr>
            <w:tcW w:w="6560" w:type="dxa"/>
            <w:vAlign w:val="bottom"/>
          </w:tcPr>
          <w:p>
            <w:pPr>
              <w:ind w:left="2220"/>
              <w:spacing w:after="0"/>
              <w:rPr>
                <w:sz w:val="20"/>
                <w:szCs w:val="20"/>
                <w:color w:val="auto"/>
              </w:rPr>
            </w:pPr>
            <w:r>
              <w:rPr>
                <w:rFonts w:ascii="Arial" w:cs="Arial" w:eastAsia="Arial" w:hAnsi="Arial"/>
                <w:sz w:val="18"/>
                <w:szCs w:val="18"/>
                <w:color w:val="auto"/>
              </w:rPr>
              <w:t>Primoris Services Corporation</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Emcor Group Inc.</w:t>
            </w:r>
          </w:p>
        </w:tc>
        <w:tc>
          <w:tcPr>
            <w:tcW w:w="656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Quanta Services Inc.</w:t>
            </w:r>
          </w:p>
        </w:tc>
      </w:tr>
      <w:tr>
        <w:trPr>
          <w:trHeight w:val="243"/>
        </w:trPr>
        <w:tc>
          <w:tcPr>
            <w:tcW w:w="4860" w:type="dxa"/>
            <w:vAlign w:val="bottom"/>
          </w:tcPr>
          <w:p>
            <w:pPr>
              <w:ind w:left="620"/>
              <w:spacing w:after="0"/>
              <w:rPr>
                <w:sz w:val="20"/>
                <w:szCs w:val="20"/>
                <w:color w:val="auto"/>
              </w:rPr>
            </w:pPr>
            <w:r>
              <w:rPr>
                <w:rFonts w:ascii="Arial" w:cs="Arial" w:eastAsia="Arial" w:hAnsi="Arial"/>
                <w:sz w:val="18"/>
                <w:szCs w:val="18"/>
                <w:color w:val="auto"/>
              </w:rPr>
              <w:t>Gardner Denver Inc.</w:t>
            </w:r>
          </w:p>
        </w:tc>
        <w:tc>
          <w:tcPr>
            <w:tcW w:w="6560" w:type="dxa"/>
            <w:vAlign w:val="bottom"/>
          </w:tcPr>
          <w:p>
            <w:pPr>
              <w:ind w:left="2220"/>
              <w:spacing w:after="0"/>
              <w:rPr>
                <w:sz w:val="20"/>
                <w:szCs w:val="20"/>
                <w:color w:val="auto"/>
              </w:rPr>
            </w:pPr>
            <w:r>
              <w:rPr>
                <w:rFonts w:ascii="Arial" w:cs="Arial" w:eastAsia="Arial" w:hAnsi="Arial"/>
                <w:sz w:val="18"/>
                <w:szCs w:val="18"/>
                <w:color w:val="auto"/>
              </w:rPr>
              <w:t>Sterling Construction Co. Inc.</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Granite Construction, Inc.</w:t>
            </w:r>
          </w:p>
        </w:tc>
        <w:tc>
          <w:tcPr>
            <w:tcW w:w="656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Team Inc.</w:t>
            </w:r>
          </w:p>
        </w:tc>
      </w:tr>
      <w:tr>
        <w:trPr>
          <w:trHeight w:val="243"/>
        </w:trPr>
        <w:tc>
          <w:tcPr>
            <w:tcW w:w="4860" w:type="dxa"/>
            <w:vAlign w:val="bottom"/>
          </w:tcPr>
          <w:p>
            <w:pPr>
              <w:ind w:left="620"/>
              <w:spacing w:after="0"/>
              <w:rPr>
                <w:sz w:val="20"/>
                <w:szCs w:val="20"/>
                <w:color w:val="auto"/>
              </w:rPr>
            </w:pPr>
            <w:r>
              <w:rPr>
                <w:rFonts w:ascii="Arial" w:cs="Arial" w:eastAsia="Arial" w:hAnsi="Arial"/>
                <w:sz w:val="18"/>
                <w:szCs w:val="18"/>
                <w:color w:val="auto"/>
              </w:rPr>
              <w:t>Hill International, Inc.</w:t>
            </w:r>
          </w:p>
        </w:tc>
        <w:tc>
          <w:tcPr>
            <w:tcW w:w="6560" w:type="dxa"/>
            <w:vAlign w:val="bottom"/>
          </w:tcPr>
          <w:p>
            <w:pPr>
              <w:ind w:left="2220"/>
              <w:spacing w:after="0"/>
              <w:rPr>
                <w:sz w:val="20"/>
                <w:szCs w:val="20"/>
                <w:color w:val="auto"/>
              </w:rPr>
            </w:pPr>
            <w:r>
              <w:rPr>
                <w:rFonts w:ascii="Arial" w:cs="Arial" w:eastAsia="Arial" w:hAnsi="Arial"/>
                <w:sz w:val="18"/>
                <w:szCs w:val="18"/>
                <w:color w:val="auto"/>
              </w:rPr>
              <w:t>Tetra Tech Inc.</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Layne Christensen Co.</w:t>
            </w:r>
          </w:p>
        </w:tc>
        <w:tc>
          <w:tcPr>
            <w:tcW w:w="656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Titan International Inc.</w:t>
            </w:r>
          </w:p>
        </w:tc>
      </w:tr>
      <w:tr>
        <w:trPr>
          <w:trHeight w:val="243"/>
        </w:trPr>
        <w:tc>
          <w:tcPr>
            <w:tcW w:w="4860" w:type="dxa"/>
            <w:vAlign w:val="bottom"/>
          </w:tcPr>
          <w:p>
            <w:pPr>
              <w:ind w:left="620"/>
              <w:spacing w:after="0"/>
              <w:rPr>
                <w:sz w:val="20"/>
                <w:szCs w:val="20"/>
                <w:color w:val="auto"/>
              </w:rPr>
            </w:pPr>
            <w:r>
              <w:rPr>
                <w:rFonts w:ascii="Arial" w:cs="Arial" w:eastAsia="Arial" w:hAnsi="Arial"/>
                <w:sz w:val="18"/>
                <w:szCs w:val="18"/>
                <w:color w:val="auto"/>
              </w:rPr>
              <w:t>Mastec Inc.</w:t>
            </w:r>
          </w:p>
        </w:tc>
        <w:tc>
          <w:tcPr>
            <w:tcW w:w="6560" w:type="dxa"/>
            <w:vAlign w:val="bottom"/>
          </w:tcPr>
          <w:p>
            <w:pPr>
              <w:ind w:left="2220"/>
              <w:spacing w:after="0"/>
              <w:rPr>
                <w:sz w:val="20"/>
                <w:szCs w:val="20"/>
                <w:color w:val="auto"/>
              </w:rPr>
            </w:pPr>
            <w:r>
              <w:rPr>
                <w:rFonts w:ascii="Arial" w:cs="Arial" w:eastAsia="Arial" w:hAnsi="Arial"/>
                <w:sz w:val="18"/>
                <w:szCs w:val="18"/>
                <w:color w:val="auto"/>
              </w:rPr>
              <w:t>VSE Corporation</w:t>
            </w:r>
          </w:p>
        </w:tc>
      </w:tr>
      <w:tr>
        <w:trPr>
          <w:trHeight w:val="27"/>
        </w:trPr>
        <w:tc>
          <w:tcPr>
            <w:tcW w:w="486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3"/>
        </w:trPr>
        <w:tc>
          <w:tcPr>
            <w:tcW w:w="4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Michael Baker Corp.</w:t>
            </w:r>
          </w:p>
        </w:tc>
        <w:tc>
          <w:tcPr>
            <w:tcW w:w="6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Willbros Group, Inc.</w:t>
            </w:r>
          </w:p>
        </w:tc>
      </w:tr>
      <w:tr>
        <w:trPr>
          <w:trHeight w:val="27"/>
        </w:trPr>
        <w:tc>
          <w:tcPr>
            <w:tcW w:w="4860" w:type="dxa"/>
            <w:vAlign w:val="bottom"/>
            <w:shd w:val="clear" w:color="auto" w:fill="CCEEFF"/>
          </w:tcPr>
          <w:p>
            <w:pPr>
              <w:spacing w:after="0"/>
              <w:rPr>
                <w:sz w:val="2"/>
                <w:szCs w:val="2"/>
                <w:color w:val="auto"/>
              </w:rPr>
            </w:pPr>
          </w:p>
        </w:tc>
        <w:tc>
          <w:tcPr>
            <w:tcW w:w="65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among comparable companies. For fiscal 2014, this data was obtained through Meridian. Base pay is then established based on the Named Executive Officer’s responsibilities, role in the organization, level and type of work experience, and individual job performance. We expect to continue to engage a compensation consultant to review and benchmark competitive market pay data on no less than a bi-annual basis.</w:t>
      </w:r>
    </w:p>
    <w:p>
      <w:pPr>
        <w:spacing w:after="0" w:line="15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a percentage of base salary and long-term incentives are based on a Named Executive Officer’s salary grade.</w:t>
      </w:r>
    </w:p>
    <w:p>
      <w:pPr>
        <w:spacing w:after="0" w:line="11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Consistent with the Committee's normal practice of reviewing executive compensation, Meridian's observations and recommendations regarding the competitiveness of executive compensation were presented to the Committee at the August 2013 meeting. The Committee's decisions are discussed below:</w:t>
      </w:r>
    </w:p>
    <w:p>
      <w:pPr>
        <w:spacing w:after="0" w:line="70" w:lineRule="exact"/>
        <w:rPr>
          <w:sz w:val="20"/>
          <w:szCs w:val="20"/>
          <w:color w:val="auto"/>
        </w:rPr>
      </w:pPr>
    </w:p>
    <w:p>
      <w:pPr>
        <w:ind w:left="660" w:right="50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John R. Hewitt - Chief Executive Officer - According to the Meridian study, Mr. Hewitt's base salary of $605,000 was significantly below the median of the peer group. The Committee then determined that Mr. Hewitt's performance during fiscal 2013 was very strong. Accordingly, the Committee concluded that it would be appropriate to increase his base salary by $50,000 effective September 1, 2013.</w:t>
      </w:r>
    </w:p>
    <w:p>
      <w:pPr>
        <w:spacing w:after="0" w:line="84"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Joseph F. Montalbano - Chief Operating Officer - The Meridian study indicated that Mr. Montalbano's base salary was slightly below the median. Mr. Hewitt recommended, based on Mr. Montalbano's performance, a salary increase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680"/>
        <w:spacing w:after="0" w:line="324" w:lineRule="auto"/>
        <w:rPr>
          <w:sz w:val="20"/>
          <w:szCs w:val="20"/>
          <w:color w:val="auto"/>
        </w:rPr>
      </w:pPr>
      <w:r>
        <w:rPr>
          <w:rFonts w:ascii="Arial" w:cs="Arial" w:eastAsia="Arial" w:hAnsi="Arial"/>
          <w:sz w:val="18"/>
          <w:szCs w:val="18"/>
          <w:color w:val="auto"/>
        </w:rPr>
        <w:t>7.1%. The Committee approved Mr. Hewitt's recommendation and Mr. Montalbano's salary was increased by $29,947 to $450,000 effective September 1, 2013.</w:t>
      </w:r>
    </w:p>
    <w:p>
      <w:pPr>
        <w:spacing w:after="0" w:line="62" w:lineRule="exact"/>
        <w:rPr>
          <w:sz w:val="20"/>
          <w:szCs w:val="20"/>
          <w:color w:val="auto"/>
        </w:rPr>
      </w:pPr>
    </w:p>
    <w:p>
      <w:pPr>
        <w:jc w:val="both"/>
        <w:ind w:left="660" w:right="1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Kevin S. Cavanah - Chief Financial Officer - The Meridian study indicated that Mr. Cavanah's base salary was significantly below the median. Mr. Hewitt recommended, based on Mr. Cavanah's performance, a salary increase of 20.0%, or $60,555, to $363,000. After the increase, Mr. Cavanah's salary remains below the median salary. The pay increase was effective September 1, 2013.</w:t>
      </w:r>
    </w:p>
    <w:p>
      <w:pPr>
        <w:spacing w:after="0" w:line="10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James R. Ryan - President Matrix Service - The Meridian study indicated that Mr. Ryan's base salary was slightly below the median. Based on Mr. Hewitt's recommendation, the Committee approved a salary increase of approximately 3.0%, to $341,100 effective September 1, 2013.</w:t>
      </w:r>
    </w:p>
    <w:p>
      <w:pPr>
        <w:spacing w:after="0" w:line="42" w:lineRule="exact"/>
        <w:rPr>
          <w:rFonts w:ascii="Arial" w:cs="Arial" w:eastAsia="Arial" w:hAnsi="Arial"/>
          <w:sz w:val="16"/>
          <w:szCs w:val="16"/>
          <w:color w:val="auto"/>
        </w:rPr>
      </w:pPr>
    </w:p>
    <w:p>
      <w:pPr>
        <w:ind w:left="660" w:right="22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Matthew J. Petrizzo - President Matrix SME - The Meridian study indicated that Mr. Petrizzo's base salary was slightly below the median. Based on Mr. Hewitt's recommendation, the Committee approved a salary increase of 3.0% effective September 1, 2013.</w:t>
      </w:r>
    </w:p>
    <w:p>
      <w:pPr>
        <w:spacing w:after="0" w:line="181"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Jason W. Turner - President Matrix North American Holdings - Mr. Turner was Vice President, Corporate Development and Treasurer at the time of the August Committee meeting that included the benchmarking and approval of executive salaries. During the Committee meeting, based on Mr. Turner's strong performance, Mr. Hewitt recommended and the Committee approved a salary increase of 12.0%, or $28,954, to $270,000 effective September 1, 2013. Upon his promotion to President of Matrix North American Holdings, Mr. Turner received an additional salary increase of $40,000, to $310,000 effective December 23,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133"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57" w:lineRule="exact"/>
        <w:rPr>
          <w:sz w:val="20"/>
          <w:szCs w:val="20"/>
          <w:color w:val="auto"/>
        </w:rPr>
      </w:pPr>
    </w:p>
    <w:p>
      <w:pPr>
        <w:jc w:val="both"/>
        <w:ind w:left="60" w:right="220"/>
        <w:spacing w:after="0" w:line="312" w:lineRule="auto"/>
        <w:rPr>
          <w:sz w:val="20"/>
          <w:szCs w:val="20"/>
          <w:color w:val="auto"/>
        </w:rPr>
      </w:pPr>
      <w:r>
        <w:rPr>
          <w:rFonts w:ascii="Arial" w:cs="Arial" w:eastAsia="Arial" w:hAnsi="Arial"/>
          <w:sz w:val="16"/>
          <w:szCs w:val="16"/>
          <w:color w:val="auto"/>
        </w:rPr>
        <w:t>The base calculation of incentives is generally tied to objective measures for financial and safety performance. Incentives for executive officers below the CEO are recommended by the CEO and reviewed and approved by the Committee, which is free to reject or revise the CEO’s recommendations. Incentive compensation payments to the CEO are determined solely by the Committee in executive session, without the CEO present.</w:t>
      </w:r>
    </w:p>
    <w:p>
      <w:pPr>
        <w:spacing w:after="0" w:line="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fiscal year 2014, the Committee approved, at the August 2013 meeting, the following key provisions of the annual/short-term incentive compensation plan:</w:t>
      </w:r>
    </w:p>
    <w:p>
      <w:pPr>
        <w:spacing w:after="0" w:line="116" w:lineRule="exact"/>
        <w:rPr>
          <w:sz w:val="20"/>
          <w:szCs w:val="20"/>
          <w:color w:val="auto"/>
        </w:rPr>
      </w:pPr>
    </w:p>
    <w:p>
      <w:pPr>
        <w:ind w:left="540" w:hanging="316"/>
        <w:spacing w:after="0" w:line="27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incentive pool would fund at a graduated rate starting at 13% of operating income for threshold financial performance. Threshold financial performance was defined as fiscal 2013 pre-incentive, pre-tax operating income. The incremental funding rate increases at higher levels of financial performance, with pre-incentive, pre-tax operating income over maximum generating a funding at the top incremental rate of 20%. If 50% of budgeted fiscal 2014 pre-incentive pre-tax operating income is not earned, no incentive payments are made.</w:t>
      </w:r>
    </w:p>
    <w:p>
      <w:pPr>
        <w:spacing w:after="0" w:line="117" w:lineRule="exact"/>
        <w:rPr>
          <w:rFonts w:ascii="Arial" w:cs="Arial" w:eastAsia="Arial" w:hAnsi="Arial"/>
          <w:sz w:val="17"/>
          <w:szCs w:val="17"/>
          <w:color w:val="auto"/>
        </w:rPr>
      </w:pPr>
    </w:p>
    <w:p>
      <w:pPr>
        <w:ind w:left="540" w:hanging="316"/>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Incentives would continue to be weighted at 85% for performance against financial metrics and 15% for performance against safety metrics.</w:t>
      </w:r>
    </w:p>
    <w:p>
      <w:pPr>
        <w:spacing w:after="0" w:line="182" w:lineRule="exact"/>
        <w:rPr>
          <w:rFonts w:ascii="Arial" w:cs="Arial" w:eastAsia="Arial" w:hAnsi="Arial"/>
          <w:sz w:val="17"/>
          <w:szCs w:val="17"/>
          <w:color w:val="auto"/>
        </w:rPr>
      </w:pPr>
    </w:p>
    <w:p>
      <w:pPr>
        <w:ind w:left="540" w:right="420" w:hanging="316"/>
        <w:spacing w:after="0" w:line="27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Safety incentives would be paid based on our Total Recordable Incident Rate ("TRIR") and the timely reporting of work place safety incidents. Financial incentives would be based on operating income and Return on Invested Capital ("ROIC"). The metric attributable to ROIC is measured based on the consolidated results of Matrix Service Company. The other metrics for Messrs. Ryan and Petrizzo are calculated based on the performance of their respective operating companies (Matrix Service and Matrix SME).</w:t>
      </w:r>
    </w:p>
    <w:p>
      <w:pPr>
        <w:spacing w:after="0" w:line="117" w:lineRule="exact"/>
        <w:rPr>
          <w:rFonts w:ascii="Arial" w:cs="Arial" w:eastAsia="Arial" w:hAnsi="Arial"/>
          <w:sz w:val="17"/>
          <w:szCs w:val="17"/>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Budget, Target and Maximum levels of performance were defined.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40" w:right="120" w:hanging="316"/>
        <w:spacing w:after="0" w:line="25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short-term incentives for fiscal 2014 were established for each of the Named Executive Officers. Based on market data provided by Meridian, the Committee made no changes to the short term incentive targets. Mr. Hewitt's target remained at 85% of his base salary, Messrs. Montalbano's and Cavanah's targets remained at 65% of their base salaries and Messrs. Ryan's and Petrizzo's targets remained at 60% of their respective base salaries, Mr. Turner's target prior to his promotion was 40% of his base salary, which was increased to 60% of his base salary upon his promotion to President of Matrix North American Holdings.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71" w:lineRule="exact"/>
        <w:rPr>
          <w:sz w:val="20"/>
          <w:szCs w:val="20"/>
          <w:color w:val="auto"/>
        </w:rPr>
      </w:pPr>
    </w:p>
    <w:p>
      <w:pPr>
        <w:ind w:left="540" w:right="120" w:hanging="316"/>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performance targets were established based on our TRIR and the timely reporting of workplace safety incidents. Incentives for Mr. Hewitt, Mr. Montalbano, Mr. Cavanah, and Mr. Turner were tied to our consolidated safety metrics. Incentives for Mr. Ryan and Mr. Petrizzo were tied to the safety metrics of their respective operating companies. The specific criteria were as follows: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3280" w:type="dxa"/>
            <w:vAlign w:val="bottom"/>
            <w:gridSpan w:val="3"/>
          </w:tcPr>
          <w:p>
            <w:pPr>
              <w:ind w:left="1680"/>
              <w:spacing w:after="0"/>
              <w:rPr>
                <w:sz w:val="20"/>
                <w:szCs w:val="20"/>
                <w:color w:val="auto"/>
              </w:rPr>
            </w:pPr>
            <w:r>
              <w:rPr>
                <w:rFonts w:ascii="Arial" w:cs="Arial" w:eastAsia="Arial" w:hAnsi="Arial"/>
                <w:sz w:val="18"/>
                <w:szCs w:val="18"/>
                <w:color w:val="auto"/>
              </w:rPr>
              <w:t>Threshold</w:t>
            </w:r>
          </w:p>
        </w:tc>
        <w:tc>
          <w:tcPr>
            <w:tcW w:w="86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48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48"/>
        </w:trPr>
        <w:tc>
          <w:tcPr>
            <w:tcW w:w="35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TRIR</w:t>
            </w:r>
          </w:p>
        </w:tc>
        <w:tc>
          <w:tcPr>
            <w:tcW w:w="2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0.55</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Timely incident reporting</w:t>
            </w:r>
          </w:p>
        </w:tc>
        <w:tc>
          <w:tcPr>
            <w:tcW w:w="24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860" w:type="dxa"/>
            <w:vAlign w:val="bottom"/>
          </w:tcPr>
          <w:p>
            <w:pPr>
              <w:spacing w:after="0"/>
              <w:rPr>
                <w:sz w:val="21"/>
                <w:szCs w:val="21"/>
                <w:color w:val="auto"/>
              </w:rPr>
            </w:pPr>
          </w:p>
        </w:tc>
        <w:tc>
          <w:tcPr>
            <w:tcW w:w="3040" w:type="dxa"/>
            <w:vAlign w:val="bottom"/>
            <w:gridSpan w:val="3"/>
          </w:tcPr>
          <w:p>
            <w:pPr>
              <w:jc w:val="right"/>
              <w:ind w:right="1720"/>
              <w:spacing w:after="0"/>
              <w:rPr>
                <w:sz w:val="20"/>
                <w:szCs w:val="20"/>
                <w:color w:val="auto"/>
              </w:rPr>
            </w:pPr>
            <w:r>
              <w:rPr>
                <w:rFonts w:ascii="Arial" w:cs="Arial" w:eastAsia="Arial" w:hAnsi="Arial"/>
                <w:sz w:val="18"/>
                <w:szCs w:val="18"/>
                <w:color w:val="auto"/>
              </w:rPr>
              <w:t>80.0%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740" w:type="dxa"/>
            <w:vAlign w:val="bottom"/>
          </w:tcPr>
          <w:p>
            <w:pPr>
              <w:spacing w:after="0"/>
              <w:rPr>
                <w:sz w:val="21"/>
                <w:szCs w:val="21"/>
                <w:color w:val="auto"/>
              </w:rPr>
            </w:pPr>
          </w:p>
        </w:tc>
      </w:tr>
    </w:tbl>
    <w:p>
      <w:pPr>
        <w:spacing w:after="0" w:line="175" w:lineRule="exact"/>
        <w:rPr>
          <w:sz w:val="20"/>
          <w:szCs w:val="20"/>
          <w:color w:val="auto"/>
        </w:rPr>
      </w:pPr>
    </w:p>
    <w:p>
      <w:pPr>
        <w:ind w:left="540" w:right="20" w:hanging="316"/>
        <w:spacing w:after="0" w:line="279"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financial incentive tied to pre-tax operating income represents approximately 75% of the total bonus opportunity for the Named Executive officers. For Mr. Hewitt, Mr. Montalbano, Mr. Cavanah and Mr. Turner, the incentive opportunity was measured at the consolidated level. The specific consolidated pre-tax operating income criteria were as follows: Threshold - $43.6 million, Target - $62.0 million, Maximum - $67.6 million. Incentives for Mr. Ryan and Mr. Petrizzo were tied to the operating income of their respective operating companies.</w:t>
      </w:r>
    </w:p>
    <w:p>
      <w:pPr>
        <w:spacing w:after="0" w:line="117" w:lineRule="exact"/>
        <w:rPr>
          <w:rFonts w:ascii="Arial" w:cs="Arial" w:eastAsia="Arial" w:hAnsi="Arial"/>
          <w:sz w:val="17"/>
          <w:szCs w:val="17"/>
          <w:color w:val="auto"/>
        </w:rPr>
      </w:pPr>
    </w:p>
    <w:p>
      <w:pPr>
        <w:ind w:left="540" w:right="60" w:hanging="316"/>
        <w:spacing w:after="0" w:line="308"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Ten percent of the total bonus opportunity is tied to the achievement of ROIC. The specific criteria are as follows: Threshold - 14.4%; Target - 16.0%; and Maximum - 17.6%. The incentive attributable to ROIC is measured at the consolidated level for all Named Executive Officers.</w:t>
      </w:r>
    </w:p>
    <w:p>
      <w:pPr>
        <w:spacing w:after="0" w:line="92"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The Committee evaluated actual results in each category against the safety and performance goals:</w:t>
      </w:r>
    </w:p>
    <w:p>
      <w:pPr>
        <w:spacing w:after="0" w:line="171" w:lineRule="exact"/>
        <w:rPr>
          <w:rFonts w:ascii="Arial" w:cs="Arial" w:eastAsia="Arial" w:hAnsi="Arial"/>
          <w:sz w:val="17"/>
          <w:szCs w:val="17"/>
          <w:color w:val="auto"/>
        </w:rPr>
      </w:pPr>
    </w:p>
    <w:p>
      <w:pPr>
        <w:ind w:left="540" w:right="140"/>
        <w:spacing w:after="0" w:line="277" w:lineRule="auto"/>
        <w:rPr>
          <w:rFonts w:ascii="Arial" w:cs="Arial" w:eastAsia="Arial" w:hAnsi="Arial"/>
          <w:sz w:val="17"/>
          <w:szCs w:val="17"/>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In fiscal 2014, we achieved a TRIR of 0.85 and an incident reporting rate of 85%, representing threshold performance under the TRIR metric and performance between target and maximum under the incident reporting metric.</w:t>
      </w:r>
    </w:p>
    <w:p>
      <w:pPr>
        <w:spacing w:after="0" w:line="116" w:lineRule="exact"/>
        <w:rPr>
          <w:rFonts w:ascii="Arial" w:cs="Arial" w:eastAsia="Arial" w:hAnsi="Arial"/>
          <w:sz w:val="17"/>
          <w:szCs w:val="17"/>
          <w:color w:val="auto"/>
        </w:rPr>
      </w:pPr>
    </w:p>
    <w:p>
      <w:pPr>
        <w:ind w:left="540" w:right="160"/>
        <w:spacing w:after="0" w:line="277" w:lineRule="auto"/>
        <w:rPr>
          <w:rFonts w:ascii="Arial" w:cs="Arial" w:eastAsia="Arial" w:hAnsi="Arial"/>
          <w:sz w:val="17"/>
          <w:szCs w:val="17"/>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In fiscal 2014, we achieved pre-tax operating income of $67.2 million, representing performance at near maximum levels. The fiscal 2014 ROIC was 22.0%, which generated a maximum payout.</w:t>
      </w:r>
    </w:p>
    <w:p>
      <w:pPr>
        <w:spacing w:after="0" w:line="116" w:lineRule="exact"/>
        <w:rPr>
          <w:rFonts w:ascii="Arial" w:cs="Arial" w:eastAsia="Arial" w:hAnsi="Arial"/>
          <w:sz w:val="17"/>
          <w:szCs w:val="17"/>
          <w:color w:val="auto"/>
        </w:rPr>
      </w:pPr>
    </w:p>
    <w:p>
      <w:pPr>
        <w:ind w:left="540" w:right="320" w:hanging="316"/>
        <w:spacing w:after="0" w:line="31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92" w:lineRule="exact"/>
        <w:rPr>
          <w:rFonts w:ascii="Arial" w:cs="Arial" w:eastAsia="Arial" w:hAnsi="Arial"/>
          <w:sz w:val="16"/>
          <w:szCs w:val="16"/>
          <w:color w:val="auto"/>
        </w:rPr>
      </w:pPr>
    </w:p>
    <w:p>
      <w:pPr>
        <w:ind w:left="540" w:right="40" w:hanging="316"/>
        <w:spacing w:after="0" w:line="30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established a separate temporary KNAC short-term incentive plan for the employees and executive officers of the acquired company. The plan payout was based on pre-tax operating income, safety performance including TRIR and participation in our EAZI Way safety culture rollout, which is an initiative aimed at eliminating workplace accidents, and certain integration measures. Accordingly, the financial and safety results of the acquired company were excluded from the calculations of the incentives earned under the Company's primary short-term incentive plan.</w:t>
      </w:r>
    </w:p>
    <w:p>
      <w:pPr>
        <w:spacing w:after="0" w:line="100"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Actual incentive payouts for fiscal 2014 to the Named Executive Officers were approved by the Committee at the August 2014 Compensation Committee Meeting and are as follows:</w:t>
      </w:r>
    </w:p>
    <w:p>
      <w:pPr>
        <w:spacing w:after="0" w:line="116" w:lineRule="exact"/>
        <w:rPr>
          <w:sz w:val="20"/>
          <w:szCs w:val="20"/>
          <w:color w:val="auto"/>
        </w:rPr>
      </w:pPr>
    </w:p>
    <w:p>
      <w:pPr>
        <w:ind w:left="580" w:right="220" w:hanging="329"/>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John R. Hewitt - Mr. Hewitt's short term incentive compensation bonus totaled $629,920, or 96.2% of his base salary at June 30, 2014. Mr. Hewitt's bonus was based on safety performance slightly below target and financial performance at near maximum.</w:t>
      </w:r>
    </w:p>
    <w:p>
      <w:pPr>
        <w:spacing w:after="0" w:line="89" w:lineRule="exact"/>
        <w:rPr>
          <w:rFonts w:ascii="Arial" w:cs="Arial" w:eastAsia="Arial" w:hAnsi="Arial"/>
          <w:sz w:val="18"/>
          <w:szCs w:val="18"/>
          <w:color w:val="auto"/>
        </w:rPr>
      </w:pPr>
    </w:p>
    <w:p>
      <w:pPr>
        <w:ind w:left="580" w:right="280" w:hanging="329"/>
        <w:spacing w:after="0" w:line="30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Joseph F. Montalbano - Mr. Montalbano's short term incentive compensation bonus totaled $330,935, or 73.5% of his base salary at June 30, 2014. Mr. Montalbano's bonus was based on safety performance slightly below target and financial performance at near maximum.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80" w:right="440" w:hanging="329"/>
        <w:spacing w:after="0" w:line="308"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Kevin S. Cavanah - Mr. Cavanah's short term incentive compensation bonus totaled $266,954, or 73.5% of his base salary at June 30, 2014. Mr. Cavanah's bonus was based on safety performance slightly below target and financial performance at near maximum.</w:t>
      </w:r>
    </w:p>
    <w:p>
      <w:pPr>
        <w:spacing w:after="0" w:line="65" w:lineRule="exact"/>
        <w:rPr>
          <w:rFonts w:ascii="Arial" w:cs="Arial" w:eastAsia="Arial" w:hAnsi="Arial"/>
          <w:sz w:val="17"/>
          <w:szCs w:val="17"/>
          <w:color w:val="auto"/>
        </w:rPr>
      </w:pPr>
    </w:p>
    <w:p>
      <w:pPr>
        <w:ind w:left="580" w:hanging="329"/>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Jason W. Turner - Mr. Turner's short term incentive compensation bonus totaled $166,332, or 57.4% of his pro-rated salary for fiscal 2014. Mr. Turner's bonus was based on safety performance slightly below target and financial performance at near maximum. Mr. Turner's bonus was calculated based on his weighted average salary and bonus targets prior and subsequent to his promotion from Vice President, Corporate Development and Treasurer to President of Matrix North American Holdings.</w:t>
      </w:r>
    </w:p>
    <w:p>
      <w:pPr>
        <w:spacing w:after="0" w:line="105" w:lineRule="exact"/>
        <w:rPr>
          <w:rFonts w:ascii="Arial" w:cs="Arial" w:eastAsia="Arial" w:hAnsi="Arial"/>
          <w:sz w:val="18"/>
          <w:szCs w:val="18"/>
          <w:color w:val="auto"/>
        </w:rPr>
      </w:pPr>
    </w:p>
    <w:p>
      <w:pPr>
        <w:ind w:left="580" w:right="420" w:hanging="329"/>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James R. Ryan - Mr. Ryan's short term incentive compensation bonus totaled $233,210, or 68.4% of his base salary at June 30, 2014. Mr. Ryan's bonus was based on safety performance just below target and financial performance at near maximum.</w:t>
      </w:r>
    </w:p>
    <w:p>
      <w:pPr>
        <w:spacing w:after="0" w:line="116"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color w:val="auto"/>
        </w:rPr>
        <w:t>Mr. Turner was also paid a $75,000 bonus for his efforts in the successful closing of the KNAC acquisition described in the Executive Summary section above.</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to our long-term growth and profitability. However, we also understand that equity awards create dilution in our earnings per share and therefore, believe that a portion of our long-term incentive compensation should be in the form of cash.</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Committee believes that a combination of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 based RSUs that vest over a specified period of time. Service-based shares are an excellent tool to promote executive officer/management retention. The second portion of the award is in the form of performance units with performance criteria that link the equity reward to achievement of stockholder value. Finally, the remaining portion of the award is cash based and includes performance incentives tied to achievement of important strategic goals. Specific, individual grants vary by level/role in the organization. The amount of each award corresponds to the respective salary grade for each executive officer and manager.</w:t>
      </w:r>
    </w:p>
    <w:p>
      <w:pPr>
        <w:spacing w:after="0" w:line="11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Based for the Meridian study, trends of our peer companies, compensation objectives of retention and value creation, and the objective of conserving shares available for grant under our equity incentive plan and reducing earnings dilution, the Committee approved the following structure for the fiscal 2014 long-term incentive grant.</w:t>
      </w:r>
    </w:p>
    <w:p>
      <w:pPr>
        <w:spacing w:after="0" w:line="127" w:lineRule="exact"/>
        <w:rPr>
          <w:sz w:val="20"/>
          <w:szCs w:val="20"/>
          <w:color w:val="auto"/>
        </w:rPr>
      </w:pPr>
    </w:p>
    <w:p>
      <w:pPr>
        <w:ind w:left="540" w:right="300" w:hanging="316"/>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third of the grant consisted of service-based RSUs. Vesting will occur evenly over a four-year period beginning on the first anniversary of the grant.</w:t>
      </w:r>
    </w:p>
    <w:p>
      <w:pPr>
        <w:spacing w:after="0" w:line="116" w:lineRule="exact"/>
        <w:rPr>
          <w:rFonts w:ascii="Arial" w:cs="Arial" w:eastAsia="Arial" w:hAnsi="Arial"/>
          <w:sz w:val="18"/>
          <w:szCs w:val="18"/>
          <w:color w:val="auto"/>
        </w:rPr>
      </w:pPr>
    </w:p>
    <w:p>
      <w:pPr>
        <w:ind w:left="540" w:right="120" w:hanging="316"/>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third of the grant is in the form of performance units. The performance units cliff vest on the third anniversary of the grant. The shares of Company common stock received can vary from zero to two for each performance unit based on the relative Total Shareholder Return of the Company's common stock when compared to the Total Shareholder return of a group of peer companies over the vesting period. The potential award levels are as follows:</w:t>
      </w:r>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91"/>
              </w:rPr>
              <w:t>Shares of Common Stock for</w:t>
            </w:r>
          </w:p>
        </w:tc>
      </w:tr>
      <w:tr>
        <w:trPr>
          <w:trHeight w:val="206"/>
        </w:trPr>
        <w:tc>
          <w:tcPr>
            <w:tcW w:w="5440" w:type="dxa"/>
            <w:vAlign w:val="bottom"/>
            <w:gridSpan w:val="2"/>
          </w:tcPr>
          <w:p>
            <w:pPr>
              <w:ind w:left="1800"/>
              <w:spacing w:after="0"/>
              <w:rPr>
                <w:sz w:val="20"/>
                <w:szCs w:val="20"/>
                <w:color w:val="auto"/>
              </w:rPr>
            </w:pPr>
            <w:r>
              <w:rPr>
                <w:rFonts w:ascii="Arial" w:cs="Arial" w:eastAsia="Arial" w:hAnsi="Arial"/>
                <w:sz w:val="16"/>
                <w:szCs w:val="16"/>
                <w:color w:val="auto"/>
              </w:rPr>
              <w:t>Shareholder Return Goal</w:t>
            </w:r>
          </w:p>
        </w:tc>
        <w:tc>
          <w:tcPr>
            <w:tcW w:w="26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Total Shareholder Return</w:t>
            </w:r>
          </w:p>
        </w:tc>
        <w:tc>
          <w:tcPr>
            <w:tcW w:w="2120" w:type="dxa"/>
            <w:vAlign w:val="bottom"/>
          </w:tcPr>
          <w:p>
            <w:pPr>
              <w:jc w:val="center"/>
              <w:spacing w:after="0"/>
              <w:rPr>
                <w:sz w:val="20"/>
                <w:szCs w:val="20"/>
                <w:color w:val="auto"/>
              </w:rPr>
            </w:pPr>
            <w:r>
              <w:rPr>
                <w:rFonts w:ascii="Arial" w:cs="Arial" w:eastAsia="Arial" w:hAnsi="Arial"/>
                <w:sz w:val="16"/>
                <w:szCs w:val="16"/>
                <w:color w:val="auto"/>
                <w:w w:val="91"/>
              </w:rPr>
              <w:t>Each Performance Unit</w:t>
            </w:r>
          </w:p>
        </w:tc>
      </w:tr>
      <w:tr>
        <w:trPr>
          <w:trHeight w:val="40"/>
        </w:trPr>
        <w:tc>
          <w:tcPr>
            <w:tcW w:w="52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37"/>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Threshold</w:t>
            </w:r>
          </w:p>
        </w:tc>
        <w:tc>
          <w:tcPr>
            <w:tcW w:w="26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25th percentile of Peer Group</w:t>
            </w: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0.25</w:t>
            </w:r>
          </w:p>
        </w:tc>
      </w:tr>
      <w:tr>
        <w:trPr>
          <w:trHeight w:val="23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Above Threshold</w:t>
            </w:r>
          </w:p>
        </w:tc>
        <w:tc>
          <w:tcPr>
            <w:tcW w:w="26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35th percentile of Peer Group</w:t>
            </w: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Target</w:t>
            </w:r>
          </w:p>
        </w:tc>
        <w:tc>
          <w:tcPr>
            <w:tcW w:w="26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50th percentile of Peer Group</w:t>
            </w: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r>
      <w:tr>
        <w:trPr>
          <w:trHeight w:val="23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Above Target</w:t>
            </w:r>
          </w:p>
        </w:tc>
        <w:tc>
          <w:tcPr>
            <w:tcW w:w="26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75th percentile of Peer Group</w:t>
            </w: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1.50</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w:t>
            </w:r>
          </w:p>
        </w:tc>
        <w:tc>
          <w:tcPr>
            <w:tcW w:w="26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90th percentile of Peer Group</w:t>
            </w: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r>
      <w:tr>
        <w:trPr>
          <w:trHeight w:val="33"/>
        </w:trPr>
        <w:tc>
          <w:tcPr>
            <w:tcW w:w="5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peer group for fiscal 2014 was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Chicago Bridge and Iron Company, N.V.</w:t>
            </w:r>
          </w:p>
        </w:tc>
        <w:tc>
          <w:tcPr>
            <w:tcW w:w="602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6"/>
                <w:szCs w:val="16"/>
                <w:color w:val="auto"/>
              </w:rPr>
              <w:t>MYR Group Inc.</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EMCOR Group, Inc.</w:t>
            </w:r>
          </w:p>
        </w:tc>
        <w:tc>
          <w:tcPr>
            <w:tcW w:w="6020" w:type="dxa"/>
            <w:vAlign w:val="bottom"/>
          </w:tcPr>
          <w:p>
            <w:pPr>
              <w:ind w:left="2660"/>
              <w:spacing w:after="0"/>
              <w:rPr>
                <w:sz w:val="20"/>
                <w:szCs w:val="20"/>
                <w:color w:val="auto"/>
              </w:rPr>
            </w:pPr>
            <w:r>
              <w:rPr>
                <w:rFonts w:ascii="Arial" w:cs="Arial" w:eastAsia="Arial" w:hAnsi="Arial"/>
                <w:sz w:val="16"/>
                <w:szCs w:val="16"/>
                <w:color w:val="auto"/>
              </w:rPr>
              <w:t>Pike Electric Corporation</w:t>
            </w:r>
          </w:p>
        </w:tc>
      </w:tr>
      <w:tr>
        <w:trPr>
          <w:trHeight w:val="33"/>
        </w:trPr>
        <w:tc>
          <w:tcPr>
            <w:tcW w:w="534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Flour Corporation</w:t>
            </w:r>
          </w:p>
        </w:tc>
        <w:tc>
          <w:tcPr>
            <w:tcW w:w="602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6"/>
                <w:szCs w:val="16"/>
                <w:color w:val="auto"/>
              </w:rPr>
              <w:t>Primoris Services Corporation</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Foster Wheeler AG</w:t>
            </w:r>
          </w:p>
        </w:tc>
        <w:tc>
          <w:tcPr>
            <w:tcW w:w="6020" w:type="dxa"/>
            <w:vAlign w:val="bottom"/>
          </w:tcPr>
          <w:p>
            <w:pPr>
              <w:ind w:left="2660"/>
              <w:spacing w:after="0"/>
              <w:rPr>
                <w:sz w:val="20"/>
                <w:szCs w:val="20"/>
                <w:color w:val="auto"/>
              </w:rPr>
            </w:pPr>
            <w:r>
              <w:rPr>
                <w:rFonts w:ascii="Arial" w:cs="Arial" w:eastAsia="Arial" w:hAnsi="Arial"/>
                <w:sz w:val="16"/>
                <w:szCs w:val="16"/>
                <w:color w:val="auto"/>
              </w:rPr>
              <w:t>Quanta Services, Inc.</w:t>
            </w:r>
          </w:p>
        </w:tc>
      </w:tr>
      <w:tr>
        <w:trPr>
          <w:trHeight w:val="33"/>
        </w:trPr>
        <w:tc>
          <w:tcPr>
            <w:tcW w:w="534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Furmanite Corp.</w:t>
            </w:r>
          </w:p>
        </w:tc>
        <w:tc>
          <w:tcPr>
            <w:tcW w:w="602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6"/>
                <w:szCs w:val="16"/>
                <w:color w:val="auto"/>
              </w:rPr>
              <w:t>TEAM, Inc.</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Jacobs Engineering Group Inc.</w:t>
            </w:r>
          </w:p>
        </w:tc>
        <w:tc>
          <w:tcPr>
            <w:tcW w:w="6020" w:type="dxa"/>
            <w:vAlign w:val="bottom"/>
          </w:tcPr>
          <w:p>
            <w:pPr>
              <w:ind w:left="2660"/>
              <w:spacing w:after="0"/>
              <w:rPr>
                <w:sz w:val="20"/>
                <w:szCs w:val="20"/>
                <w:color w:val="auto"/>
              </w:rPr>
            </w:pPr>
            <w:r>
              <w:rPr>
                <w:rFonts w:ascii="Arial" w:cs="Arial" w:eastAsia="Arial" w:hAnsi="Arial"/>
                <w:sz w:val="16"/>
                <w:szCs w:val="16"/>
                <w:color w:val="auto"/>
              </w:rPr>
              <w:t>URS Corporation</w:t>
            </w:r>
          </w:p>
        </w:tc>
      </w:tr>
      <w:tr>
        <w:trPr>
          <w:trHeight w:val="33"/>
        </w:trPr>
        <w:tc>
          <w:tcPr>
            <w:tcW w:w="534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KBR, Inc.</w:t>
            </w:r>
          </w:p>
        </w:tc>
        <w:tc>
          <w:tcPr>
            <w:tcW w:w="602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6"/>
                <w:szCs w:val="16"/>
                <w:color w:val="auto"/>
              </w:rPr>
              <w:t>Willbros Group, Inc.</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MasTec, Inc.</w:t>
            </w:r>
          </w:p>
        </w:tc>
        <w:tc>
          <w:tcPr>
            <w:tcW w:w="6020" w:type="dxa"/>
            <w:vAlign w:val="bottom"/>
          </w:tcPr>
          <w:p>
            <w:pPr>
              <w:spacing w:after="0"/>
              <w:rPr>
                <w:sz w:val="20"/>
                <w:szCs w:val="20"/>
                <w:color w:val="auto"/>
              </w:rPr>
            </w:pPr>
          </w:p>
        </w:tc>
      </w:tr>
    </w:tbl>
    <w:p>
      <w:pPr>
        <w:spacing w:after="0" w:line="181" w:lineRule="exact"/>
        <w:rPr>
          <w:sz w:val="20"/>
          <w:szCs w:val="20"/>
          <w:color w:val="auto"/>
        </w:rPr>
      </w:pPr>
    </w:p>
    <w:p>
      <w:pPr>
        <w:jc w:val="both"/>
        <w:ind w:left="540" w:right="20" w:hanging="316"/>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to be paid in the form of cash. The award cliff vests after two years and is based on the Average Return on Invested Capital ("AROIC") achieved by the Company over fiscal years 2014 and 2015. The threshold AROIC goal is 14%, the target AROIC goal is 16% and the maximum AROIC goal is 18%. At these performance levels, the payouts would be 50%, 100% and 150% of the target award.</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Long-term incentive awards are reviewed and evaluated periodically to ensure that they meet our objectives and may be modified, discontinued or replaced based on the changing objectives and requirements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Grants made during fiscal 2014 to our Named Executive Officers are shown in the Grants of Plan-Based Awards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127" w:lineRule="exact"/>
        <w:rPr>
          <w:sz w:val="20"/>
          <w:szCs w:val="20"/>
          <w:color w:val="auto"/>
        </w:rPr>
      </w:pPr>
    </w:p>
    <w:p>
      <w:pPr>
        <w:ind w:left="580" w:right="60" w:hanging="329"/>
        <w:spacing w:after="0" w:line="25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sponsor a 401(k) Savings Plan which allows executive officers, and other employees, to contribute up to 25%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34" w:lineRule="exact"/>
        <w:rPr>
          <w:rFonts w:ascii="Arial" w:cs="Arial" w:eastAsia="Arial" w:hAnsi="Arial"/>
          <w:sz w:val="18"/>
          <w:szCs w:val="18"/>
          <w:color w:val="auto"/>
        </w:rPr>
      </w:pPr>
    </w:p>
    <w:p>
      <w:pPr>
        <w:ind w:left="580" w:right="60" w:hanging="329"/>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the group term life policy offered to all eligible employees, we provide additional life insurance to our executive officers, at no cost to the officer. Specifically, the Company provides a term life insurance policy equal to 2 times base salary to a maximum of $1.5 million. For the CEO, an additional corporate term life insurance policy of $600,000 is provided.</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equity award agreements also include a clawback provision. The clawback policy provides that, to the extent permitted by law, if the Board of Directors, with the recommendation of the Committee, determines that:</w:t>
      </w:r>
    </w:p>
    <w:p>
      <w:pPr>
        <w:spacing w:after="0" w:line="181" w:lineRule="exact"/>
        <w:rPr>
          <w:sz w:val="20"/>
          <w:szCs w:val="20"/>
          <w:color w:val="auto"/>
        </w:rPr>
      </w:pPr>
    </w:p>
    <w:p>
      <w:pPr>
        <w:ind w:left="540" w:right="260" w:hanging="316"/>
        <w:spacing w:after="0" w:line="25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ind w:left="540" w:hanging="316"/>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executive officer engaged in grossly negligent or intentional misconduct that caused or substantially caused the material restatement; and</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on Hedging and Pledging of Company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Program as it Relates to Risk</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181" w:lineRule="exact"/>
        <w:rPr>
          <w:sz w:val="20"/>
          <w:szCs w:val="20"/>
          <w:color w:val="auto"/>
        </w:rPr>
      </w:pPr>
    </w:p>
    <w:p>
      <w:pPr>
        <w:ind w:left="540" w:right="40" w:hanging="316"/>
        <w:spacing w:after="0" w:line="25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1" w:lineRule="exact"/>
        <w:rPr>
          <w:rFonts w:ascii="Arial" w:cs="Arial" w:eastAsia="Arial" w:hAnsi="Arial"/>
          <w:sz w:val="18"/>
          <w:szCs w:val="18"/>
          <w:color w:val="auto"/>
        </w:rPr>
      </w:pPr>
    </w:p>
    <w:p>
      <w:pPr>
        <w:ind w:left="540" w:right="72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Incentive: Our short-term incentive compensation plan does not allow for unlimited payouts. For fiscal 2014 short-term incentive payments cannot exceed 120% of target levels.</w:t>
      </w:r>
    </w:p>
    <w:p>
      <w:pPr>
        <w:ind w:left="540" w:right="76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two or four years. Our performance-based long-term incentive awards are capped and cannot exceed 200% of target levels.</w:t>
      </w: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20" w:lineRule="exact"/>
        <w:rPr>
          <w:rFonts w:ascii="Arial" w:cs="Arial" w:eastAsia="Arial" w:hAnsi="Arial"/>
          <w:sz w:val="17"/>
          <w:szCs w:val="17"/>
          <w:color w:val="auto"/>
        </w:rPr>
      </w:pPr>
    </w:p>
    <w:p>
      <w:pPr>
        <w:ind w:left="540" w:right="200" w:hanging="316"/>
        <w:spacing w:after="0" w:line="265"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Clawback Policy: We have the ability to recover any excess incentive-based compensation awarded to any of our executive officers as a result of an accounting restatement due to material non-compliance with the reporting requirements under federal securities laws.</w:t>
      </w:r>
    </w:p>
    <w:p>
      <w:pPr>
        <w:ind w:left="540" w:hanging="316"/>
        <w:spacing w:after="0" w:line="261"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“Equity Ownership Guidelines” for a description of our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Compensation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Compensation Committee Member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COMPENSATION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each of the Company’s three other most highly compensated executive officers who were serving as executive officers at June 30, 2014 and one former executive officer based on total compensation earned during fiscal 2014, for services in all capacities to the Company and its subsidiaries. Each of the executive officers listed below are referred to collectively as the Named Executive Officers, or “NEOs”.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the periods presented, the Company experienced the following personnel changes regarding our NEOs:</w:t>
      </w:r>
    </w:p>
    <w:p>
      <w:pPr>
        <w:spacing w:after="0" w:line="171" w:lineRule="exact"/>
        <w:rPr>
          <w:sz w:val="20"/>
          <w:szCs w:val="20"/>
          <w:color w:val="auto"/>
        </w:rPr>
      </w:pPr>
    </w:p>
    <w:p>
      <w:pPr>
        <w:ind w:left="340" w:hanging="332"/>
        <w:spacing w:after="0" w:line="27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announced in certain previous fiscal 2014 filings with the Securities and Exchange Commission, on December 20, 2013, the Company acquired the stock of Kvaerner North American Construction Ltd. and substantially all the assets of Kvaerner North American Construction Inc., together referred to as KNAC. The Company also formed Matrix North American Holdings and, on December 23, 2013, appointed Jason W. Turner as President of Matrix North American Holdings to oversee both the acquired business and the Company's legacy North American union business known as Matrix SME. At the time of his appointment, Mr. Turner was serving as Vice President, Corporate Development and Treasurer.</w:t>
      </w:r>
    </w:p>
    <w:p>
      <w:pPr>
        <w:spacing w:after="0" w:line="118"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June 23, 2014, Matthew J. Petrizzo, resigned as President of Matrix SME.</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Based on the executive officer promotion and resignation discussed above, we have included six officers as NEOs in our 2014 compensation tables. The following table sets forth information with respect to the total compensation of the Named Executive Officers in fiscal 2014, 2013, and 2012: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Change in</w:t>
            </w: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Pension Value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and</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Non-Equity</w:t>
            </w: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Deferred</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w:t>
            </w:r>
          </w:p>
        </w:tc>
        <w:tc>
          <w:tcPr>
            <w:tcW w:w="36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Option</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860"/>
              <w:spacing w:after="0" w:line="135" w:lineRule="exact"/>
              <w:rPr>
                <w:sz w:val="20"/>
                <w:szCs w:val="20"/>
                <w:color w:val="auto"/>
              </w:rPr>
            </w:pPr>
            <w:r>
              <w:rPr>
                <w:rFonts w:ascii="Arial" w:cs="Arial" w:eastAsia="Arial" w:hAnsi="Arial"/>
                <w:sz w:val="13"/>
                <w:szCs w:val="13"/>
                <w:b w:val="1"/>
                <w:bCs w:val="1"/>
                <w:color w:val="auto"/>
              </w:rPr>
              <w:t>Name and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Salary</w:t>
            </w: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Bonus</w:t>
            </w:r>
          </w:p>
        </w:tc>
        <w:tc>
          <w:tcPr>
            <w:tcW w:w="3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36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Awards</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Earnings</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340" w:type="dxa"/>
            <w:vAlign w:val="bottom"/>
          </w:tcPr>
          <w:p>
            <w:pPr>
              <w:spacing w:after="0"/>
              <w:rPr>
                <w:sz w:val="11"/>
                <w:szCs w:val="11"/>
                <w:color w:val="auto"/>
              </w:rPr>
            </w:pPr>
          </w:p>
        </w:tc>
        <w:tc>
          <w:tcPr>
            <w:tcW w:w="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Principal Position</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4"/>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R. Hewitt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644,423</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871,472</w:t>
            </w: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1,050,545</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26,258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2,592,698</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593,365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685,364</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392,773</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14,077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1,685,579</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2012</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527,307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885,649</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80,000</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181,782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1,674,738</w:t>
            </w:r>
          </w:p>
        </w:tc>
        <w:tc>
          <w:tcPr>
            <w:tcW w:w="0" w:type="dxa"/>
            <w:vAlign w:val="bottom"/>
          </w:tcPr>
          <w:p>
            <w:pPr>
              <w:spacing w:after="0"/>
              <w:rPr>
                <w:sz w:val="1"/>
                <w:szCs w:val="1"/>
                <w:color w:val="auto"/>
              </w:rPr>
            </w:pPr>
          </w:p>
        </w:tc>
      </w:tr>
      <w:tr>
        <w:trPr>
          <w:trHeight w:val="286"/>
        </w:trPr>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80" w:type="dxa"/>
            <w:vAlign w:val="bottom"/>
          </w:tcPr>
          <w:p>
            <w:pPr>
              <w:ind w:left="40"/>
              <w:spacing w:after="0"/>
              <w:rPr>
                <w:sz w:val="20"/>
                <w:szCs w:val="20"/>
                <w:color w:val="auto"/>
              </w:rPr>
            </w:pPr>
            <w:r>
              <w:rPr>
                <w:rFonts w:ascii="Arial" w:cs="Arial" w:eastAsia="Arial" w:hAnsi="Arial"/>
                <w:sz w:val="13"/>
                <w:szCs w:val="13"/>
                <w:color w:val="auto"/>
              </w:rPr>
              <w:t>Joseph F. Montalbano</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443,665</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314,806</w:t>
            </w:r>
          </w:p>
        </w:tc>
        <w:tc>
          <w:tcPr>
            <w:tcW w:w="3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517,227</w:t>
            </w:r>
          </w:p>
        </w:tc>
        <w:tc>
          <w:tcPr>
            <w:tcW w:w="12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29,711</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1,305,409</w:t>
            </w:r>
          </w:p>
        </w:tc>
        <w:tc>
          <w:tcPr>
            <w:tcW w:w="0" w:type="dxa"/>
            <w:vAlign w:val="bottom"/>
          </w:tcPr>
          <w:p>
            <w:pPr>
              <w:spacing w:after="0"/>
              <w:rPr>
                <w:sz w:val="1"/>
                <w:szCs w:val="1"/>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3"/>
                <w:szCs w:val="13"/>
                <w:color w:val="auto"/>
              </w:rPr>
              <w:t>Chief Operating Officer</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2013</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415,821</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303,573</w:t>
            </w:r>
          </w:p>
        </w:tc>
        <w:tc>
          <w:tcPr>
            <w:tcW w:w="3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191,857</w:t>
            </w: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15,784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927,035</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2012</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381,570</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207,764</w:t>
            </w:r>
          </w:p>
        </w:tc>
        <w:tc>
          <w:tcPr>
            <w:tcW w:w="36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118,137</w:t>
            </w:r>
          </w:p>
        </w:tc>
        <w:tc>
          <w:tcPr>
            <w:tcW w:w="10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43,129</w:t>
            </w:r>
          </w:p>
        </w:tc>
        <w:tc>
          <w:tcPr>
            <w:tcW w:w="120" w:type="dxa"/>
            <w:vAlign w:val="bottom"/>
          </w:tcPr>
          <w:p>
            <w:pPr>
              <w:spacing w:after="0"/>
              <w:rPr>
                <w:sz w:val="23"/>
                <w:szCs w:val="23"/>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16,661</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767,261</w:t>
            </w:r>
          </w:p>
        </w:tc>
        <w:tc>
          <w:tcPr>
            <w:tcW w:w="0" w:type="dxa"/>
            <w:vAlign w:val="bottom"/>
          </w:tcPr>
          <w:p>
            <w:pPr>
              <w:spacing w:after="0"/>
              <w:rPr>
                <w:sz w:val="1"/>
                <w:szCs w:val="1"/>
                <w:color w:val="auto"/>
              </w:rPr>
            </w:pPr>
          </w:p>
        </w:tc>
      </w:tr>
      <w:tr>
        <w:trPr>
          <w:trHeight w:val="286"/>
        </w:trPr>
        <w:tc>
          <w:tcPr>
            <w:tcW w:w="228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Kevin S. Cavanah</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350,191</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273,142</w:t>
            </w: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419,871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19,426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1,062,630</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Financial Officer</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293,149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29,133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249,167</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125,398</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12,276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709,123</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2012</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249,823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166,310</w:t>
            </w: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94,566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28,200</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14,048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552,947</w:t>
            </w:r>
          </w:p>
        </w:tc>
        <w:tc>
          <w:tcPr>
            <w:tcW w:w="0" w:type="dxa"/>
            <w:vAlign w:val="bottom"/>
          </w:tcPr>
          <w:p>
            <w:pPr>
              <w:spacing w:after="0"/>
              <w:rPr>
                <w:sz w:val="1"/>
                <w:szCs w:val="1"/>
                <w:color w:val="auto"/>
              </w:rPr>
            </w:pPr>
          </w:p>
        </w:tc>
      </w:tr>
      <w:tr>
        <w:trPr>
          <w:trHeight w:val="286"/>
        </w:trPr>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80" w:type="dxa"/>
            <w:vAlign w:val="bottom"/>
          </w:tcPr>
          <w:p>
            <w:pPr>
              <w:ind w:left="40"/>
              <w:spacing w:after="0"/>
              <w:rPr>
                <w:sz w:val="20"/>
                <w:szCs w:val="20"/>
                <w:color w:val="auto"/>
              </w:rPr>
            </w:pPr>
            <w:r>
              <w:rPr>
                <w:rFonts w:ascii="Arial" w:cs="Arial" w:eastAsia="Arial" w:hAnsi="Arial"/>
                <w:sz w:val="13"/>
                <w:szCs w:val="13"/>
                <w:color w:val="auto"/>
              </w:rPr>
              <w:t>Matthew J. Petrizzo</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329,861</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1,677,952</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494,232</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(7)</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2,502,045</w:t>
            </w:r>
          </w:p>
        </w:tc>
        <w:tc>
          <w:tcPr>
            <w:tcW w:w="0" w:type="dxa"/>
            <w:vAlign w:val="bottom"/>
          </w:tcPr>
          <w:p>
            <w:pPr>
              <w:spacing w:after="0"/>
              <w:rPr>
                <w:sz w:val="1"/>
                <w:szCs w:val="1"/>
                <w:color w:val="auto"/>
              </w:rPr>
            </w:pPr>
          </w:p>
        </w:tc>
      </w:tr>
      <w:tr>
        <w:trPr>
          <w:trHeight w:val="230"/>
        </w:trPr>
        <w:tc>
          <w:tcPr>
            <w:tcW w:w="2280" w:type="dxa"/>
            <w:vAlign w:val="bottom"/>
            <w:vMerge w:val="restart"/>
          </w:tcPr>
          <w:p>
            <w:pPr>
              <w:ind w:left="40"/>
              <w:spacing w:after="0"/>
              <w:rPr>
                <w:sz w:val="20"/>
                <w:szCs w:val="20"/>
                <w:color w:val="auto"/>
              </w:rPr>
            </w:pPr>
            <w:r>
              <w:rPr>
                <w:rFonts w:ascii="Arial" w:cs="Arial" w:eastAsia="Arial" w:hAnsi="Arial"/>
                <w:sz w:val="13"/>
                <w:szCs w:val="13"/>
                <w:color w:val="auto"/>
              </w:rPr>
              <w:t>Former President—Matrix SME</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2013</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318,402</w:t>
            </w:r>
          </w:p>
        </w:tc>
        <w:tc>
          <w:tcPr>
            <w:tcW w:w="1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236,981</w:t>
            </w:r>
          </w:p>
        </w:tc>
        <w:tc>
          <w:tcPr>
            <w:tcW w:w="3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155,812</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12,105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723,300</w:t>
            </w:r>
          </w:p>
        </w:tc>
        <w:tc>
          <w:tcPr>
            <w:tcW w:w="0" w:type="dxa"/>
            <w:vAlign w:val="bottom"/>
          </w:tcPr>
          <w:p>
            <w:pPr>
              <w:spacing w:after="0"/>
              <w:rPr>
                <w:sz w:val="1"/>
                <w:szCs w:val="1"/>
                <w:color w:val="auto"/>
              </w:rPr>
            </w:pPr>
          </w:p>
        </w:tc>
      </w:tr>
      <w:tr>
        <w:trPr>
          <w:trHeight w:val="41"/>
        </w:trPr>
        <w:tc>
          <w:tcPr>
            <w:tcW w:w="22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3"/>
                <w:szCs w:val="13"/>
                <w:color w:val="auto"/>
              </w:rPr>
              <w:t>2012</w:t>
            </w:r>
          </w:p>
        </w:tc>
        <w:tc>
          <w:tcPr>
            <w:tcW w:w="800" w:type="dxa"/>
            <w:vAlign w:val="bottom"/>
            <w:gridSpan w:val="2"/>
            <w:vMerge w:val="restart"/>
          </w:tcPr>
          <w:p>
            <w:pPr>
              <w:ind w:left="300"/>
              <w:spacing w:after="0"/>
              <w:rPr>
                <w:sz w:val="20"/>
                <w:szCs w:val="20"/>
                <w:color w:val="auto"/>
              </w:rPr>
            </w:pPr>
            <w:r>
              <w:rPr>
                <w:rFonts w:ascii="Arial" w:cs="Arial" w:eastAsia="Arial" w:hAnsi="Arial"/>
                <w:sz w:val="13"/>
                <w:szCs w:val="13"/>
                <w:color w:val="auto"/>
              </w:rPr>
              <w:t>295,705</w:t>
            </w:r>
          </w:p>
        </w:tc>
        <w:tc>
          <w:tcPr>
            <w:tcW w:w="120" w:type="dxa"/>
            <w:vAlign w:val="bottom"/>
          </w:tcPr>
          <w:p>
            <w:pPr>
              <w:spacing w:after="0"/>
              <w:rPr>
                <w:sz w:val="19"/>
                <w:szCs w:val="19"/>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9"/>
                <w:szCs w:val="19"/>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153,972</w:t>
            </w:r>
          </w:p>
        </w:tc>
        <w:tc>
          <w:tcPr>
            <w:tcW w:w="360" w:type="dxa"/>
            <w:vAlign w:val="bottom"/>
          </w:tcPr>
          <w:p>
            <w:pPr>
              <w:spacing w:after="0"/>
              <w:rPr>
                <w:sz w:val="19"/>
                <w:szCs w:val="19"/>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87,550</w:t>
            </w:r>
          </w:p>
        </w:tc>
        <w:tc>
          <w:tcPr>
            <w:tcW w:w="100" w:type="dxa"/>
            <w:vAlign w:val="bottom"/>
          </w:tcPr>
          <w:p>
            <w:pPr>
              <w:spacing w:after="0"/>
              <w:rPr>
                <w:sz w:val="19"/>
                <w:szCs w:val="19"/>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33,358</w:t>
            </w:r>
          </w:p>
        </w:tc>
        <w:tc>
          <w:tcPr>
            <w:tcW w:w="120" w:type="dxa"/>
            <w:vAlign w:val="bottom"/>
          </w:tcPr>
          <w:p>
            <w:pPr>
              <w:spacing w:after="0"/>
              <w:rPr>
                <w:sz w:val="19"/>
                <w:szCs w:val="19"/>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12,671</w:t>
            </w:r>
          </w:p>
        </w:tc>
        <w:tc>
          <w:tcPr>
            <w:tcW w:w="340" w:type="dxa"/>
            <w:vAlign w:val="bottom"/>
            <w:vMerge w:val="restart"/>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583,256</w:t>
            </w: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28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James P. Ryan</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338,997</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261,546</w:t>
            </w: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386,127</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20,199</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1,006,869</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President—Matrix Service</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327,179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249,167</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124,255</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11,481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712,082</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2012</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309,074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167,297</w:t>
            </w: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95,127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67,755</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652,365</w:t>
            </w:r>
          </w:p>
        </w:tc>
        <w:tc>
          <w:tcPr>
            <w:tcW w:w="0" w:type="dxa"/>
            <w:vAlign w:val="bottom"/>
          </w:tcPr>
          <w:p>
            <w:pPr>
              <w:spacing w:after="0"/>
              <w:rPr>
                <w:sz w:val="1"/>
                <w:szCs w:val="1"/>
                <w:color w:val="auto"/>
              </w:rPr>
            </w:pPr>
          </w:p>
        </w:tc>
      </w:tr>
      <w:tr>
        <w:trPr>
          <w:trHeight w:val="286"/>
        </w:trPr>
        <w:tc>
          <w:tcPr>
            <w:tcW w:w="2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2280" w:type="dxa"/>
            <w:vAlign w:val="bottom"/>
          </w:tcPr>
          <w:p>
            <w:pPr>
              <w:ind w:left="40"/>
              <w:spacing w:after="0"/>
              <w:rPr>
                <w:sz w:val="20"/>
                <w:szCs w:val="20"/>
                <w:color w:val="auto"/>
              </w:rPr>
            </w:pPr>
            <w:r>
              <w:rPr>
                <w:rFonts w:ascii="Arial" w:cs="Arial" w:eastAsia="Arial" w:hAnsi="Arial"/>
                <w:sz w:val="13"/>
                <w:szCs w:val="13"/>
                <w:color w:val="auto"/>
              </w:rPr>
              <w:t>Jason W. Turner</w:t>
            </w: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2014</w:t>
            </w:r>
          </w:p>
        </w:tc>
        <w:tc>
          <w:tcPr>
            <w:tcW w:w="800" w:type="dxa"/>
            <w:vAlign w:val="bottom"/>
            <w:gridSpan w:val="2"/>
          </w:tcPr>
          <w:p>
            <w:pPr>
              <w:ind w:left="300"/>
              <w:spacing w:after="0"/>
              <w:rPr>
                <w:sz w:val="20"/>
                <w:szCs w:val="20"/>
                <w:color w:val="auto"/>
              </w:rPr>
            </w:pPr>
            <w:r>
              <w:rPr>
                <w:rFonts w:ascii="Arial" w:cs="Arial" w:eastAsia="Arial" w:hAnsi="Arial"/>
                <w:sz w:val="13"/>
                <w:szCs w:val="13"/>
                <w:color w:val="auto"/>
              </w:rPr>
              <w:t>283,106</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228,496</w:t>
            </w:r>
          </w:p>
        </w:tc>
        <w:tc>
          <w:tcPr>
            <w:tcW w:w="3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236,957</w:t>
            </w:r>
          </w:p>
        </w:tc>
        <w:tc>
          <w:tcPr>
            <w:tcW w:w="12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13,143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836,702</w:t>
            </w:r>
          </w:p>
        </w:tc>
        <w:tc>
          <w:tcPr>
            <w:tcW w:w="0" w:type="dxa"/>
            <w:vAlign w:val="bottom"/>
          </w:tcPr>
          <w:p>
            <w:pPr>
              <w:spacing w:after="0"/>
              <w:rPr>
                <w:sz w:val="1"/>
                <w:szCs w:val="1"/>
                <w:color w:val="auto"/>
              </w:rPr>
            </w:pPr>
          </w:p>
        </w:tc>
      </w:tr>
      <w:tr>
        <w:trPr>
          <w:trHeight w:val="164"/>
        </w:trPr>
        <w:tc>
          <w:tcPr>
            <w:tcW w:w="2280" w:type="dxa"/>
            <w:vAlign w:val="bottom"/>
          </w:tcPr>
          <w:p>
            <w:pPr>
              <w:ind w:left="40"/>
              <w:spacing w:after="0"/>
              <w:rPr>
                <w:sz w:val="20"/>
                <w:szCs w:val="20"/>
                <w:color w:val="auto"/>
              </w:rPr>
            </w:pPr>
            <w:r>
              <w:rPr>
                <w:rFonts w:ascii="Arial" w:cs="Arial" w:eastAsia="Arial" w:hAnsi="Arial"/>
                <w:sz w:val="13"/>
                <w:szCs w:val="13"/>
                <w:color w:val="auto"/>
              </w:rPr>
              <w:t>President—Matrix North American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tcPr>
          <w:p>
            <w:pPr>
              <w:ind w:left="40"/>
              <w:spacing w:after="0"/>
              <w:rPr>
                <w:sz w:val="20"/>
                <w:szCs w:val="20"/>
                <w:color w:val="auto"/>
              </w:rPr>
            </w:pPr>
            <w:r>
              <w:rPr>
                <w:rFonts w:ascii="Arial" w:cs="Arial" w:eastAsia="Arial" w:hAnsi="Arial"/>
                <w:sz w:val="13"/>
                <w:szCs w:val="13"/>
                <w:color w:val="auto"/>
              </w:rPr>
              <w:t>Holdings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80" w:right="80" w:hanging="272"/>
        <w:spacing w:after="0" w:line="252" w:lineRule="auto"/>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ASC718 – Compensation – Stock Compensation. A portion of the awards that were granted in fiscal years 2013 and 2014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2014 Annual Report on Form 10-K.</w:t>
      </w:r>
    </w:p>
    <w:p>
      <w:pPr>
        <w:sectPr>
          <w:pgSz w:w="11900" w:h="16838" w:orient="portrait"/>
          <w:cols w:equalWidth="0" w:num="1">
            <w:col w:w="11420"/>
          </w:cols>
          <w:pgMar w:left="240" w:top="125"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80" w:right="160" w:hanging="272"/>
        <w:spacing w:after="0" w:line="312" w:lineRule="auto"/>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amounts payable to Named Executive Officers (i) under the annual/short-term incentive compensation plan for the applicable fiscal year performance and (ii) with respect to fiscal 2014, the amounts payable to the Named Executive Officers for the cash-based long-term incentive award that was granted in August 2012 and earned in fiscal 2014.</w:t>
      </w:r>
    </w:p>
    <w:p>
      <w:pPr>
        <w:spacing w:after="0" w:line="97" w:lineRule="exact"/>
        <w:rPr>
          <w:rFonts w:ascii="Arial" w:cs="Arial" w:eastAsia="Arial" w:hAnsi="Arial"/>
          <w:sz w:val="13"/>
          <w:szCs w:val="13"/>
          <w:color w:val="auto"/>
        </w:rPr>
      </w:pPr>
    </w:p>
    <w:p>
      <w:pPr>
        <w:ind w:left="280" w:hanging="272"/>
        <w:spacing w:after="0" w:line="257" w:lineRule="auto"/>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 Matching contributions to our 401(k) plan in fiscal 2014 totaled $10,950, $10,799, $11,411, $10,399, and $5,754 for Messrs. Hewitt, Montalbano, Cavanah, Ryan, and Turner, respectively.</w:t>
      </w:r>
    </w:p>
    <w:p>
      <w:pPr>
        <w:spacing w:after="0" w:line="131" w:lineRule="exact"/>
        <w:rPr>
          <w:rFonts w:ascii="Arial" w:cs="Arial" w:eastAsia="Arial" w:hAnsi="Arial"/>
          <w:sz w:val="14"/>
          <w:szCs w:val="14"/>
          <w:color w:val="auto"/>
        </w:rPr>
      </w:pPr>
    </w:p>
    <w:p>
      <w:pPr>
        <w:ind w:left="280" w:hanging="272"/>
        <w:spacing w:after="0"/>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amounts paid by us on behalf of Mr. Hewitt for life and disability insurance, matching contributions to Mr. Hewitt’s 401(k) account, and moving expenses totaling $166,139.</w:t>
      </w:r>
    </w:p>
    <w:p>
      <w:pPr>
        <w:spacing w:after="0" w:line="174" w:lineRule="exact"/>
        <w:rPr>
          <w:rFonts w:ascii="Arial" w:cs="Arial" w:eastAsia="Arial" w:hAnsi="Arial"/>
          <w:sz w:val="13"/>
          <w:szCs w:val="13"/>
          <w:color w:val="auto"/>
        </w:rPr>
      </w:pPr>
    </w:p>
    <w:p>
      <w:pPr>
        <w:ind w:left="340" w:right="120" w:hanging="251"/>
        <w:spacing w:after="0" w:line="273" w:lineRule="auto"/>
        <w:tabs>
          <w:tab w:leader="none" w:pos="301"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 addition to the bonuses paid under the fiscal 2013 annual/short-term incentive compensation plan, Mr. Hewitt recommended, and the Committee approved a separate discretionary bonus of $29,133 for Mr. Cavanah for his extraordinary efforts in fiscal 2013.</w:t>
      </w:r>
    </w:p>
    <w:p>
      <w:pPr>
        <w:spacing w:after="0" w:line="119" w:lineRule="exact"/>
        <w:rPr>
          <w:rFonts w:ascii="Arial" w:cs="Arial" w:eastAsia="Arial" w:hAnsi="Arial"/>
          <w:sz w:val="14"/>
          <w:szCs w:val="14"/>
          <w:color w:val="auto"/>
        </w:rPr>
      </w:pPr>
    </w:p>
    <w:p>
      <w:pPr>
        <w:ind w:left="300" w:hanging="211"/>
        <w:spacing w:after="0"/>
        <w:tabs>
          <w:tab w:leader="none" w:pos="3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 connection with Mr. Petrizzo’s resignation, the vesting of 35,055 service-based RSUs, 15,600 stock options and 18,207 performance units was accelerated, with an incremental value of</w:t>
      </w:r>
    </w:p>
    <w:p>
      <w:pPr>
        <w:spacing w:after="0" w:line="25" w:lineRule="exact"/>
        <w:rPr>
          <w:sz w:val="20"/>
          <w:szCs w:val="20"/>
          <w:color w:val="auto"/>
        </w:rPr>
      </w:pPr>
    </w:p>
    <w:p>
      <w:pPr>
        <w:ind w:left="340" w:right="100"/>
        <w:spacing w:after="0" w:line="255" w:lineRule="auto"/>
        <w:rPr>
          <w:sz w:val="20"/>
          <w:szCs w:val="20"/>
          <w:color w:val="auto"/>
        </w:rPr>
      </w:pPr>
      <w:r>
        <w:rPr>
          <w:rFonts w:ascii="Arial" w:cs="Arial" w:eastAsia="Arial" w:hAnsi="Arial"/>
          <w:sz w:val="14"/>
          <w:szCs w:val="14"/>
          <w:color w:val="auto"/>
        </w:rPr>
        <w:t>$788,929, $281,393 and $357,647, respectively. The amount shown in the Stock Awards column includes the incremental value to Mr. Petrizzo as a result of the accelerated vesting of each of these awards.</w:t>
      </w:r>
    </w:p>
    <w:p>
      <w:pPr>
        <w:spacing w:after="0" w:line="132" w:lineRule="exact"/>
        <w:rPr>
          <w:sz w:val="20"/>
          <w:szCs w:val="20"/>
          <w:color w:val="auto"/>
        </w:rPr>
      </w:pPr>
    </w:p>
    <w:p>
      <w:pPr>
        <w:ind w:left="340" w:right="40" w:hanging="251"/>
        <w:spacing w:after="0" w:line="312" w:lineRule="auto"/>
        <w:tabs>
          <w:tab w:leader="none" w:pos="301"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 connection with his resignation, Mr. Petrizzo received the following: a) one year of base salary totaling $331,900; b) the average bonus earned over fiscal 2012, 2013 and 2014 which totaled $124,171; c) outplacement employment services not to exceed $5,000; and d) reimbursement of COBRA premiums through December 31, 2014, which is currently expected to be $18,128.</w:t>
      </w:r>
    </w:p>
    <w:p>
      <w:pPr>
        <w:spacing w:after="0" w:line="98" w:lineRule="exact"/>
        <w:rPr>
          <w:sz w:val="20"/>
          <w:szCs w:val="20"/>
          <w:color w:val="auto"/>
        </w:rPr>
      </w:pPr>
    </w:p>
    <w:p>
      <w:pPr>
        <w:ind w:left="280" w:right="340"/>
        <w:spacing w:after="0" w:line="273" w:lineRule="auto"/>
        <w:rPr>
          <w:sz w:val="20"/>
          <w:szCs w:val="20"/>
          <w:color w:val="auto"/>
        </w:rPr>
      </w:pPr>
      <w:r>
        <w:rPr>
          <w:rFonts w:ascii="Arial" w:cs="Arial" w:eastAsia="Arial" w:hAnsi="Arial"/>
          <w:sz w:val="14"/>
          <w:szCs w:val="14"/>
          <w:color w:val="auto"/>
        </w:rPr>
        <w:t>Also included are amounts paid by us on behalf of Mr. Petrizzo for life insurance and disability premiums and matching contributions of $6,638 into Mr. Petrizzo's account in our qualified 401(k) plan.</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4"/>
          <w:szCs w:val="14"/>
          <w:color w:val="auto"/>
        </w:rPr>
        <w:t>(8) Mr. Turner was paid a bonus for his efforts in the successful closing of the KNAC acquisition, as described under the "Compensation Discussion and Analysis" section above.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2014 to the Named Executive Officers: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All Other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8"/>
              </w:rPr>
              <w:t>Estimated Possible Payouts Under</w:t>
            </w:r>
          </w:p>
        </w:tc>
        <w:tc>
          <w:tcPr>
            <w:tcW w:w="300" w:type="dxa"/>
            <w:vAlign w:val="bottom"/>
          </w:tcPr>
          <w:p>
            <w:pPr>
              <w:spacing w:after="0"/>
              <w:rPr>
                <w:sz w:val="10"/>
                <w:szCs w:val="10"/>
                <w:color w:val="auto"/>
              </w:rPr>
            </w:pPr>
          </w:p>
        </w:tc>
        <w:tc>
          <w:tcPr>
            <w:tcW w:w="2160" w:type="dxa"/>
            <w:vAlign w:val="bottom"/>
            <w:gridSpan w:val="7"/>
            <w:vMerge w:val="restart"/>
          </w:tcPr>
          <w:p>
            <w:pPr>
              <w:jc w:val="center"/>
              <w:spacing w:after="0"/>
              <w:rPr>
                <w:sz w:val="20"/>
                <w:szCs w:val="20"/>
                <w:color w:val="auto"/>
              </w:rPr>
            </w:pPr>
            <w:r>
              <w:rPr>
                <w:rFonts w:ascii="Arial" w:cs="Arial" w:eastAsia="Arial" w:hAnsi="Arial"/>
                <w:sz w:val="10"/>
                <w:szCs w:val="10"/>
                <w:b w:val="1"/>
                <w:bCs w:val="1"/>
                <w:color w:val="auto"/>
                <w:w w:val="90"/>
              </w:rPr>
              <w:t>Estimated Future Payouts Under</w:t>
            </w:r>
          </w:p>
        </w:tc>
        <w:tc>
          <w:tcPr>
            <w:tcW w:w="12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All</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Option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3"/>
              </w:rPr>
              <w:t>Grant Date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9"/>
              </w:rPr>
              <w:t>Other</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Exercise or</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Fair</w:t>
            </w: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89"/>
              </w:rPr>
              <w:t>Non-equity Incentive Plan</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gridSpan w:val="5"/>
            <w:vMerge w:val="restart"/>
          </w:tcPr>
          <w:p>
            <w:pPr>
              <w:jc w:val="center"/>
              <w:spacing w:after="0"/>
              <w:rPr>
                <w:sz w:val="20"/>
                <w:szCs w:val="20"/>
                <w:color w:val="auto"/>
              </w:rPr>
            </w:pPr>
            <w:r>
              <w:rPr>
                <w:rFonts w:ascii="Arial" w:cs="Arial" w:eastAsia="Arial" w:hAnsi="Arial"/>
                <w:sz w:val="10"/>
                <w:szCs w:val="10"/>
                <w:b w:val="1"/>
                <w:bCs w:val="1"/>
                <w:color w:val="auto"/>
                <w:w w:val="91"/>
              </w:rPr>
              <w:t>Equity Incentive Plan</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7"/>
              </w:rPr>
              <w:t>Stock</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7"/>
              </w:rPr>
              <w:t>Number of</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3"/>
              </w:rPr>
              <w:t>Base</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Value of</w:t>
            </w: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0"/>
                <w:szCs w:val="10"/>
                <w:b w:val="1"/>
                <w:bCs w:val="1"/>
                <w:color w:val="auto"/>
                <w:w w:val="88"/>
              </w:rPr>
              <w:t>Awards</w:t>
            </w: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89"/>
              </w:rPr>
              <w:t>Awards (2)</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Awards: Number of</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3"/>
              </w:rPr>
              <w:t>Securities</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Price of</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Stock and</w:t>
            </w: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shares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Underlying</w:t>
            </w:r>
          </w:p>
        </w:tc>
        <w:tc>
          <w:tcPr>
            <w:tcW w:w="6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Option</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2"/>
              </w:rPr>
              <w:t>Option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Approval</w:t>
            </w:r>
          </w:p>
        </w:tc>
        <w:tc>
          <w:tcPr>
            <w:tcW w:w="8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Grant</w:t>
            </w: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Threshold</w:t>
            </w:r>
          </w:p>
        </w:tc>
        <w:tc>
          <w:tcPr>
            <w:tcW w:w="680" w:type="dxa"/>
            <w:vAlign w:val="bottom"/>
            <w:gridSpan w:val="2"/>
          </w:tcPr>
          <w:p>
            <w:pPr>
              <w:ind w:left="140"/>
              <w:spacing w:after="0"/>
              <w:rPr>
                <w:sz w:val="20"/>
                <w:szCs w:val="20"/>
                <w:color w:val="auto"/>
              </w:rPr>
            </w:pPr>
            <w:r>
              <w:rPr>
                <w:rFonts w:ascii="Arial" w:cs="Arial" w:eastAsia="Arial" w:hAnsi="Arial"/>
                <w:sz w:val="10"/>
                <w:szCs w:val="10"/>
                <w:b w:val="1"/>
                <w:bCs w:val="1"/>
                <w:color w:val="auto"/>
              </w:rPr>
              <w:t>Target</w:t>
            </w:r>
          </w:p>
        </w:tc>
        <w:tc>
          <w:tcPr>
            <w:tcW w:w="720" w:type="dxa"/>
            <w:vAlign w:val="bottom"/>
          </w:tcPr>
          <w:p>
            <w:pPr>
              <w:jc w:val="right"/>
              <w:ind w:right="91"/>
              <w:spacing w:after="0"/>
              <w:rPr>
                <w:sz w:val="20"/>
                <w:szCs w:val="20"/>
                <w:color w:val="auto"/>
              </w:rPr>
            </w:pPr>
            <w:r>
              <w:rPr>
                <w:rFonts w:ascii="Arial" w:cs="Arial" w:eastAsia="Arial" w:hAnsi="Arial"/>
                <w:sz w:val="10"/>
                <w:szCs w:val="10"/>
                <w:b w:val="1"/>
                <w:bCs w:val="1"/>
                <w:color w:val="auto"/>
              </w:rPr>
              <w:t>Maximum</w:t>
            </w:r>
          </w:p>
        </w:tc>
        <w:tc>
          <w:tcPr>
            <w:tcW w:w="3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Threshold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120"/>
              <w:spacing w:after="0"/>
              <w:rPr>
                <w:sz w:val="20"/>
                <w:szCs w:val="20"/>
                <w:color w:val="auto"/>
              </w:rPr>
            </w:pPr>
            <w:r>
              <w:rPr>
                <w:rFonts w:ascii="Arial" w:cs="Arial" w:eastAsia="Arial" w:hAnsi="Arial"/>
                <w:sz w:val="10"/>
                <w:szCs w:val="10"/>
                <w:b w:val="1"/>
                <w:bCs w:val="1"/>
                <w:color w:val="auto"/>
              </w:rPr>
              <w:t>Target</w:t>
            </w:r>
          </w:p>
        </w:tc>
        <w:tc>
          <w:tcPr>
            <w:tcW w:w="600" w:type="dxa"/>
            <w:vAlign w:val="bottom"/>
          </w:tcPr>
          <w:p>
            <w:pPr>
              <w:jc w:val="right"/>
              <w:ind w:right="91"/>
              <w:spacing w:after="0"/>
              <w:rPr>
                <w:sz w:val="20"/>
                <w:szCs w:val="20"/>
                <w:color w:val="auto"/>
              </w:rPr>
            </w:pPr>
            <w:r>
              <w:rPr>
                <w:rFonts w:ascii="Arial" w:cs="Arial" w:eastAsia="Arial" w:hAnsi="Arial"/>
                <w:sz w:val="10"/>
                <w:szCs w:val="10"/>
                <w:b w:val="1"/>
                <w:bCs w:val="1"/>
                <w:color w:val="auto"/>
                <w:w w:val="95"/>
              </w:rPr>
              <w:t>Maximum</w:t>
            </w:r>
          </w:p>
        </w:tc>
        <w:tc>
          <w:tcPr>
            <w:tcW w:w="12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of Stock or Units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Options</w:t>
            </w: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Awards</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88"/>
              </w:rPr>
              <w:t>Awards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520"/>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Date</w:t>
            </w:r>
          </w:p>
        </w:tc>
        <w:tc>
          <w:tcPr>
            <w:tcW w:w="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Date</w:t>
            </w:r>
          </w:p>
        </w:tc>
        <w:tc>
          <w:tcPr>
            <w:tcW w:w="700" w:type="dxa"/>
            <w:vAlign w:val="bottom"/>
          </w:tcPr>
          <w:p>
            <w:pPr>
              <w:jc w:val="right"/>
              <w:ind w:right="25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580" w:type="dxa"/>
            <w:vAlign w:val="bottom"/>
          </w:tcPr>
          <w:p>
            <w:pPr>
              <w:jc w:val="right"/>
              <w:ind w:right="19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20" w:type="dxa"/>
            <w:vAlign w:val="bottom"/>
          </w:tcPr>
          <w:p>
            <w:pPr>
              <w:jc w:val="right"/>
              <w:ind w:right="251"/>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00" w:type="dxa"/>
            <w:vAlign w:val="bottom"/>
          </w:tcPr>
          <w:p>
            <w:pPr>
              <w:jc w:val="right"/>
              <w:ind w:right="151"/>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3"/>
          </w:tcPr>
          <w:p>
            <w:pPr>
              <w:jc w:val="right"/>
              <w:ind w:right="15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10"/>
                <w:szCs w:val="10"/>
                <w:b w:val="1"/>
                <w:bCs w:val="1"/>
                <w:color w:val="auto"/>
              </w:rPr>
              <w:t>(#)</w:t>
            </w:r>
          </w:p>
        </w:tc>
        <w:tc>
          <w:tcPr>
            <w:tcW w:w="1200" w:type="dxa"/>
            <w:vAlign w:val="bottom"/>
            <w:gridSpan w:val="2"/>
          </w:tcPr>
          <w:p>
            <w:pPr>
              <w:jc w:val="center"/>
              <w:ind w:left="71"/>
              <w:spacing w:after="0"/>
              <w:rPr>
                <w:sz w:val="20"/>
                <w:szCs w:val="20"/>
                <w:color w:val="auto"/>
              </w:rPr>
            </w:pPr>
            <w:r>
              <w:rPr>
                <w:rFonts w:ascii="Arial" w:cs="Arial" w:eastAsia="Arial" w:hAnsi="Arial"/>
                <w:sz w:val="10"/>
                <w:szCs w:val="10"/>
                <w:b w:val="1"/>
                <w:bCs w:val="1"/>
                <w:color w:val="auto"/>
                <w:w w:val="87"/>
              </w:rPr>
              <w:t>(#) (3)</w:t>
            </w:r>
          </w:p>
        </w:tc>
        <w:tc>
          <w:tcPr>
            <w:tcW w:w="12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($/Sh)</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5"/>
              </w:rPr>
              <w:t>($) (4)</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John R. Hewitt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278,375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556,750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668,100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203,379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406,758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610,137</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6,275</w:t>
            </w:r>
          </w:p>
        </w:tc>
        <w:tc>
          <w:tcPr>
            <w:tcW w:w="72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25,100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50,200</w:t>
            </w:r>
          </w:p>
        </w:tc>
        <w:tc>
          <w:tcPr>
            <w:tcW w:w="120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25,100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871,472</w:t>
            </w: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60" w:type="dxa"/>
            <w:vAlign w:val="bottom"/>
            <w:vMerge w:val="restart"/>
          </w:tcPr>
          <w:p>
            <w:pPr>
              <w:ind w:left="40"/>
              <w:spacing w:after="0"/>
              <w:rPr>
                <w:sz w:val="20"/>
                <w:szCs w:val="20"/>
                <w:color w:val="auto"/>
              </w:rPr>
            </w:pPr>
            <w:r>
              <w:rPr>
                <w:rFonts w:ascii="Arial" w:cs="Arial" w:eastAsia="Arial" w:hAnsi="Arial"/>
                <w:sz w:val="10"/>
                <w:szCs w:val="10"/>
                <w:color w:val="auto"/>
              </w:rPr>
              <w:t>Joseph F. Montalbano</w:t>
            </w: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146,250</w:t>
            </w:r>
          </w:p>
        </w:tc>
        <w:tc>
          <w:tcPr>
            <w:tcW w:w="10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292,500</w:t>
            </w:r>
          </w:p>
        </w:tc>
        <w:tc>
          <w:tcPr>
            <w:tcW w:w="1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351,000</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73,417</w:t>
            </w:r>
          </w:p>
        </w:tc>
        <w:tc>
          <w:tcPr>
            <w:tcW w:w="10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146,833</w:t>
            </w:r>
          </w:p>
        </w:tc>
        <w:tc>
          <w:tcPr>
            <w:tcW w:w="10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220,250</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2,267</w:t>
            </w:r>
          </w:p>
        </w:tc>
        <w:tc>
          <w:tcPr>
            <w:tcW w:w="720" w:type="dxa"/>
            <w:vAlign w:val="bottom"/>
            <w:gridSpan w:val="3"/>
          </w:tcPr>
          <w:p>
            <w:pPr>
              <w:jc w:val="right"/>
              <w:ind w:right="51"/>
              <w:spacing w:after="0"/>
              <w:rPr>
                <w:sz w:val="20"/>
                <w:szCs w:val="20"/>
                <w:color w:val="auto"/>
              </w:rPr>
            </w:pPr>
            <w:r>
              <w:rPr>
                <w:rFonts w:ascii="Arial" w:cs="Arial" w:eastAsia="Arial" w:hAnsi="Arial"/>
                <w:sz w:val="10"/>
                <w:szCs w:val="10"/>
                <w:color w:val="auto"/>
              </w:rPr>
              <w:t>9,067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18,134</w:t>
            </w:r>
          </w:p>
        </w:tc>
        <w:tc>
          <w:tcPr>
            <w:tcW w:w="1200" w:type="dxa"/>
            <w:vAlign w:val="bottom"/>
            <w:gridSpan w:val="2"/>
          </w:tcPr>
          <w:p>
            <w:pPr>
              <w:jc w:val="right"/>
              <w:ind w:right="51"/>
              <w:spacing w:after="0"/>
              <w:rPr>
                <w:sz w:val="20"/>
                <w:szCs w:val="20"/>
                <w:color w:val="auto"/>
              </w:rPr>
            </w:pPr>
            <w:r>
              <w:rPr>
                <w:rFonts w:ascii="Arial" w:cs="Arial" w:eastAsia="Arial" w:hAnsi="Arial"/>
                <w:sz w:val="10"/>
                <w:szCs w:val="10"/>
                <w:color w:val="auto"/>
              </w:rPr>
              <w:t>9,067</w:t>
            </w:r>
          </w:p>
        </w:tc>
        <w:tc>
          <w:tcPr>
            <w:tcW w:w="12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314,806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Kevin S. Cavanah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117,975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235,950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283,140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63,750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127,500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191,250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1,967</w:t>
            </w:r>
          </w:p>
        </w:tc>
        <w:tc>
          <w:tcPr>
            <w:tcW w:w="72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7,867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15,734</w:t>
            </w:r>
          </w:p>
        </w:tc>
        <w:tc>
          <w:tcPr>
            <w:tcW w:w="120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7,867</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273,142</w:t>
            </w: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60" w:type="dxa"/>
            <w:vAlign w:val="bottom"/>
            <w:vMerge w:val="restart"/>
          </w:tcPr>
          <w:p>
            <w:pPr>
              <w:ind w:left="40"/>
              <w:spacing w:after="0"/>
              <w:rPr>
                <w:sz w:val="20"/>
                <w:szCs w:val="20"/>
                <w:color w:val="auto"/>
              </w:rPr>
            </w:pPr>
            <w:r>
              <w:rPr>
                <w:rFonts w:ascii="Arial" w:cs="Arial" w:eastAsia="Arial" w:hAnsi="Arial"/>
                <w:sz w:val="10"/>
                <w:szCs w:val="10"/>
                <w:color w:val="auto"/>
              </w:rPr>
              <w:t>Matthew J. Petrizzo</w:t>
            </w: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99,570</w:t>
            </w:r>
          </w:p>
        </w:tc>
        <w:tc>
          <w:tcPr>
            <w:tcW w:w="10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199,140</w:t>
            </w:r>
          </w:p>
        </w:tc>
        <w:tc>
          <w:tcPr>
            <w:tcW w:w="1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238,968</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58,217</w:t>
            </w:r>
          </w:p>
        </w:tc>
        <w:tc>
          <w:tcPr>
            <w:tcW w:w="10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116,433</w:t>
            </w:r>
          </w:p>
        </w:tc>
        <w:tc>
          <w:tcPr>
            <w:tcW w:w="10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174,650</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1,800</w:t>
            </w:r>
          </w:p>
        </w:tc>
        <w:tc>
          <w:tcPr>
            <w:tcW w:w="720" w:type="dxa"/>
            <w:vAlign w:val="bottom"/>
            <w:gridSpan w:val="3"/>
          </w:tcPr>
          <w:p>
            <w:pPr>
              <w:jc w:val="right"/>
              <w:ind w:right="51"/>
              <w:spacing w:after="0"/>
              <w:rPr>
                <w:sz w:val="20"/>
                <w:szCs w:val="20"/>
                <w:color w:val="auto"/>
              </w:rPr>
            </w:pPr>
            <w:r>
              <w:rPr>
                <w:rFonts w:ascii="Arial" w:cs="Arial" w:eastAsia="Arial" w:hAnsi="Arial"/>
                <w:sz w:val="10"/>
                <w:szCs w:val="10"/>
                <w:color w:val="auto"/>
              </w:rPr>
              <w:t>7,200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14,400</w:t>
            </w:r>
          </w:p>
        </w:tc>
        <w:tc>
          <w:tcPr>
            <w:tcW w:w="1200" w:type="dxa"/>
            <w:vAlign w:val="bottom"/>
            <w:gridSpan w:val="2"/>
          </w:tcPr>
          <w:p>
            <w:pPr>
              <w:jc w:val="right"/>
              <w:ind w:right="51"/>
              <w:spacing w:after="0"/>
              <w:rPr>
                <w:sz w:val="20"/>
                <w:szCs w:val="20"/>
                <w:color w:val="auto"/>
              </w:rPr>
            </w:pPr>
            <w:r>
              <w:rPr>
                <w:rFonts w:ascii="Arial" w:cs="Arial" w:eastAsia="Arial" w:hAnsi="Arial"/>
                <w:sz w:val="10"/>
                <w:szCs w:val="10"/>
                <w:color w:val="auto"/>
              </w:rPr>
              <w:t>7,200</w:t>
            </w:r>
          </w:p>
        </w:tc>
        <w:tc>
          <w:tcPr>
            <w:tcW w:w="12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249,984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6/23/2014</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6/23/2014</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gridSpan w:val="2"/>
          </w:tcPr>
          <w:p>
            <w:pPr>
              <w:jc w:val="right"/>
              <w:ind w:right="51"/>
              <w:spacing w:after="0"/>
              <w:rPr>
                <w:sz w:val="20"/>
                <w:szCs w:val="20"/>
                <w:color w:val="auto"/>
              </w:rPr>
            </w:pPr>
            <w:r>
              <w:rPr>
                <w:rFonts w:ascii="Arial" w:cs="Arial" w:eastAsia="Arial" w:hAnsi="Arial"/>
                <w:sz w:val="10"/>
                <w:szCs w:val="10"/>
                <w:color w:val="auto"/>
              </w:rPr>
              <w:t>68,862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1,427,968</w:t>
            </w:r>
          </w:p>
        </w:tc>
        <w:tc>
          <w:tcPr>
            <w:tcW w:w="280" w:type="dxa"/>
            <w:vAlign w:val="bottom"/>
          </w:tcPr>
          <w:p>
            <w:pPr>
              <w:jc w:val="right"/>
              <w:ind w:right="31"/>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James P. Ryan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102,330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204,660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245,592</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61,150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122,300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183,450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1,883</w:t>
            </w:r>
          </w:p>
        </w:tc>
        <w:tc>
          <w:tcPr>
            <w:tcW w:w="72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7,533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15,066</w:t>
            </w:r>
          </w:p>
        </w:tc>
        <w:tc>
          <w:tcPr>
            <w:tcW w:w="120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7,533</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261,546</w:t>
            </w: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60" w:type="dxa"/>
            <w:vAlign w:val="bottom"/>
            <w:vMerge w:val="restart"/>
          </w:tcPr>
          <w:p>
            <w:pPr>
              <w:ind w:left="40"/>
              <w:spacing w:after="0"/>
              <w:rPr>
                <w:sz w:val="20"/>
                <w:szCs w:val="20"/>
                <w:color w:val="auto"/>
              </w:rPr>
            </w:pPr>
            <w:r>
              <w:rPr>
                <w:rFonts w:ascii="Arial" w:cs="Arial" w:eastAsia="Arial" w:hAnsi="Arial"/>
                <w:sz w:val="10"/>
                <w:szCs w:val="10"/>
                <w:color w:val="auto"/>
              </w:rPr>
              <w:t>Jason W. Turner</w:t>
            </w: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27,000</w:t>
            </w:r>
          </w:p>
        </w:tc>
        <w:tc>
          <w:tcPr>
            <w:tcW w:w="10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54,000</w:t>
            </w:r>
          </w:p>
        </w:tc>
        <w:tc>
          <w:tcPr>
            <w:tcW w:w="1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64,800</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(7)</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12/23/2013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46,500</w:t>
            </w:r>
          </w:p>
        </w:tc>
        <w:tc>
          <w:tcPr>
            <w:tcW w:w="10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93,000</w:t>
            </w:r>
          </w:p>
        </w:tc>
        <w:tc>
          <w:tcPr>
            <w:tcW w:w="10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111,600</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(7)</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29,788</w:t>
            </w:r>
          </w:p>
        </w:tc>
        <w:tc>
          <w:tcPr>
            <w:tcW w:w="100" w:type="dxa"/>
            <w:vAlign w:val="bottom"/>
          </w:tcPr>
          <w:p>
            <w:pPr>
              <w:spacing w:after="0"/>
              <w:rPr>
                <w:sz w:val="23"/>
                <w:szCs w:val="23"/>
                <w:color w:val="auto"/>
              </w:rPr>
            </w:pP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59,575</w:t>
            </w: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89,363</w:t>
            </w: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8/27/2013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8/27/2013</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917</w:t>
            </w:r>
          </w:p>
        </w:tc>
        <w:tc>
          <w:tcPr>
            <w:tcW w:w="720" w:type="dxa"/>
            <w:vAlign w:val="bottom"/>
            <w:gridSpan w:val="3"/>
          </w:tcPr>
          <w:p>
            <w:pPr>
              <w:jc w:val="right"/>
              <w:ind w:right="51"/>
              <w:spacing w:after="0"/>
              <w:rPr>
                <w:sz w:val="20"/>
                <w:szCs w:val="20"/>
                <w:color w:val="auto"/>
              </w:rPr>
            </w:pPr>
            <w:r>
              <w:rPr>
                <w:rFonts w:ascii="Arial" w:cs="Arial" w:eastAsia="Arial" w:hAnsi="Arial"/>
                <w:sz w:val="10"/>
                <w:szCs w:val="10"/>
                <w:color w:val="auto"/>
              </w:rPr>
              <w:t>3,667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7,334</w:t>
            </w:r>
          </w:p>
        </w:tc>
        <w:tc>
          <w:tcPr>
            <w:tcW w:w="1200" w:type="dxa"/>
            <w:vAlign w:val="bottom"/>
            <w:gridSpan w:val="2"/>
          </w:tcPr>
          <w:p>
            <w:pPr>
              <w:jc w:val="right"/>
              <w:ind w:right="51"/>
              <w:spacing w:after="0"/>
              <w:rPr>
                <w:sz w:val="20"/>
                <w:szCs w:val="20"/>
                <w:color w:val="auto"/>
              </w:rPr>
            </w:pPr>
            <w:r>
              <w:rPr>
                <w:rFonts w:ascii="Arial" w:cs="Arial" w:eastAsia="Arial" w:hAnsi="Arial"/>
                <w:sz w:val="10"/>
                <w:szCs w:val="10"/>
                <w:color w:val="auto"/>
              </w:rPr>
              <w:t>3,667</w:t>
            </w:r>
          </w:p>
        </w:tc>
        <w:tc>
          <w:tcPr>
            <w:tcW w:w="12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69,306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12/23/2013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12/23/2013</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ind w:right="51"/>
              <w:spacing w:after="0"/>
              <w:rPr>
                <w:sz w:val="20"/>
                <w:szCs w:val="20"/>
                <w:color w:val="auto"/>
              </w:rPr>
            </w:pPr>
            <w:r>
              <w:rPr>
                <w:rFonts w:ascii="Arial" w:cs="Arial" w:eastAsia="Arial" w:hAnsi="Arial"/>
                <w:sz w:val="10"/>
                <w:szCs w:val="10"/>
                <w:color w:val="auto"/>
              </w:rPr>
              <w:t>7,867</w:t>
            </w:r>
          </w:p>
        </w:tc>
        <w:tc>
          <w:tcPr>
            <w:tcW w:w="12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159,190</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60" w:right="260" w:hanging="330"/>
        <w:spacing w:after="0" w:line="25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shown are the cash incentive compensation award potential for each Named Executive Officer under our annual/short-term incentive compensation plan described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131" w:lineRule="exact"/>
        <w:rPr>
          <w:rFonts w:ascii="Arial" w:cs="Arial" w:eastAsia="Arial" w:hAnsi="Arial"/>
          <w:sz w:val="14"/>
          <w:szCs w:val="14"/>
          <w:color w:val="auto"/>
        </w:rPr>
      </w:pPr>
    </w:p>
    <w:p>
      <w:pPr>
        <w:ind w:left="460" w:right="60" w:hanging="330"/>
        <w:spacing w:after="0" w:line="277" w:lineRule="auto"/>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the number of shares which may be issued pursuant to fiscal 2014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 year Total Shareholder Return on the Company's common stock when compared to the Total Shareholder Return on the common stock of a group of peer companies selected by the Compensation Committee of the Board of Directors. The fiscal 2014 performance unit awards are described under the caption "Compensation Discussion and Analysis".</w:t>
      </w:r>
    </w:p>
    <w:p>
      <w:pPr>
        <w:spacing w:after="0" w:line="120" w:lineRule="exact"/>
        <w:rPr>
          <w:rFonts w:ascii="Arial" w:cs="Arial" w:eastAsia="Arial" w:hAnsi="Arial"/>
          <w:sz w:val="13"/>
          <w:szCs w:val="13"/>
          <w:color w:val="auto"/>
        </w:rPr>
      </w:pPr>
    </w:p>
    <w:p>
      <w:pPr>
        <w:ind w:left="460" w:right="140" w:hanging="330"/>
        <w:spacing w:after="0" w:line="273"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shown represent service-based restricted stock units granted to the Named Executive Officers in fiscal 2014. The awards vest in four equal annual installments beginning one year after the grant date. Mr. Turner's December 23, 2013 grant was the result of his promotion to President, Matrix North American Holdings.</w:t>
      </w:r>
    </w:p>
    <w:p>
      <w:pPr>
        <w:spacing w:after="0" w:line="119" w:lineRule="exact"/>
        <w:rPr>
          <w:rFonts w:ascii="Arial" w:cs="Arial" w:eastAsia="Arial" w:hAnsi="Arial"/>
          <w:sz w:val="14"/>
          <w:szCs w:val="14"/>
          <w:color w:val="auto"/>
        </w:rPr>
      </w:pPr>
    </w:p>
    <w:p>
      <w:pPr>
        <w:ind w:left="460" w:right="40" w:hanging="330"/>
        <w:spacing w:after="0" w:line="24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 Compensation—Stock Compensation. The grant date fair value of the service-based restricted stock units is calculated by multiplying the number of restricted stock units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2014 Annual Report on Form 10-K for a full discussion of the Company’s stock based compensation accounting policies.</w:t>
      </w:r>
    </w:p>
    <w:p>
      <w:pPr>
        <w:spacing w:after="0" w:line="140" w:lineRule="exact"/>
        <w:rPr>
          <w:rFonts w:ascii="Arial" w:cs="Arial" w:eastAsia="Arial" w:hAnsi="Arial"/>
          <w:sz w:val="14"/>
          <w:szCs w:val="14"/>
          <w:color w:val="auto"/>
        </w:rPr>
      </w:pPr>
    </w:p>
    <w:p>
      <w:pPr>
        <w:ind w:left="460" w:right="200" w:hanging="330"/>
        <w:spacing w:after="0" w:line="257"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shown represent the potential cash awards for each Named Executive Officer under the cash portion of our fiscal 2014 long-term incentive award described under the caption "Compensation Discussion and Analysis". The actual cash payout can range from 0% to 150% of the target payout and is based on average Return on Invested Capital for fiscal 2014 and fiscal 2015.</w:t>
      </w:r>
    </w:p>
    <w:p>
      <w:pPr>
        <w:spacing w:after="0" w:line="131" w:lineRule="exact"/>
        <w:rPr>
          <w:rFonts w:ascii="Arial" w:cs="Arial" w:eastAsia="Arial" w:hAnsi="Arial"/>
          <w:sz w:val="14"/>
          <w:szCs w:val="14"/>
          <w:color w:val="auto"/>
        </w:rPr>
      </w:pPr>
    </w:p>
    <w:p>
      <w:pPr>
        <w:ind w:left="460" w:hanging="330"/>
        <w:spacing w:after="0" w:line="273"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connection with Mr. Petrizzo's resignation, the vesting of 35,055 service-based RSUs, 15,600 stock options, and 18,207 performance units was accelerated. The amount shown in the Grant Date Fair Value of Stock and Option Awards column represents the incremental value to Mr. Petrizzo as a result of the accelerated vesting of these awards.</w:t>
      </w:r>
    </w:p>
    <w:p>
      <w:pPr>
        <w:spacing w:after="0" w:line="119" w:lineRule="exact"/>
        <w:rPr>
          <w:rFonts w:ascii="Arial" w:cs="Arial" w:eastAsia="Arial" w:hAnsi="Arial"/>
          <w:sz w:val="14"/>
          <w:szCs w:val="14"/>
          <w:color w:val="auto"/>
        </w:rPr>
      </w:pPr>
    </w:p>
    <w:p>
      <w:pPr>
        <w:ind w:left="460" w:right="440" w:hanging="330"/>
        <w:spacing w:after="0" w:line="273"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for Mr. Turner are the cash incentive compensation award potential under our annual/short-term incentive compensation plan described under the caption "Compensation Discussion and Analysis". Mr. Turner's August 27, 2013 award target was based on his position as Vice President,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460"/>
        <w:spacing w:after="0" w:line="398" w:lineRule="auto"/>
        <w:rPr>
          <w:sz w:val="20"/>
          <w:szCs w:val="20"/>
          <w:color w:val="auto"/>
        </w:rPr>
      </w:pPr>
      <w:r>
        <w:rPr>
          <w:rFonts w:ascii="Arial" w:cs="Arial" w:eastAsia="Arial" w:hAnsi="Arial"/>
          <w:sz w:val="14"/>
          <w:szCs w:val="14"/>
          <w:color w:val="auto"/>
        </w:rPr>
        <w:t>Corporate Development and Treasurer. Upon his appointment as President of Matrix North American Holdings on December 23, 2013, his target bonus increased. The amounts included in the Threshold, Target and Maximum columns are based on his salary amount, time duration and target bonus opportunity in each position. Mr. Turner's actual payout is reported in the Summary Compensation Table as “Non-Equity Incentive Plan Compensation”.</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125"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2014:</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Equity</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Rights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460"/>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20" w:type="dxa"/>
            <w:vAlign w:val="bottom"/>
            <w:shd w:val="clear" w:color="auto" w:fill="CCEEFF"/>
          </w:tcPr>
          <w:p>
            <w:pPr>
              <w:spacing w:after="0"/>
              <w:rPr>
                <w:sz w:val="24"/>
                <w:szCs w:val="2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109,122</w:t>
            </w:r>
          </w:p>
        </w:tc>
        <w:tc>
          <w:tcPr>
            <w:tcW w:w="1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25"/>
              <w:spacing w:after="0"/>
              <w:rPr>
                <w:sz w:val="20"/>
                <w:szCs w:val="20"/>
                <w:color w:val="auto"/>
              </w:rPr>
            </w:pPr>
            <w:r>
              <w:rPr>
                <w:rFonts w:ascii="Arial" w:cs="Arial" w:eastAsia="Arial" w:hAnsi="Arial"/>
                <w:sz w:val="14"/>
                <w:szCs w:val="14"/>
                <w:color w:val="auto"/>
              </w:rPr>
              <w:t>3,578,110</w:t>
            </w:r>
          </w:p>
        </w:tc>
        <w:tc>
          <w:tcPr>
            <w:tcW w:w="1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113,866</w:t>
            </w:r>
          </w:p>
        </w:tc>
        <w:tc>
          <w:tcPr>
            <w:tcW w:w="1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3,733,666</w:t>
            </w:r>
          </w:p>
        </w:tc>
        <w:tc>
          <w:tcPr>
            <w:tcW w:w="0" w:type="dxa"/>
            <w:vAlign w:val="bottom"/>
          </w:tcPr>
          <w:p>
            <w:pPr>
              <w:spacing w:after="0"/>
              <w:rPr>
                <w:sz w:val="1"/>
                <w:szCs w:val="1"/>
                <w:color w:val="auto"/>
              </w:rPr>
            </w:pPr>
          </w:p>
        </w:tc>
      </w:tr>
      <w:tr>
        <w:trPr>
          <w:trHeight w:val="80"/>
        </w:trPr>
        <w:tc>
          <w:tcPr>
            <w:tcW w:w="1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Joseph P. Montalbano</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21,050</w:t>
            </w:r>
          </w:p>
        </w:tc>
        <w:tc>
          <w:tcPr>
            <w:tcW w:w="1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11/17/2021</w:t>
            </w:r>
          </w:p>
        </w:tc>
        <w:tc>
          <w:tcPr>
            <w:tcW w:w="120" w:type="dxa"/>
            <w:vAlign w:val="bottom"/>
          </w:tcPr>
          <w:p>
            <w:pPr>
              <w:spacing w:after="0"/>
              <w:rPr>
                <w:sz w:val="16"/>
                <w:szCs w:val="16"/>
                <w:color w:val="auto"/>
              </w:rPr>
            </w:pPr>
          </w:p>
        </w:tc>
        <w:tc>
          <w:tcPr>
            <w:tcW w:w="1080" w:type="dxa"/>
            <w:vAlign w:val="bottom"/>
            <w:vMerge w:val="restart"/>
          </w:tcPr>
          <w:p>
            <w:pPr>
              <w:jc w:val="right"/>
              <w:ind w:right="45"/>
              <w:spacing w:after="0"/>
              <w:rPr>
                <w:sz w:val="20"/>
                <w:szCs w:val="20"/>
                <w:color w:val="auto"/>
              </w:rPr>
            </w:pPr>
            <w:r>
              <w:rPr>
                <w:rFonts w:ascii="Arial" w:cs="Arial" w:eastAsia="Arial" w:hAnsi="Arial"/>
                <w:sz w:val="14"/>
                <w:szCs w:val="14"/>
                <w:color w:val="auto"/>
              </w:rPr>
              <w:t>45,366</w:t>
            </w:r>
          </w:p>
        </w:tc>
        <w:tc>
          <w:tcPr>
            <w:tcW w:w="100" w:type="dxa"/>
            <w:vAlign w:val="bottom"/>
          </w:tcPr>
          <w:p>
            <w:pPr>
              <w:spacing w:after="0"/>
              <w:rPr>
                <w:sz w:val="16"/>
                <w:szCs w:val="16"/>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4"/>
                <w:szCs w:val="14"/>
                <w:color w:val="auto"/>
              </w:rPr>
              <w:t>1,487,551</w:t>
            </w:r>
          </w:p>
        </w:tc>
        <w:tc>
          <w:tcPr>
            <w:tcW w:w="120" w:type="dxa"/>
            <w:vAlign w:val="bottom"/>
          </w:tcPr>
          <w:p>
            <w:pPr>
              <w:spacing w:after="0"/>
              <w:rPr>
                <w:sz w:val="16"/>
                <w:szCs w:val="16"/>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color w:val="auto"/>
              </w:rPr>
              <w:t>46,334</w:t>
            </w:r>
          </w:p>
        </w:tc>
        <w:tc>
          <w:tcPr>
            <w:tcW w:w="120" w:type="dxa"/>
            <w:vAlign w:val="bottom"/>
          </w:tcPr>
          <w:p>
            <w:pPr>
              <w:spacing w:after="0"/>
              <w:rPr>
                <w:sz w:val="16"/>
                <w:szCs w:val="16"/>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color w:val="auto"/>
              </w:rPr>
              <w:t>1,519,292</w:t>
            </w:r>
          </w:p>
        </w:tc>
        <w:tc>
          <w:tcPr>
            <w:tcW w:w="0" w:type="dxa"/>
            <w:vAlign w:val="bottom"/>
          </w:tcPr>
          <w:p>
            <w:pPr>
              <w:spacing w:after="0"/>
              <w:rPr>
                <w:sz w:val="1"/>
                <w:szCs w:val="1"/>
                <w:color w:val="auto"/>
              </w:rPr>
            </w:pPr>
          </w:p>
        </w:tc>
      </w:tr>
      <w:tr>
        <w:trPr>
          <w:trHeight w:val="74"/>
        </w:trPr>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2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8/17/2015</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34,620</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5"/>
              <w:spacing w:after="0"/>
              <w:rPr>
                <w:sz w:val="20"/>
                <w:szCs w:val="20"/>
                <w:color w:val="auto"/>
              </w:rPr>
            </w:pPr>
            <w:r>
              <w:rPr>
                <w:rFonts w:ascii="Arial" w:cs="Arial" w:eastAsia="Arial" w:hAnsi="Arial"/>
                <w:sz w:val="14"/>
                <w:szCs w:val="14"/>
                <w:color w:val="auto"/>
              </w:rPr>
              <w:t>1,135,190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38,880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1,274,875</w:t>
            </w:r>
          </w:p>
        </w:tc>
        <w:tc>
          <w:tcPr>
            <w:tcW w:w="0" w:type="dxa"/>
            <w:vAlign w:val="bottom"/>
          </w:tcPr>
          <w:p>
            <w:pPr>
              <w:spacing w:after="0"/>
              <w:rPr>
                <w:sz w:val="1"/>
                <w:szCs w:val="1"/>
                <w:color w:val="auto"/>
              </w:rPr>
            </w:pPr>
          </w:p>
        </w:tc>
      </w:tr>
      <w:tr>
        <w:trPr>
          <w:trHeight w:val="68"/>
        </w:trPr>
        <w:tc>
          <w:tcPr>
            <w:tcW w:w="18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10/21/2015</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16,850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11/17/2021</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1800" w:type="dxa"/>
            <w:vAlign w:val="bottom"/>
          </w:tcPr>
          <w:p>
            <w:pPr>
              <w:ind w:left="40"/>
              <w:spacing w:after="0"/>
              <w:rPr>
                <w:sz w:val="20"/>
                <w:szCs w:val="20"/>
                <w:color w:val="auto"/>
              </w:rPr>
            </w:pPr>
            <w:r>
              <w:rPr>
                <w:rFonts w:ascii="Arial" w:cs="Arial" w:eastAsia="Arial" w:hAnsi="Arial"/>
                <w:sz w:val="14"/>
                <w:szCs w:val="14"/>
                <w:color w:val="auto"/>
              </w:rPr>
              <w:t>Matthew P. Petrizzo</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15,600</w:t>
            </w:r>
          </w:p>
        </w:tc>
        <w:tc>
          <w:tcPr>
            <w:tcW w:w="1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11/17/2021</w:t>
            </w:r>
          </w:p>
        </w:tc>
        <w:tc>
          <w:tcPr>
            <w:tcW w:w="1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P. Ryan</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16,950</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11/17/2021</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35,086</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5"/>
              <w:spacing w:after="0"/>
              <w:rPr>
                <w:sz w:val="20"/>
                <w:szCs w:val="20"/>
                <w:color w:val="auto"/>
              </w:rPr>
            </w:pPr>
            <w:r>
              <w:rPr>
                <w:rFonts w:ascii="Arial" w:cs="Arial" w:eastAsia="Arial" w:hAnsi="Arial"/>
                <w:sz w:val="14"/>
                <w:szCs w:val="14"/>
                <w:color w:val="auto"/>
              </w:rPr>
              <w:t>1,150,470</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38,212</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1,252,971</w:t>
            </w:r>
          </w:p>
        </w:tc>
        <w:tc>
          <w:tcPr>
            <w:tcW w:w="0" w:type="dxa"/>
            <w:vAlign w:val="bottom"/>
          </w:tcPr>
          <w:p>
            <w:pPr>
              <w:spacing w:after="0"/>
              <w:rPr>
                <w:sz w:val="1"/>
                <w:szCs w:val="1"/>
                <w:color w:val="auto"/>
              </w:rPr>
            </w:pPr>
          </w:p>
        </w:tc>
      </w:tr>
      <w:tr>
        <w:trPr>
          <w:trHeight w:val="80"/>
        </w:trPr>
        <w:tc>
          <w:tcPr>
            <w:tcW w:w="1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Jason W. Turner</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11/17/2021</w:t>
            </w:r>
          </w:p>
        </w:tc>
        <w:tc>
          <w:tcPr>
            <w:tcW w:w="120" w:type="dxa"/>
            <w:vAlign w:val="bottom"/>
          </w:tcPr>
          <w:p>
            <w:pPr>
              <w:spacing w:after="0"/>
              <w:rPr>
                <w:sz w:val="16"/>
                <w:szCs w:val="16"/>
                <w:color w:val="auto"/>
              </w:rPr>
            </w:pPr>
          </w:p>
        </w:tc>
        <w:tc>
          <w:tcPr>
            <w:tcW w:w="1080" w:type="dxa"/>
            <w:vAlign w:val="bottom"/>
            <w:vMerge w:val="restart"/>
          </w:tcPr>
          <w:p>
            <w:pPr>
              <w:jc w:val="right"/>
              <w:ind w:right="45"/>
              <w:spacing w:after="0"/>
              <w:rPr>
                <w:sz w:val="20"/>
                <w:szCs w:val="20"/>
                <w:color w:val="auto"/>
              </w:rPr>
            </w:pPr>
            <w:r>
              <w:rPr>
                <w:rFonts w:ascii="Arial" w:cs="Arial" w:eastAsia="Arial" w:hAnsi="Arial"/>
                <w:sz w:val="14"/>
                <w:szCs w:val="14"/>
                <w:color w:val="auto"/>
              </w:rPr>
              <w:t>20,727</w:t>
            </w:r>
          </w:p>
        </w:tc>
        <w:tc>
          <w:tcPr>
            <w:tcW w:w="100" w:type="dxa"/>
            <w:vAlign w:val="bottom"/>
          </w:tcPr>
          <w:p>
            <w:pPr>
              <w:spacing w:after="0"/>
              <w:rPr>
                <w:sz w:val="16"/>
                <w:szCs w:val="16"/>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4"/>
                <w:szCs w:val="14"/>
                <w:color w:val="auto"/>
              </w:rPr>
              <w:t>679,638</w:t>
            </w:r>
          </w:p>
        </w:tc>
        <w:tc>
          <w:tcPr>
            <w:tcW w:w="120" w:type="dxa"/>
            <w:vAlign w:val="bottom"/>
          </w:tcPr>
          <w:p>
            <w:pPr>
              <w:spacing w:after="0"/>
              <w:rPr>
                <w:sz w:val="16"/>
                <w:szCs w:val="16"/>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color w:val="auto"/>
              </w:rPr>
              <w:t>18,028</w:t>
            </w:r>
          </w:p>
        </w:tc>
        <w:tc>
          <w:tcPr>
            <w:tcW w:w="120" w:type="dxa"/>
            <w:vAlign w:val="bottom"/>
          </w:tcPr>
          <w:p>
            <w:pPr>
              <w:spacing w:after="0"/>
              <w:rPr>
                <w:sz w:val="16"/>
                <w:szCs w:val="16"/>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color w:val="auto"/>
              </w:rPr>
              <w:t>591,138</w:t>
            </w:r>
          </w:p>
        </w:tc>
        <w:tc>
          <w:tcPr>
            <w:tcW w:w="0" w:type="dxa"/>
            <w:vAlign w:val="bottom"/>
          </w:tcPr>
          <w:p>
            <w:pPr>
              <w:spacing w:after="0"/>
              <w:rPr>
                <w:sz w:val="1"/>
                <w:szCs w:val="1"/>
                <w:color w:val="auto"/>
              </w:rPr>
            </w:pPr>
          </w:p>
        </w:tc>
      </w:tr>
      <w:tr>
        <w:trPr>
          <w:trHeight w:val="74"/>
        </w:trPr>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options were granted on November 17, 2011 and cliff vest on November 17, 2014.</w:t>
      </w:r>
    </w:p>
    <w:p>
      <w:pPr>
        <w:spacing w:after="0" w:line="13" w:lineRule="exact"/>
        <w:rPr>
          <w:rFonts w:ascii="Arial" w:cs="Arial" w:eastAsia="Arial" w:hAnsi="Arial"/>
          <w:sz w:val="14"/>
          <w:szCs w:val="14"/>
          <w:color w:val="auto"/>
        </w:rPr>
      </w:pPr>
    </w:p>
    <w:p>
      <w:pPr>
        <w:ind w:left="280" w:hanging="272"/>
        <w:spacing w:after="0"/>
        <w:tabs>
          <w:tab w:leader="none" w:pos="2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June 30, 2014 of $32.79.</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Number of Shares or</w:t>
            </w:r>
          </w:p>
        </w:tc>
        <w:tc>
          <w:tcPr>
            <w:tcW w:w="34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3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 Unearned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Units of Stock That Have Not</w:t>
            </w:r>
          </w:p>
        </w:tc>
        <w:tc>
          <w:tcPr>
            <w:tcW w:w="340" w:type="dxa"/>
            <w:vAlign w:val="bottom"/>
          </w:tcPr>
          <w:p>
            <w:pPr>
              <w:spacing w:after="0"/>
              <w:rPr>
                <w:sz w:val="12"/>
                <w:szCs w:val="12"/>
                <w:color w:val="auto"/>
              </w:rPr>
            </w:pPr>
          </w:p>
        </w:tc>
        <w:tc>
          <w:tcPr>
            <w:tcW w:w="3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Shares, Units or Other Rights</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1108"/>
              <w:spacing w:after="0"/>
              <w:rPr>
                <w:sz w:val="20"/>
                <w:szCs w:val="20"/>
                <w:color w:val="auto"/>
              </w:rPr>
            </w:pPr>
            <w:r>
              <w:rPr>
                <w:rFonts w:ascii="Arial" w:cs="Arial" w:eastAsia="Arial" w:hAnsi="Arial"/>
                <w:sz w:val="14"/>
                <w:szCs w:val="14"/>
                <w:b w:val="1"/>
                <w:bCs w:val="1"/>
                <w:color w:val="auto"/>
                <w:w w:val="87"/>
              </w:rPr>
              <w:t>Vested</w:t>
            </w: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Vest Date</w:t>
            </w:r>
          </w:p>
        </w:tc>
        <w:tc>
          <w:tcPr>
            <w:tcW w:w="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6,275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8/27/2014</w:t>
            </w:r>
          </w:p>
        </w:tc>
        <w:tc>
          <w:tcPr>
            <w:tcW w:w="18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63,666</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146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840" w:type="dxa"/>
            <w:vAlign w:val="bottom"/>
            <w:gridSpan w:val="2"/>
            <w:vMerge w:val="continue"/>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1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50,200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22,074</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22,074</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5/4/2016</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6,275</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Joseph F. Montalbano</w:t>
            </w:r>
          </w:p>
        </w:tc>
        <w:tc>
          <w:tcPr>
            <w:tcW w:w="14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2,267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8/27/2014</w:t>
            </w:r>
          </w:p>
        </w:tc>
        <w:tc>
          <w:tcPr>
            <w:tcW w:w="18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28,200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2,400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10/23/2014</w:t>
            </w:r>
          </w:p>
        </w:tc>
        <w:tc>
          <w:tcPr>
            <w:tcW w:w="1840" w:type="dxa"/>
            <w:vAlign w:val="bottom"/>
            <w:gridSpan w:val="2"/>
          </w:tcPr>
          <w:p>
            <w:pPr>
              <w:jc w:val="right"/>
              <w:ind w:right="28"/>
              <w:spacing w:after="0"/>
              <w:rPr>
                <w:sz w:val="20"/>
                <w:szCs w:val="20"/>
                <w:color w:val="auto"/>
              </w:rPr>
            </w:pPr>
            <w:r>
              <w:rPr>
                <w:rFonts w:ascii="Arial" w:cs="Arial" w:eastAsia="Arial" w:hAnsi="Arial"/>
                <w:sz w:val="14"/>
                <w:szCs w:val="14"/>
                <w:color w:val="auto"/>
              </w:rPr>
              <w:t>18,134</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380" w:type="dxa"/>
            <w:vAlign w:val="bottom"/>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5,262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11/17/2014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6,400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2,267</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5,262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11/17/2015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6,400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2,267</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8/27/2016</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2,266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8/27/2017</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8/27/2014</w:t>
            </w:r>
          </w:p>
        </w:tc>
        <w:tc>
          <w:tcPr>
            <w:tcW w:w="18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23,146</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84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10/23/2014</w:t>
            </w:r>
          </w:p>
        </w:tc>
        <w:tc>
          <w:tcPr>
            <w:tcW w:w="1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4,212</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4,212</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1,966</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8/27/2017</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4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1,884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8/27/2014</w:t>
            </w:r>
          </w:p>
        </w:tc>
        <w:tc>
          <w:tcPr>
            <w:tcW w:w="18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23,146</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1,600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10/23/2014</w:t>
            </w:r>
          </w:p>
        </w:tc>
        <w:tc>
          <w:tcPr>
            <w:tcW w:w="1840" w:type="dxa"/>
            <w:vAlign w:val="bottom"/>
            <w:gridSpan w:val="2"/>
          </w:tcPr>
          <w:p>
            <w:pPr>
              <w:jc w:val="right"/>
              <w:ind w:right="28"/>
              <w:spacing w:after="0"/>
              <w:rPr>
                <w:sz w:val="20"/>
                <w:szCs w:val="20"/>
                <w:color w:val="auto"/>
              </w:rPr>
            </w:pPr>
            <w:r>
              <w:rPr>
                <w:rFonts w:ascii="Arial" w:cs="Arial" w:eastAsia="Arial" w:hAnsi="Arial"/>
                <w:sz w:val="14"/>
                <w:szCs w:val="14"/>
                <w:color w:val="auto"/>
              </w:rPr>
              <w:t>15,066</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380" w:type="dxa"/>
            <w:vAlign w:val="bottom"/>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4,237</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11/17/2014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4,400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12/2/2014</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1,883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4,237</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11/17/2015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4,400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12/2/2015</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1,883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8/27/2016</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2,893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11/16/2016</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1,883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8/27/2017</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8/27/2014</w:t>
            </w:r>
          </w:p>
        </w:tc>
        <w:tc>
          <w:tcPr>
            <w:tcW w:w="18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10,694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84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10/23/2014</w:t>
            </w:r>
          </w:p>
        </w:tc>
        <w:tc>
          <w:tcPr>
            <w:tcW w:w="1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1,337</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12/23/2014</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8/27/2015</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4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600"/>
          </w:cols>
          <w:pgMar w:left="240" w:top="125" w:right="1059" w:bottom="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555875" cy="1526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1526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1,337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34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r>
      <w:tr>
        <w:trPr>
          <w:trHeight w:val="270"/>
        </w:trPr>
        <w:tc>
          <w:tcPr>
            <w:tcW w:w="4040" w:type="dxa"/>
            <w:vAlign w:val="bottom"/>
          </w:tcPr>
          <w:p>
            <w:pPr>
              <w:spacing w:after="0"/>
              <w:rPr>
                <w:sz w:val="23"/>
                <w:szCs w:val="23"/>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4140" w:type="dxa"/>
            <w:vAlign w:val="bottom"/>
            <w:gridSpan w:val="2"/>
          </w:tcPr>
          <w:p>
            <w:pPr>
              <w:spacing w:after="0"/>
              <w:rPr>
                <w:sz w:val="23"/>
                <w:szCs w:val="23"/>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12/2/2015</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5420" w:type="dxa"/>
            <w:vAlign w:val="bottom"/>
            <w:gridSpan w:val="3"/>
          </w:tcPr>
          <w:p>
            <w:pPr>
              <w:jc w:val="right"/>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12/23/2015</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5500" w:type="dxa"/>
            <w:vAlign w:val="bottom"/>
            <w:gridSpan w:val="4"/>
          </w:tcPr>
          <w:p>
            <w:pPr>
              <w:jc w:val="right"/>
              <w:ind w:right="80"/>
              <w:spacing w:after="0"/>
              <w:rPr>
                <w:sz w:val="20"/>
                <w:szCs w:val="20"/>
                <w:color w:val="auto"/>
              </w:rPr>
            </w:pPr>
            <w:r>
              <w:rPr>
                <w:rFonts w:ascii="Arial" w:cs="Arial" w:eastAsia="Arial" w:hAnsi="Arial"/>
                <w:sz w:val="14"/>
                <w:szCs w:val="14"/>
                <w:color w:val="auto"/>
              </w:rPr>
              <w:t>917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8/27/2016</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5500" w:type="dxa"/>
            <w:vAlign w:val="bottom"/>
            <w:gridSpan w:val="4"/>
          </w:tcPr>
          <w:p>
            <w:pPr>
              <w:jc w:val="right"/>
              <w:ind w:right="80"/>
              <w:spacing w:after="0"/>
              <w:rPr>
                <w:sz w:val="20"/>
                <w:szCs w:val="20"/>
                <w:color w:val="auto"/>
              </w:rPr>
            </w:pPr>
            <w:r>
              <w:rPr>
                <w:rFonts w:ascii="Arial" w:cs="Arial" w:eastAsia="Arial" w:hAnsi="Arial"/>
                <w:sz w:val="14"/>
                <w:szCs w:val="14"/>
                <w:color w:val="auto"/>
              </w:rPr>
              <w:t>1,336</w:t>
            </w:r>
          </w:p>
        </w:tc>
        <w:tc>
          <w:tcPr>
            <w:tcW w:w="160" w:type="dxa"/>
            <w:vAlign w:val="bottom"/>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5500" w:type="dxa"/>
            <w:vAlign w:val="bottom"/>
            <w:gridSpan w:val="4"/>
          </w:tcPr>
          <w:p>
            <w:pPr>
              <w:jc w:val="right"/>
              <w:ind w:right="80"/>
              <w:spacing w:after="0"/>
              <w:rPr>
                <w:sz w:val="20"/>
                <w:szCs w:val="20"/>
                <w:color w:val="auto"/>
              </w:rPr>
            </w:pPr>
            <w:r>
              <w:rPr>
                <w:rFonts w:ascii="Arial" w:cs="Arial" w:eastAsia="Arial" w:hAnsi="Arial"/>
                <w:sz w:val="14"/>
                <w:szCs w:val="14"/>
                <w:color w:val="auto"/>
              </w:rPr>
              <w:t>1,050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12/23/2016</w:t>
            </w:r>
          </w:p>
        </w:tc>
        <w:tc>
          <w:tcPr>
            <w:tcW w:w="3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70"/>
        </w:trPr>
        <w:tc>
          <w:tcPr>
            <w:tcW w:w="5500" w:type="dxa"/>
            <w:vAlign w:val="bottom"/>
            <w:gridSpan w:val="4"/>
          </w:tcPr>
          <w:p>
            <w:pPr>
              <w:jc w:val="right"/>
              <w:ind w:right="80"/>
              <w:spacing w:after="0"/>
              <w:rPr>
                <w:sz w:val="20"/>
                <w:szCs w:val="20"/>
                <w:color w:val="auto"/>
              </w:rPr>
            </w:pPr>
            <w:r>
              <w:rPr>
                <w:rFonts w:ascii="Arial" w:cs="Arial" w:eastAsia="Arial" w:hAnsi="Arial"/>
                <w:sz w:val="14"/>
                <w:szCs w:val="14"/>
                <w:color w:val="auto"/>
              </w:rPr>
              <w:t>916</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8/27/2017</w:t>
            </w:r>
          </w:p>
        </w:tc>
        <w:tc>
          <w:tcPr>
            <w:tcW w:w="340" w:type="dxa"/>
            <w:vAlign w:val="bottom"/>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-1200150</wp:posOffset>
            </wp:positionV>
            <wp:extent cx="4176395" cy="1372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6395" cy="1372235"/>
                    </a:xfrm>
                    <a:prstGeom prst="rect">
                      <a:avLst/>
                    </a:prstGeom>
                    <a:noFill/>
                  </pic:spPr>
                </pic:pic>
              </a:graphicData>
            </a:graphic>
          </wp:anchor>
        </w:drawing>
      </w:r>
    </w:p>
    <w:p>
      <w:pPr>
        <w:spacing w:after="0" w:line="56" w:lineRule="exact"/>
        <w:rPr>
          <w:sz w:val="20"/>
          <w:szCs w:val="20"/>
          <w:color w:val="auto"/>
        </w:rPr>
      </w:pPr>
    </w:p>
    <w:p>
      <w:pPr>
        <w:ind w:left="5080"/>
        <w:spacing w:after="0"/>
        <w:tabs>
          <w:tab w:leader="none" w:pos="6320" w:val="left"/>
        </w:tabs>
        <w:rPr>
          <w:sz w:val="20"/>
          <w:szCs w:val="20"/>
          <w:color w:val="auto"/>
        </w:rPr>
      </w:pPr>
      <w:r>
        <w:rPr>
          <w:rFonts w:ascii="Arial" w:cs="Arial" w:eastAsia="Arial" w:hAnsi="Arial"/>
          <w:sz w:val="14"/>
          <w:szCs w:val="14"/>
          <w:color w:val="auto"/>
        </w:rPr>
        <w:t>1,050</w:t>
      </w:r>
      <w:r>
        <w:rPr>
          <w:sz w:val="20"/>
          <w:szCs w:val="20"/>
          <w:color w:val="auto"/>
        </w:rPr>
        <w:tab/>
      </w:r>
      <w:r>
        <w:rPr>
          <w:rFonts w:ascii="Arial" w:cs="Arial" w:eastAsia="Arial" w:hAnsi="Arial"/>
          <w:sz w:val="14"/>
          <w:szCs w:val="14"/>
          <w:color w:val="auto"/>
        </w:rPr>
        <w:t>12/23/2017</w:t>
      </w:r>
    </w:p>
    <w:p>
      <w:pPr>
        <w:spacing w:after="0" w:line="21" w:lineRule="exact"/>
        <w:rPr>
          <w:sz w:val="20"/>
          <w:szCs w:val="20"/>
          <w:color w:val="auto"/>
        </w:rPr>
      </w:pPr>
    </w:p>
    <w:p>
      <w:pPr>
        <w:ind w:left="460" w:hanging="330"/>
        <w:spacing w:after="0" w:line="248"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fiscal 2013 and 2014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of Directors. The Total Shareholder Return Goals are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8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789"/>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Shares of Common Stock for Each Performance</w:t>
            </w:r>
          </w:p>
        </w:tc>
      </w:tr>
      <w:tr>
        <w:trPr>
          <w:trHeight w:val="230"/>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80" w:type="dxa"/>
            <w:vAlign w:val="bottom"/>
            <w:gridSpan w:val="2"/>
          </w:tcPr>
          <w:p>
            <w:pPr>
              <w:ind w:left="300"/>
              <w:spacing w:after="0"/>
              <w:rPr>
                <w:sz w:val="20"/>
                <w:szCs w:val="20"/>
                <w:color w:val="auto"/>
              </w:rPr>
            </w:pPr>
            <w:r>
              <w:rPr>
                <w:rFonts w:ascii="Arial" w:cs="Arial" w:eastAsia="Arial" w:hAnsi="Arial"/>
                <w:sz w:val="18"/>
                <w:szCs w:val="18"/>
                <w:color w:val="auto"/>
              </w:rPr>
              <w:t>Shareholder Return Goal</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 Shareholder Return</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Unit</w:t>
            </w:r>
          </w:p>
        </w:tc>
      </w:tr>
      <w:tr>
        <w:trPr>
          <w:trHeight w:val="34"/>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46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Threshold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25th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r>
      <w:tr>
        <w:trPr>
          <w:trHeight w:val="264"/>
        </w:trPr>
        <w:tc>
          <w:tcPr>
            <w:tcW w:w="220" w:type="dxa"/>
            <w:vAlign w:val="bottom"/>
          </w:tcPr>
          <w:p>
            <w:pPr>
              <w:spacing w:after="0"/>
              <w:rPr>
                <w:sz w:val="22"/>
                <w:szCs w:val="22"/>
                <w:color w:val="auto"/>
              </w:rPr>
            </w:pPr>
          </w:p>
        </w:tc>
        <w:tc>
          <w:tcPr>
            <w:tcW w:w="4640" w:type="dxa"/>
            <w:vAlign w:val="bottom"/>
            <w:gridSpan w:val="3"/>
          </w:tcPr>
          <w:p>
            <w:pPr>
              <w:ind w:left="20"/>
              <w:spacing w:after="0"/>
              <w:rPr>
                <w:sz w:val="20"/>
                <w:szCs w:val="20"/>
                <w:color w:val="auto"/>
              </w:rPr>
            </w:pPr>
            <w:r>
              <w:rPr>
                <w:rFonts w:ascii="Arial" w:cs="Arial" w:eastAsia="Arial" w:hAnsi="Arial"/>
                <w:sz w:val="14"/>
                <w:szCs w:val="14"/>
                <w:color w:val="auto"/>
              </w:rPr>
              <w:t>Above Threshold</w:t>
            </w: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35th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0.50</w:t>
            </w:r>
          </w:p>
        </w:tc>
      </w:tr>
      <w:tr>
        <w:trPr>
          <w:trHeight w:val="276"/>
        </w:trPr>
        <w:tc>
          <w:tcPr>
            <w:tcW w:w="220" w:type="dxa"/>
            <w:vAlign w:val="bottom"/>
          </w:tcPr>
          <w:p>
            <w:pPr>
              <w:spacing w:after="0"/>
              <w:rPr>
                <w:sz w:val="24"/>
                <w:szCs w:val="24"/>
                <w:color w:val="auto"/>
              </w:rPr>
            </w:pPr>
          </w:p>
        </w:tc>
        <w:tc>
          <w:tcPr>
            <w:tcW w:w="46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50th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w:t>
            </w:r>
          </w:p>
        </w:tc>
      </w:tr>
      <w:tr>
        <w:trPr>
          <w:trHeight w:val="264"/>
        </w:trPr>
        <w:tc>
          <w:tcPr>
            <w:tcW w:w="220" w:type="dxa"/>
            <w:vAlign w:val="bottom"/>
          </w:tcPr>
          <w:p>
            <w:pPr>
              <w:spacing w:after="0"/>
              <w:rPr>
                <w:sz w:val="22"/>
                <w:szCs w:val="22"/>
                <w:color w:val="auto"/>
              </w:rPr>
            </w:pPr>
          </w:p>
        </w:tc>
        <w:tc>
          <w:tcPr>
            <w:tcW w:w="4640" w:type="dxa"/>
            <w:vAlign w:val="bottom"/>
            <w:gridSpan w:val="3"/>
          </w:tcPr>
          <w:p>
            <w:pPr>
              <w:ind w:left="20"/>
              <w:spacing w:after="0"/>
              <w:rPr>
                <w:sz w:val="20"/>
                <w:szCs w:val="20"/>
                <w:color w:val="auto"/>
              </w:rPr>
            </w:pPr>
            <w:r>
              <w:rPr>
                <w:rFonts w:ascii="Arial" w:cs="Arial" w:eastAsia="Arial" w:hAnsi="Arial"/>
                <w:sz w:val="14"/>
                <w:szCs w:val="14"/>
                <w:color w:val="auto"/>
              </w:rPr>
              <w:t>Above Target</w:t>
            </w: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75th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1.50</w:t>
            </w:r>
          </w:p>
        </w:tc>
      </w:tr>
      <w:tr>
        <w:trPr>
          <w:trHeight w:val="276"/>
        </w:trPr>
        <w:tc>
          <w:tcPr>
            <w:tcW w:w="220" w:type="dxa"/>
            <w:vAlign w:val="bottom"/>
          </w:tcPr>
          <w:p>
            <w:pPr>
              <w:spacing w:after="0"/>
              <w:rPr>
                <w:sz w:val="24"/>
                <w:szCs w:val="24"/>
                <w:color w:val="auto"/>
              </w:rPr>
            </w:pPr>
          </w:p>
        </w:tc>
        <w:tc>
          <w:tcPr>
            <w:tcW w:w="46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Maximum</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90th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w:t>
            </w:r>
          </w:p>
        </w:tc>
      </w:tr>
    </w:tbl>
    <w:p>
      <w:pPr>
        <w:spacing w:after="0" w:line="143" w:lineRule="exact"/>
        <w:rPr>
          <w:sz w:val="20"/>
          <w:szCs w:val="20"/>
          <w:color w:val="auto"/>
        </w:rPr>
      </w:pPr>
    </w:p>
    <w:p>
      <w:pPr>
        <w:ind w:left="660" w:right="100"/>
        <w:spacing w:after="0" w:line="252" w:lineRule="auto"/>
        <w:rPr>
          <w:sz w:val="20"/>
          <w:szCs w:val="20"/>
          <w:color w:val="auto"/>
        </w:rPr>
      </w:pPr>
      <w:r>
        <w:rPr>
          <w:rFonts w:ascii="Arial" w:cs="Arial" w:eastAsia="Arial" w:hAnsi="Arial"/>
          <w:sz w:val="14"/>
          <w:szCs w:val="14"/>
          <w:color w:val="auto"/>
        </w:rPr>
        <w:t>Shares awarded for Total Shareholder Return between the established levels will be determined by linear interpolation. Our relative Total Shareholder Return for fiscal years 2013 and 2014, which represents two-thirds of the performance period for the fiscal 2013 award is at the Maximum performance level. Relative Total Shareholder Return in fiscal 2014, which represents one-third of the performance period of the fiscal 2014 award is also at the Maximum performance level. Accordingly, the maximum share award is included for both the fiscal 2013 and 2014 grants.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2014</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Fiscal 2014</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6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22"/>
                <w:szCs w:val="22"/>
                <w:color w:val="auto"/>
              </w:rPr>
            </w:pPr>
          </w:p>
        </w:tc>
        <w:tc>
          <w:tcPr>
            <w:tcW w:w="3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Value Realized on</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34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3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38,035</w:t>
            </w:r>
          </w:p>
        </w:tc>
        <w:tc>
          <w:tcPr>
            <w:tcW w:w="3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902,826</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40"/>
              <w:spacing w:after="0"/>
              <w:rPr>
                <w:sz w:val="20"/>
                <w:szCs w:val="20"/>
                <w:color w:val="auto"/>
              </w:rPr>
            </w:pPr>
            <w:r>
              <w:rPr>
                <w:rFonts w:ascii="Arial" w:cs="Arial" w:eastAsia="Arial" w:hAnsi="Arial"/>
                <w:sz w:val="14"/>
                <w:szCs w:val="14"/>
                <w:color w:val="auto"/>
              </w:rPr>
              <w:t>Joseph F. Montalbano</w:t>
            </w: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17,588</w:t>
            </w:r>
          </w:p>
        </w:tc>
        <w:tc>
          <w:tcPr>
            <w:tcW w:w="34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383,617</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12,657</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274,317</w:t>
            </w: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40"/>
              <w:spacing w:after="0"/>
              <w:rPr>
                <w:sz w:val="20"/>
                <w:szCs w:val="20"/>
                <w:color w:val="auto"/>
              </w:rPr>
            </w:pPr>
            <w:r>
              <w:rPr>
                <w:rFonts w:ascii="Arial" w:cs="Arial" w:eastAsia="Arial" w:hAnsi="Arial"/>
                <w:sz w:val="14"/>
                <w:szCs w:val="14"/>
                <w:color w:val="auto"/>
              </w:rPr>
              <w:t>Matthew J. Petrizzo</w:t>
            </w: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68,862</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1,427,968</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James P. Ryan</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27,200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717,586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13,132</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286,527</w:t>
            </w: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00" w:type="dxa"/>
            <w:vAlign w:val="bottom"/>
            <w:gridSpan w:val="2"/>
          </w:tcPr>
          <w:p>
            <w:pPr>
              <w:ind w:left="40"/>
              <w:spacing w:after="0"/>
              <w:rPr>
                <w:sz w:val="20"/>
                <w:szCs w:val="20"/>
                <w:color w:val="auto"/>
              </w:rPr>
            </w:pPr>
            <w:r>
              <w:rPr>
                <w:rFonts w:ascii="Arial" w:cs="Arial" w:eastAsia="Arial" w:hAnsi="Arial"/>
                <w:sz w:val="14"/>
                <w:szCs w:val="14"/>
                <w:color w:val="auto"/>
              </w:rPr>
              <w:t>Jason W. Turner</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192,000</w:t>
            </w:r>
          </w:p>
        </w:tc>
        <w:tc>
          <w:tcPr>
            <w:tcW w:w="12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6,487</w:t>
            </w:r>
          </w:p>
        </w:tc>
        <w:tc>
          <w:tcPr>
            <w:tcW w:w="34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141,356</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60" w:right="420" w:hanging="330"/>
        <w:spacing w:after="0" w:line="245"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ind w:left="460" w:hanging="330"/>
        <w:spacing w:after="0"/>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1" w:lineRule="exact"/>
        <w:rPr>
          <w:rFonts w:ascii="Arial" w:cs="Arial" w:eastAsia="Arial" w:hAnsi="Arial"/>
          <w:sz w:val="14"/>
          <w:szCs w:val="14"/>
          <w:color w:val="auto"/>
        </w:rPr>
      </w:pPr>
    </w:p>
    <w:p>
      <w:pPr>
        <w:ind w:left="460" w:hanging="330"/>
        <w:spacing w:after="0"/>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incremental value of the accelerated vesting that occurred as a result of Mr. Petrizzo's resignation on June 23,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Ryan and Mr. Turner.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279" w:lineRule="exact"/>
        <w:rPr>
          <w:sz w:val="20"/>
          <w:szCs w:val="20"/>
          <w:color w:val="auto"/>
        </w:rPr>
      </w:pPr>
    </w:p>
    <w:p>
      <w:pPr>
        <w:ind w:left="540" w:right="480" w:hanging="316"/>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“Cause” means, with reference to a severance event, that the executive has been severed from employment with the Company because of the executive’s theft of Company property, embezzlement or dishonesty that results in harm to the Company;</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8"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continued gross or willful neglect of his or her job responsibilities after receiving written warnings regarding such neglect from the Company; conviction of a felony or pleading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660" w:right="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4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Ryan – Paid an amount equal to one year of base salary plus the average annual bonus compensation paid to the executive in the previous three calendar years. All forms of equity benefits vest and restrictions on such benefits lapse immediately.</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Mr. Turner suffers and Adverse Event within six months of a Change of Control he is entitled to one year's annual compensation. In addition, all forms of equity benefits vest and restrictions on such benefits lapse immediately.</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75% of base salary.</w:t>
      </w:r>
    </w:p>
    <w:p>
      <w:pPr>
        <w:spacing w:after="0" w:line="90" w:lineRule="exact"/>
        <w:rPr>
          <w:rFonts w:ascii="Arial" w:cs="Arial" w:eastAsia="Arial" w:hAnsi="Arial"/>
          <w:sz w:val="18"/>
          <w:szCs w:val="18"/>
          <w:color w:val="auto"/>
        </w:rPr>
      </w:pPr>
    </w:p>
    <w:p>
      <w:pPr>
        <w:ind w:left="660" w:right="32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Cavanah, Mr. Montalbano, and Mr. Ryan – Paid an amount equal to one year of base salary plus the lesser of the average annual bonus compensation paid to the executive in the previous three years or the number of full fiscal years the executive has been employed in the position.</w:t>
      </w:r>
    </w:p>
    <w:p>
      <w:pPr>
        <w:spacing w:after="0" w:line="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2014 termination date and, where applicable, using the closing price of our common stock on June 30, 2014 of $32.79. These amounts are estimates only. The actual amounts to be paid out can only be determined at the time of such executive officer’s separation from us.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8"/>
          </w:tcPr>
          <w:p>
            <w:pPr>
              <w:jc w:val="center"/>
              <w:spacing w:after="0"/>
              <w:rPr>
                <w:sz w:val="20"/>
                <w:szCs w:val="20"/>
                <w:color w:val="auto"/>
              </w:rPr>
            </w:pPr>
            <w:r>
              <w:rPr>
                <w:rFonts w:ascii="Arial" w:cs="Arial" w:eastAsia="Arial" w:hAnsi="Arial"/>
                <w:sz w:val="9"/>
                <w:szCs w:val="9"/>
                <w:b w:val="1"/>
                <w:bCs w:val="1"/>
                <w:color w:val="auto"/>
                <w:w w:val="91"/>
              </w:rPr>
              <w:t>Termination by the Company at any Time for Reasons Other than</w:t>
            </w: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60" w:type="dxa"/>
            <w:vAlign w:val="bottom"/>
            <w:tcBorders>
              <w:bottom w:val="single" w:sz="8" w:color="auto"/>
            </w:tcBorders>
            <w:gridSpan w:val="7"/>
          </w:tcPr>
          <w:p>
            <w:pPr>
              <w:ind w:left="540"/>
              <w:spacing w:after="0"/>
              <w:rPr>
                <w:sz w:val="20"/>
                <w:szCs w:val="20"/>
                <w:color w:val="auto"/>
              </w:rPr>
            </w:pPr>
            <w:r>
              <w:rPr>
                <w:rFonts w:ascii="Arial" w:cs="Arial" w:eastAsia="Arial" w:hAnsi="Arial"/>
                <w:sz w:val="9"/>
                <w:szCs w:val="9"/>
                <w:b w:val="1"/>
                <w:bCs w:val="1"/>
                <w:color w:val="auto"/>
              </w:rPr>
              <w:t>Change of Control with Adverse Event or Termination</w:t>
            </w:r>
          </w:p>
        </w:tc>
        <w:tc>
          <w:tcPr>
            <w:tcW w:w="1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9"/>
                <w:szCs w:val="9"/>
                <w:b w:val="1"/>
                <w:bCs w:val="1"/>
                <w:color w:val="auto"/>
                <w:w w:val="88"/>
              </w:rPr>
              <w:t>Cause</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ind w:left="240"/>
              <w:spacing w:after="0"/>
              <w:rPr>
                <w:sz w:val="20"/>
                <w:szCs w:val="20"/>
                <w:color w:val="auto"/>
              </w:rPr>
            </w:pPr>
            <w:r>
              <w:rPr>
                <w:rFonts w:ascii="Arial" w:cs="Arial" w:eastAsia="Arial" w:hAnsi="Arial"/>
                <w:sz w:val="9"/>
                <w:szCs w:val="9"/>
                <w:b w:val="1"/>
                <w:bCs w:val="1"/>
                <w:color w:val="auto"/>
              </w:rPr>
              <w:t>Value of</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1"/>
              </w:rPr>
              <w:t>Value of</w:t>
            </w:r>
          </w:p>
        </w:tc>
        <w:tc>
          <w:tcPr>
            <w:tcW w:w="8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Performance</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Value</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6"/>
              </w:rPr>
              <w:t>Value of</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gridSpan w:val="2"/>
          </w:tcPr>
          <w:p>
            <w:pPr>
              <w:jc w:val="center"/>
              <w:ind w:right="100"/>
              <w:spacing w:after="0" w:line="82" w:lineRule="exact"/>
              <w:rPr>
                <w:sz w:val="20"/>
                <w:szCs w:val="20"/>
                <w:color w:val="auto"/>
              </w:rPr>
            </w:pPr>
            <w:r>
              <w:rPr>
                <w:rFonts w:ascii="Arial" w:cs="Arial" w:eastAsia="Arial" w:hAnsi="Arial"/>
                <w:sz w:val="9"/>
                <w:szCs w:val="9"/>
                <w:b w:val="1"/>
                <w:bCs w:val="1"/>
                <w:color w:val="auto"/>
                <w:w w:val="94"/>
              </w:rPr>
              <w:t>Units and LTI</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20"/>
              <w:spacing w:after="0" w:line="82" w:lineRule="exact"/>
              <w:rPr>
                <w:sz w:val="20"/>
                <w:szCs w:val="20"/>
                <w:color w:val="auto"/>
              </w:rPr>
            </w:pPr>
            <w:r>
              <w:rPr>
                <w:rFonts w:ascii="Arial" w:cs="Arial" w:eastAsia="Arial" w:hAnsi="Arial"/>
                <w:sz w:val="9"/>
                <w:szCs w:val="9"/>
                <w:b w:val="1"/>
                <w:bCs w:val="1"/>
                <w:color w:val="auto"/>
                <w:w w:val="93"/>
              </w:rPr>
              <w:t>of</w:t>
            </w:r>
          </w:p>
        </w:tc>
        <w:tc>
          <w:tcPr>
            <w:tcW w:w="700" w:type="dxa"/>
            <w:vAlign w:val="bottom"/>
          </w:tcPr>
          <w:p>
            <w:pPr>
              <w:jc w:val="center"/>
              <w:spacing w:after="0" w:line="82" w:lineRule="exact"/>
              <w:rPr>
                <w:sz w:val="20"/>
                <w:szCs w:val="20"/>
                <w:color w:val="auto"/>
              </w:rPr>
            </w:pPr>
            <w:r>
              <w:rPr>
                <w:rFonts w:ascii="Arial" w:cs="Arial" w:eastAsia="Arial" w:hAnsi="Arial"/>
                <w:sz w:val="8"/>
                <w:szCs w:val="8"/>
                <w:b w:val="1"/>
                <w:bCs w:val="1"/>
                <w:color w:val="auto"/>
                <w:w w:val="89"/>
              </w:rPr>
              <w:t>RSUs and</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00"/>
              <w:spacing w:after="0" w:line="94" w:lineRule="exact"/>
              <w:rPr>
                <w:sz w:val="20"/>
                <w:szCs w:val="20"/>
                <w:color w:val="auto"/>
              </w:rPr>
            </w:pPr>
            <w:r>
              <w:rPr>
                <w:rFonts w:ascii="Arial" w:cs="Arial" w:eastAsia="Arial" w:hAnsi="Arial"/>
                <w:sz w:val="9"/>
                <w:szCs w:val="9"/>
                <w:b w:val="1"/>
                <w:bCs w:val="1"/>
                <w:color w:val="auto"/>
                <w:w w:val="81"/>
              </w:rPr>
              <w:t>Stock</w:t>
            </w:r>
          </w:p>
        </w:tc>
        <w:tc>
          <w:tcPr>
            <w:tcW w:w="880" w:type="dxa"/>
            <w:vAlign w:val="bottom"/>
            <w:gridSpan w:val="2"/>
          </w:tcPr>
          <w:p>
            <w:pPr>
              <w:jc w:val="center"/>
              <w:ind w:right="100"/>
              <w:spacing w:after="0" w:line="94" w:lineRule="exact"/>
              <w:rPr>
                <w:sz w:val="20"/>
                <w:szCs w:val="20"/>
                <w:color w:val="auto"/>
              </w:rPr>
            </w:pPr>
            <w:r>
              <w:rPr>
                <w:rFonts w:ascii="Arial" w:cs="Arial" w:eastAsia="Arial" w:hAnsi="Arial"/>
                <w:sz w:val="9"/>
                <w:szCs w:val="9"/>
                <w:b w:val="1"/>
                <w:bCs w:val="1"/>
                <w:color w:val="auto"/>
                <w:w w:val="89"/>
              </w:rPr>
              <w:t>Awards for</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1"/>
              </w:rPr>
              <w:t>Stock</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3"/>
              </w:rPr>
              <w:t>Performance</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5"/>
              </w:rPr>
              <w:t>Non-Equity</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8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6"/>
              </w:rPr>
              <w:t>Which</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left="11"/>
              <w:spacing w:after="0" w:line="95" w:lineRule="exact"/>
              <w:rPr>
                <w:sz w:val="20"/>
                <w:szCs w:val="20"/>
                <w:color w:val="auto"/>
              </w:rPr>
            </w:pPr>
            <w:r>
              <w:rPr>
                <w:rFonts w:ascii="Arial" w:cs="Arial" w:eastAsia="Arial" w:hAnsi="Arial"/>
                <w:sz w:val="9"/>
                <w:szCs w:val="9"/>
                <w:b w:val="1"/>
                <w:bCs w:val="1"/>
                <w:color w:val="auto"/>
                <w:w w:val="91"/>
              </w:rPr>
              <w:t>Non-Equity</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3"/>
              </w:rPr>
              <w:t>Options</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1"/>
              </w:rPr>
              <w:t>Units for</w:t>
            </w:r>
          </w:p>
        </w:tc>
        <w:tc>
          <w:tcPr>
            <w:tcW w:w="0" w:type="dxa"/>
            <w:vAlign w:val="bottom"/>
          </w:tcPr>
          <w:p>
            <w:pPr>
              <w:spacing w:after="0"/>
              <w:rPr>
                <w:sz w:val="1"/>
                <w:szCs w:val="1"/>
                <w:color w:val="auto"/>
              </w:rPr>
            </w:pPr>
          </w:p>
        </w:tc>
      </w:tr>
      <w:tr>
        <w:trPr>
          <w:trHeight w:val="55"/>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7"/>
              </w:rPr>
              <w:t>Incentive</w:t>
            </w:r>
          </w:p>
        </w:tc>
        <w:tc>
          <w:tcPr>
            <w:tcW w:w="70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88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ind w:left="11"/>
              <w:spacing w:after="0" w:line="99" w:lineRule="exact"/>
              <w:rPr>
                <w:sz w:val="20"/>
                <w:szCs w:val="20"/>
                <w:color w:val="auto"/>
              </w:rPr>
            </w:pPr>
            <w:r>
              <w:rPr>
                <w:rFonts w:ascii="Arial" w:cs="Arial" w:eastAsia="Arial" w:hAnsi="Arial"/>
                <w:sz w:val="9"/>
                <w:szCs w:val="9"/>
                <w:b w:val="1"/>
                <w:bCs w:val="1"/>
                <w:color w:val="auto"/>
                <w:w w:val="92"/>
              </w:rPr>
              <w:t>Incentive</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rPr>
              <w:t>That</w:t>
            </w:r>
          </w:p>
        </w:tc>
        <w:tc>
          <w:tcPr>
            <w:tcW w:w="700" w:type="dxa"/>
            <w:vAlign w:val="bottom"/>
          </w:tcPr>
          <w:p>
            <w:pPr>
              <w:jc w:val="center"/>
              <w:spacing w:after="0" w:line="55" w:lineRule="exact"/>
              <w:rPr>
                <w:sz w:val="20"/>
                <w:szCs w:val="20"/>
                <w:color w:val="auto"/>
              </w:rPr>
            </w:pPr>
            <w:r>
              <w:rPr>
                <w:rFonts w:ascii="Arial" w:cs="Arial" w:eastAsia="Arial" w:hAnsi="Arial"/>
                <w:sz w:val="6"/>
                <w:szCs w:val="6"/>
                <w:b w:val="1"/>
                <w:bCs w:val="1"/>
                <w:color w:val="auto"/>
              </w:rPr>
              <w:t>Which</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700" w:type="dxa"/>
            <w:vAlign w:val="bottom"/>
            <w:vMerge w:val="restart"/>
          </w:tcPr>
          <w:p>
            <w:pPr>
              <w:jc w:val="center"/>
              <w:spacing w:after="0" w:line="81" w:lineRule="exact"/>
              <w:rPr>
                <w:sz w:val="20"/>
                <w:szCs w:val="20"/>
                <w:color w:val="auto"/>
              </w:rPr>
            </w:pPr>
            <w:r>
              <w:rPr>
                <w:rFonts w:ascii="Arial" w:cs="Arial" w:eastAsia="Arial" w:hAnsi="Arial"/>
                <w:sz w:val="8"/>
                <w:szCs w:val="8"/>
                <w:b w:val="1"/>
                <w:bCs w:val="1"/>
                <w:color w:val="auto"/>
                <w:w w:val="90"/>
              </w:rPr>
              <w:t>Restrictions</w:t>
            </w:r>
          </w:p>
        </w:tc>
        <w:tc>
          <w:tcPr>
            <w:tcW w:w="0" w:type="dxa"/>
            <w:vAlign w:val="bottom"/>
          </w:tcPr>
          <w:p>
            <w:pPr>
              <w:spacing w:after="0"/>
              <w:rPr>
                <w:sz w:val="1"/>
                <w:szCs w:val="1"/>
                <w:color w:val="auto"/>
              </w:rPr>
            </w:pPr>
          </w:p>
        </w:tc>
      </w:tr>
      <w:tr>
        <w:trPr>
          <w:trHeight w:val="37"/>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8"/>
              </w:rPr>
              <w:t>Salary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4"/>
              </w:rPr>
              <w:t>Plan</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4"/>
              </w:rPr>
              <w:t>Would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8"/>
              </w:rPr>
              <w:t>Salary</w:t>
            </w:r>
          </w:p>
        </w:tc>
        <w:tc>
          <w:tcPr>
            <w:tcW w:w="540" w:type="dxa"/>
            <w:vAlign w:val="bottom"/>
            <w:vMerge w:val="restart"/>
          </w:tcPr>
          <w:p>
            <w:pPr>
              <w:jc w:val="center"/>
              <w:ind w:left="11"/>
              <w:spacing w:after="0"/>
              <w:rPr>
                <w:sz w:val="20"/>
                <w:szCs w:val="20"/>
                <w:color w:val="auto"/>
              </w:rPr>
            </w:pPr>
            <w:r>
              <w:rPr>
                <w:rFonts w:ascii="Arial" w:cs="Arial" w:eastAsia="Arial" w:hAnsi="Arial"/>
                <w:sz w:val="9"/>
                <w:szCs w:val="9"/>
                <w:b w:val="1"/>
                <w:bCs w:val="1"/>
                <w:color w:val="auto"/>
                <w:w w:val="83"/>
              </w:rPr>
              <w:t>Plan</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7"/>
              </w:rPr>
              <w:t>Would</w:t>
            </w: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tcPr>
          <w:p>
            <w:pPr>
              <w:jc w:val="center"/>
              <w:spacing w:after="0" w:line="81" w:lineRule="exact"/>
              <w:rPr>
                <w:sz w:val="20"/>
                <w:szCs w:val="20"/>
                <w:color w:val="auto"/>
              </w:rPr>
            </w:pPr>
            <w:r>
              <w:rPr>
                <w:rFonts w:ascii="Arial" w:cs="Arial" w:eastAsia="Arial" w:hAnsi="Arial"/>
                <w:sz w:val="8"/>
                <w:szCs w:val="8"/>
                <w:b w:val="1"/>
                <w:bCs w:val="1"/>
                <w:color w:val="auto"/>
                <w:w w:val="89"/>
              </w:rPr>
              <w:t>Would</w:t>
            </w:r>
          </w:p>
        </w:tc>
        <w:tc>
          <w:tcPr>
            <w:tcW w:w="0" w:type="dxa"/>
            <w:vAlign w:val="bottom"/>
          </w:tcPr>
          <w:p>
            <w:pPr>
              <w:spacing w:after="0"/>
              <w:rPr>
                <w:sz w:val="1"/>
                <w:szCs w:val="1"/>
                <w:color w:val="auto"/>
              </w:rPr>
            </w:pPr>
          </w:p>
        </w:tc>
      </w:tr>
      <w:tr>
        <w:trPr>
          <w:trHeight w:val="81"/>
        </w:trPr>
        <w:tc>
          <w:tcPr>
            <w:tcW w:w="126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Name</w:t>
            </w:r>
          </w:p>
        </w:tc>
        <w:tc>
          <w:tcPr>
            <w:tcW w:w="120" w:type="dxa"/>
            <w:vAlign w:val="bottom"/>
            <w:vMerge w:val="restart"/>
          </w:tcPr>
          <w:p>
            <w:pPr>
              <w:spacing w:after="0"/>
              <w:rPr>
                <w:sz w:val="7"/>
                <w:szCs w:val="7"/>
                <w:color w:val="auto"/>
              </w:rPr>
            </w:pPr>
          </w:p>
        </w:tc>
        <w:tc>
          <w:tcPr>
            <w:tcW w:w="80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88"/>
              </w:rPr>
              <w:t>Severance</w:t>
            </w:r>
          </w:p>
        </w:tc>
        <w:tc>
          <w:tcPr>
            <w:tcW w:w="8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4"/>
              </w:rPr>
              <w:t>Severance</w:t>
            </w:r>
          </w:p>
        </w:tc>
        <w:tc>
          <w:tcPr>
            <w:tcW w:w="70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3"/>
              </w:rPr>
              <w:t>Vest</w:t>
            </w:r>
          </w:p>
        </w:tc>
        <w:tc>
          <w:tcPr>
            <w:tcW w:w="8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4"/>
              </w:rPr>
              <w:t>Lapse</w:t>
            </w:r>
          </w:p>
        </w:tc>
        <w:tc>
          <w:tcPr>
            <w:tcW w:w="7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88"/>
              </w:rPr>
              <w:t>Severance</w:t>
            </w:r>
          </w:p>
        </w:tc>
        <w:tc>
          <w:tcPr>
            <w:tcW w:w="540" w:type="dxa"/>
            <w:vAlign w:val="bottom"/>
          </w:tcPr>
          <w:p>
            <w:pPr>
              <w:jc w:val="center"/>
              <w:ind w:left="11"/>
              <w:spacing w:after="0" w:line="81" w:lineRule="exact"/>
              <w:rPr>
                <w:sz w:val="20"/>
                <w:szCs w:val="20"/>
                <w:color w:val="auto"/>
              </w:rPr>
            </w:pPr>
            <w:r>
              <w:rPr>
                <w:rFonts w:ascii="Arial" w:cs="Arial" w:eastAsia="Arial" w:hAnsi="Arial"/>
                <w:sz w:val="9"/>
                <w:szCs w:val="9"/>
                <w:b w:val="1"/>
                <w:bCs w:val="1"/>
                <w:color w:val="auto"/>
                <w:w w:val="88"/>
              </w:rPr>
              <w:t>Severance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83"/>
              </w:rPr>
              <w:t>Vest</w:t>
            </w:r>
          </w:p>
        </w:tc>
        <w:tc>
          <w:tcPr>
            <w:tcW w:w="700" w:type="dxa"/>
            <w:vAlign w:val="bottom"/>
          </w:tcPr>
          <w:p>
            <w:pPr>
              <w:jc w:val="center"/>
              <w:spacing w:after="0" w:line="81" w:lineRule="exact"/>
              <w:rPr>
                <w:sz w:val="20"/>
                <w:szCs w:val="20"/>
                <w:color w:val="auto"/>
              </w:rPr>
            </w:pPr>
            <w:r>
              <w:rPr>
                <w:rFonts w:ascii="Arial" w:cs="Arial" w:eastAsia="Arial" w:hAnsi="Arial"/>
                <w:sz w:val="8"/>
                <w:szCs w:val="8"/>
                <w:b w:val="1"/>
                <w:bCs w:val="1"/>
                <w:color w:val="auto"/>
                <w:w w:val="94"/>
              </w:rPr>
              <w:t>Lapse</w:t>
            </w:r>
          </w:p>
        </w:tc>
        <w:tc>
          <w:tcPr>
            <w:tcW w:w="0" w:type="dxa"/>
            <w:vAlign w:val="bottom"/>
          </w:tcPr>
          <w:p>
            <w:pPr>
              <w:spacing w:after="0"/>
              <w:rPr>
                <w:sz w:val="1"/>
                <w:szCs w:val="1"/>
                <w:color w:val="auto"/>
              </w:rPr>
            </w:pPr>
          </w:p>
        </w:tc>
      </w:tr>
      <w:tr>
        <w:trPr>
          <w:trHeight w:val="119"/>
        </w:trPr>
        <w:tc>
          <w:tcPr>
            <w:tcW w:w="12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(1)</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(2)</w:t>
            </w:r>
          </w:p>
        </w:tc>
        <w:tc>
          <w:tcPr>
            <w:tcW w:w="1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(4)</w:t>
            </w:r>
          </w:p>
        </w:tc>
        <w:tc>
          <w:tcPr>
            <w:tcW w:w="1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(1)</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ind w:left="11"/>
              <w:spacing w:after="0"/>
              <w:rPr>
                <w:sz w:val="20"/>
                <w:szCs w:val="20"/>
                <w:color w:val="auto"/>
              </w:rPr>
            </w:pPr>
            <w:r>
              <w:rPr>
                <w:rFonts w:ascii="Arial" w:cs="Arial" w:eastAsia="Arial" w:hAnsi="Arial"/>
                <w:sz w:val="9"/>
                <w:szCs w:val="9"/>
                <w:b w:val="1"/>
                <w:bCs w:val="1"/>
                <w:color w:val="auto"/>
                <w:w w:val="97"/>
              </w:rPr>
              <w:t>($) (5)</w:t>
            </w:r>
          </w:p>
        </w:tc>
        <w:tc>
          <w:tcPr>
            <w:tcW w:w="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0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 (4)</w:t>
            </w:r>
          </w:p>
        </w:tc>
        <w:tc>
          <w:tcPr>
            <w:tcW w:w="0" w:type="dxa"/>
            <w:vAlign w:val="bottom"/>
          </w:tcPr>
          <w:p>
            <w:pPr>
              <w:spacing w:after="0"/>
              <w:rPr>
                <w:sz w:val="1"/>
                <w:szCs w:val="1"/>
                <w:color w:val="auto"/>
              </w:rPr>
            </w:pPr>
          </w:p>
        </w:tc>
      </w:tr>
      <w:tr>
        <w:trPr>
          <w:trHeight w:val="231"/>
        </w:trPr>
        <w:tc>
          <w:tcPr>
            <w:tcW w:w="1380" w:type="dxa"/>
            <w:vAlign w:val="bottom"/>
            <w:gridSpan w:val="2"/>
          </w:tcPr>
          <w:p>
            <w:pPr>
              <w:ind w:left="40"/>
              <w:spacing w:after="0"/>
              <w:rPr>
                <w:sz w:val="20"/>
                <w:szCs w:val="20"/>
                <w:color w:val="auto"/>
              </w:rPr>
            </w:pPr>
            <w:r>
              <w:rPr>
                <w:rFonts w:ascii="Arial" w:cs="Arial" w:eastAsia="Arial" w:hAnsi="Arial"/>
                <w:sz w:val="11"/>
                <w:szCs w:val="11"/>
                <w:color w:val="auto"/>
              </w:rPr>
              <w:t>John R. Hewitt</w:t>
            </w:r>
          </w:p>
        </w:tc>
        <w:tc>
          <w:tcPr>
            <w:tcW w:w="700" w:type="dxa"/>
            <w:vAlign w:val="bottom"/>
          </w:tcPr>
          <w:p>
            <w:pPr>
              <w:jc w:val="right"/>
              <w:ind w:right="70"/>
              <w:spacing w:after="0"/>
              <w:rPr>
                <w:sz w:val="20"/>
                <w:szCs w:val="20"/>
                <w:color w:val="auto"/>
              </w:rPr>
            </w:pPr>
            <w:r>
              <w:rPr>
                <w:rFonts w:ascii="Arial" w:cs="Arial" w:eastAsia="Arial" w:hAnsi="Arial"/>
                <w:sz w:val="11"/>
                <w:szCs w:val="11"/>
                <w:color w:val="auto"/>
              </w:rPr>
              <w:t>1,310,000</w:t>
            </w:r>
          </w:p>
        </w:tc>
        <w:tc>
          <w:tcPr>
            <w:tcW w:w="100" w:type="dxa"/>
            <w:vAlign w:val="bottom"/>
          </w:tcPr>
          <w:p>
            <w:pPr>
              <w:spacing w:after="0"/>
              <w:rPr>
                <w:sz w:val="20"/>
                <w:szCs w:val="20"/>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color w:val="auto"/>
              </w:rPr>
              <w:t>367,564</w:t>
            </w: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Pr>
          <w:p>
            <w:pPr>
              <w:ind w:left="240"/>
              <w:spacing w:after="0"/>
              <w:rPr>
                <w:sz w:val="20"/>
                <w:szCs w:val="20"/>
                <w:color w:val="auto"/>
              </w:rPr>
            </w:pPr>
            <w:r>
              <w:rPr>
                <w:rFonts w:ascii="Arial" w:cs="Arial" w:eastAsia="Arial" w:hAnsi="Arial"/>
                <w:sz w:val="11"/>
                <w:szCs w:val="11"/>
                <w:color w:val="auto"/>
              </w:rPr>
              <w:t>6,188,201</w:t>
            </w:r>
          </w:p>
        </w:tc>
        <w:tc>
          <w:tcPr>
            <w:tcW w:w="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1"/>
                <w:szCs w:val="11"/>
                <w:color w:val="auto"/>
              </w:rPr>
              <w:t>655,000</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491,250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1"/>
                <w:szCs w:val="11"/>
                <w:color w:val="auto"/>
              </w:rPr>
              <w:t>Joseph F. Montalbano</w:t>
            </w:r>
          </w:p>
        </w:tc>
        <w:tc>
          <w:tcPr>
            <w:tcW w:w="700" w:type="dxa"/>
            <w:vAlign w:val="bottom"/>
          </w:tcPr>
          <w:p>
            <w:pPr>
              <w:jc w:val="right"/>
              <w:ind w:right="70"/>
              <w:spacing w:after="0"/>
              <w:rPr>
                <w:sz w:val="20"/>
                <w:szCs w:val="20"/>
                <w:color w:val="auto"/>
              </w:rPr>
            </w:pPr>
            <w:r>
              <w:rPr>
                <w:rFonts w:ascii="Arial" w:cs="Arial" w:eastAsia="Arial" w:hAnsi="Arial"/>
                <w:sz w:val="11"/>
                <w:szCs w:val="11"/>
                <w:color w:val="auto"/>
              </w:rPr>
              <w:t>900,000</w:t>
            </w:r>
          </w:p>
        </w:tc>
        <w:tc>
          <w:tcPr>
            <w:tcW w:w="100" w:type="dxa"/>
            <w:vAlign w:val="bottom"/>
          </w:tcPr>
          <w:p>
            <w:pPr>
              <w:spacing w:after="0"/>
              <w:rPr>
                <w:sz w:val="23"/>
                <w:szCs w:val="23"/>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color w:val="auto"/>
              </w:rPr>
              <w:t>188,640</w:t>
            </w:r>
          </w:p>
        </w:tc>
        <w:tc>
          <w:tcPr>
            <w:tcW w:w="10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1"/>
                <w:szCs w:val="11"/>
                <w:color w:val="auto"/>
              </w:rPr>
              <w:t>475,730</w:t>
            </w:r>
          </w:p>
        </w:tc>
        <w:tc>
          <w:tcPr>
            <w:tcW w:w="100" w:type="dxa"/>
            <w:vAlign w:val="bottom"/>
          </w:tcPr>
          <w:p>
            <w:pPr>
              <w:spacing w:after="0"/>
              <w:rPr>
                <w:sz w:val="23"/>
                <w:szCs w:val="23"/>
                <w:color w:val="auto"/>
              </w:rPr>
            </w:pPr>
          </w:p>
        </w:tc>
        <w:tc>
          <w:tcPr>
            <w:tcW w:w="780" w:type="dxa"/>
            <w:vAlign w:val="bottom"/>
          </w:tcPr>
          <w:p>
            <w:pPr>
              <w:ind w:left="240"/>
              <w:spacing w:after="0"/>
              <w:rPr>
                <w:sz w:val="20"/>
                <w:szCs w:val="20"/>
                <w:color w:val="auto"/>
              </w:rPr>
            </w:pPr>
            <w:r>
              <w:rPr>
                <w:rFonts w:ascii="Arial" w:cs="Arial" w:eastAsia="Arial" w:hAnsi="Arial"/>
                <w:sz w:val="11"/>
                <w:szCs w:val="11"/>
                <w:color w:val="auto"/>
              </w:rPr>
              <w:t>2,543,063</w:t>
            </w:r>
          </w:p>
        </w:tc>
        <w:tc>
          <w:tcPr>
            <w:tcW w:w="100" w:type="dxa"/>
            <w:vAlign w:val="bottom"/>
          </w:tcPr>
          <w:p>
            <w:pPr>
              <w:spacing w:after="0"/>
              <w:rPr>
                <w:sz w:val="23"/>
                <w:szCs w:val="23"/>
                <w:color w:val="auto"/>
              </w:rPr>
            </w:pPr>
          </w:p>
        </w:tc>
        <w:tc>
          <w:tcPr>
            <w:tcW w:w="600" w:type="dxa"/>
            <w:vAlign w:val="bottom"/>
          </w:tcPr>
          <w:p>
            <w:pPr>
              <w:jc w:val="right"/>
              <w:ind w:right="50"/>
              <w:spacing w:after="0"/>
              <w:rPr>
                <w:sz w:val="20"/>
                <w:szCs w:val="20"/>
                <w:color w:val="auto"/>
              </w:rPr>
            </w:pPr>
            <w:r>
              <w:rPr>
                <w:rFonts w:ascii="Arial" w:cs="Arial" w:eastAsia="Arial" w:hAnsi="Arial"/>
                <w:sz w:val="11"/>
                <w:szCs w:val="11"/>
                <w:color w:val="auto"/>
              </w:rPr>
              <w:t>450,000</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188,640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1"/>
                <w:szCs w:val="11"/>
                <w:color w:val="auto"/>
              </w:rPr>
              <w:t>Kevin S. Cavanah</w:t>
            </w:r>
          </w:p>
        </w:tc>
        <w:tc>
          <w:tcPr>
            <w:tcW w:w="700" w:type="dxa"/>
            <w:vAlign w:val="bottom"/>
          </w:tcPr>
          <w:p>
            <w:pPr>
              <w:jc w:val="right"/>
              <w:ind w:right="70"/>
              <w:spacing w:after="0"/>
              <w:rPr>
                <w:sz w:val="20"/>
                <w:szCs w:val="20"/>
                <w:color w:val="auto"/>
              </w:rPr>
            </w:pPr>
            <w:r>
              <w:rPr>
                <w:rFonts w:ascii="Arial" w:cs="Arial" w:eastAsia="Arial" w:hAnsi="Arial"/>
                <w:sz w:val="11"/>
                <w:szCs w:val="11"/>
                <w:color w:val="auto"/>
              </w:rPr>
              <w:t>726,000</w:t>
            </w:r>
          </w:p>
        </w:tc>
        <w:tc>
          <w:tcPr>
            <w:tcW w:w="100" w:type="dxa"/>
            <w:vAlign w:val="bottom"/>
          </w:tcPr>
          <w:p>
            <w:pPr>
              <w:spacing w:after="0"/>
              <w:rPr>
                <w:sz w:val="23"/>
                <w:szCs w:val="23"/>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color w:val="auto"/>
              </w:rPr>
              <w:t>159,606</w:t>
            </w:r>
          </w:p>
        </w:tc>
        <w:tc>
          <w:tcPr>
            <w:tcW w:w="10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1"/>
                <w:szCs w:val="11"/>
                <w:color w:val="auto"/>
              </w:rPr>
              <w:t>380,810</w:t>
            </w:r>
          </w:p>
        </w:tc>
        <w:tc>
          <w:tcPr>
            <w:tcW w:w="100" w:type="dxa"/>
            <w:vAlign w:val="bottom"/>
          </w:tcPr>
          <w:p>
            <w:pPr>
              <w:spacing w:after="0"/>
              <w:rPr>
                <w:sz w:val="23"/>
                <w:szCs w:val="23"/>
                <w:color w:val="auto"/>
              </w:rPr>
            </w:pPr>
          </w:p>
        </w:tc>
        <w:tc>
          <w:tcPr>
            <w:tcW w:w="780" w:type="dxa"/>
            <w:vAlign w:val="bottom"/>
          </w:tcPr>
          <w:p>
            <w:pPr>
              <w:ind w:left="240"/>
              <w:spacing w:after="0"/>
              <w:rPr>
                <w:sz w:val="20"/>
                <w:szCs w:val="20"/>
                <w:color w:val="auto"/>
              </w:rPr>
            </w:pPr>
            <w:r>
              <w:rPr>
                <w:rFonts w:ascii="Arial" w:cs="Arial" w:eastAsia="Arial" w:hAnsi="Arial"/>
                <w:sz w:val="11"/>
                <w:szCs w:val="11"/>
                <w:color w:val="auto"/>
              </w:rPr>
              <w:t>2,022,460</w:t>
            </w:r>
          </w:p>
        </w:tc>
        <w:tc>
          <w:tcPr>
            <w:tcW w:w="100" w:type="dxa"/>
            <w:vAlign w:val="bottom"/>
          </w:tcPr>
          <w:p>
            <w:pPr>
              <w:spacing w:after="0"/>
              <w:rPr>
                <w:sz w:val="23"/>
                <w:szCs w:val="23"/>
                <w:color w:val="auto"/>
              </w:rPr>
            </w:pPr>
          </w:p>
        </w:tc>
        <w:tc>
          <w:tcPr>
            <w:tcW w:w="600" w:type="dxa"/>
            <w:vAlign w:val="bottom"/>
          </w:tcPr>
          <w:p>
            <w:pPr>
              <w:jc w:val="right"/>
              <w:ind w:right="50"/>
              <w:spacing w:after="0"/>
              <w:rPr>
                <w:sz w:val="20"/>
                <w:szCs w:val="20"/>
                <w:color w:val="auto"/>
              </w:rPr>
            </w:pPr>
            <w:r>
              <w:rPr>
                <w:rFonts w:ascii="Arial" w:cs="Arial" w:eastAsia="Arial" w:hAnsi="Arial"/>
                <w:sz w:val="11"/>
                <w:szCs w:val="11"/>
                <w:color w:val="auto"/>
              </w:rPr>
              <w:t>363,000</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159,606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1"/>
                <w:szCs w:val="11"/>
                <w:color w:val="auto"/>
              </w:rPr>
              <w:t>James P. Ryan</w:t>
            </w:r>
          </w:p>
        </w:tc>
        <w:tc>
          <w:tcPr>
            <w:tcW w:w="700" w:type="dxa"/>
            <w:vAlign w:val="bottom"/>
          </w:tcPr>
          <w:p>
            <w:pPr>
              <w:jc w:val="right"/>
              <w:ind w:right="70"/>
              <w:spacing w:after="0"/>
              <w:rPr>
                <w:sz w:val="20"/>
                <w:szCs w:val="20"/>
                <w:color w:val="auto"/>
              </w:rPr>
            </w:pPr>
            <w:r>
              <w:rPr>
                <w:rFonts w:ascii="Arial" w:cs="Arial" w:eastAsia="Arial" w:hAnsi="Arial"/>
                <w:sz w:val="11"/>
                <w:szCs w:val="11"/>
                <w:color w:val="auto"/>
              </w:rPr>
              <w:t>341,100</w:t>
            </w:r>
          </w:p>
        </w:tc>
        <w:tc>
          <w:tcPr>
            <w:tcW w:w="100" w:type="dxa"/>
            <w:vAlign w:val="bottom"/>
          </w:tcPr>
          <w:p>
            <w:pPr>
              <w:spacing w:after="0"/>
              <w:rPr>
                <w:sz w:val="23"/>
                <w:szCs w:val="23"/>
                <w:color w:val="auto"/>
              </w:rPr>
            </w:pPr>
          </w:p>
        </w:tc>
        <w:tc>
          <w:tcPr>
            <w:tcW w:w="780" w:type="dxa"/>
            <w:vAlign w:val="bottom"/>
          </w:tcPr>
          <w:p>
            <w:pPr>
              <w:jc w:val="right"/>
              <w:ind w:right="71"/>
              <w:spacing w:after="0"/>
              <w:rPr>
                <w:sz w:val="20"/>
                <w:szCs w:val="20"/>
                <w:color w:val="auto"/>
              </w:rPr>
            </w:pPr>
            <w:r>
              <w:rPr>
                <w:rFonts w:ascii="Arial" w:cs="Arial" w:eastAsia="Arial" w:hAnsi="Arial"/>
                <w:sz w:val="11"/>
                <w:szCs w:val="11"/>
                <w:color w:val="auto"/>
              </w:rPr>
              <w:t>141,740</w:t>
            </w:r>
          </w:p>
        </w:tc>
        <w:tc>
          <w:tcPr>
            <w:tcW w:w="10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1"/>
                <w:szCs w:val="11"/>
                <w:color w:val="auto"/>
              </w:rPr>
              <w:t>383,070</w:t>
            </w:r>
          </w:p>
        </w:tc>
        <w:tc>
          <w:tcPr>
            <w:tcW w:w="100" w:type="dxa"/>
            <w:vAlign w:val="bottom"/>
          </w:tcPr>
          <w:p>
            <w:pPr>
              <w:spacing w:after="0"/>
              <w:rPr>
                <w:sz w:val="23"/>
                <w:szCs w:val="23"/>
                <w:color w:val="auto"/>
              </w:rPr>
            </w:pPr>
          </w:p>
        </w:tc>
        <w:tc>
          <w:tcPr>
            <w:tcW w:w="780" w:type="dxa"/>
            <w:vAlign w:val="bottom"/>
          </w:tcPr>
          <w:p>
            <w:pPr>
              <w:ind w:left="240"/>
              <w:spacing w:after="0"/>
              <w:rPr>
                <w:sz w:val="20"/>
                <w:szCs w:val="20"/>
                <w:color w:val="auto"/>
              </w:rPr>
            </w:pPr>
            <w:r>
              <w:rPr>
                <w:rFonts w:ascii="Arial" w:cs="Arial" w:eastAsia="Arial" w:hAnsi="Arial"/>
                <w:sz w:val="11"/>
                <w:szCs w:val="11"/>
                <w:color w:val="auto"/>
              </w:rPr>
              <w:t>2,021,589</w:t>
            </w:r>
          </w:p>
        </w:tc>
        <w:tc>
          <w:tcPr>
            <w:tcW w:w="100" w:type="dxa"/>
            <w:vAlign w:val="bottom"/>
          </w:tcPr>
          <w:p>
            <w:pPr>
              <w:spacing w:after="0"/>
              <w:rPr>
                <w:sz w:val="23"/>
                <w:szCs w:val="23"/>
                <w:color w:val="auto"/>
              </w:rPr>
            </w:pPr>
          </w:p>
        </w:tc>
        <w:tc>
          <w:tcPr>
            <w:tcW w:w="600" w:type="dxa"/>
            <w:vAlign w:val="bottom"/>
          </w:tcPr>
          <w:p>
            <w:pPr>
              <w:jc w:val="right"/>
              <w:ind w:right="50"/>
              <w:spacing w:after="0"/>
              <w:rPr>
                <w:sz w:val="20"/>
                <w:szCs w:val="20"/>
                <w:color w:val="auto"/>
              </w:rPr>
            </w:pPr>
            <w:r>
              <w:rPr>
                <w:rFonts w:ascii="Arial" w:cs="Arial" w:eastAsia="Arial" w:hAnsi="Arial"/>
                <w:sz w:val="11"/>
                <w:szCs w:val="11"/>
                <w:color w:val="auto"/>
              </w:rPr>
              <w:t>341,100</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141,740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1"/>
                <w:szCs w:val="11"/>
                <w:color w:val="auto"/>
              </w:rPr>
              <w:t>Jason W. Turner</w:t>
            </w:r>
          </w:p>
        </w:tc>
        <w:tc>
          <w:tcPr>
            <w:tcW w:w="700" w:type="dxa"/>
            <w:vAlign w:val="bottom"/>
          </w:tcPr>
          <w:p>
            <w:pPr>
              <w:jc w:val="right"/>
              <w:ind w:right="70"/>
              <w:spacing w:after="0"/>
              <w:rPr>
                <w:sz w:val="20"/>
                <w:szCs w:val="20"/>
                <w:color w:val="auto"/>
              </w:rPr>
            </w:pPr>
            <w:r>
              <w:rPr>
                <w:rFonts w:ascii="Arial" w:cs="Arial" w:eastAsia="Arial" w:hAnsi="Arial"/>
                <w:sz w:val="11"/>
                <w:szCs w:val="11"/>
                <w:color w:val="auto"/>
              </w:rPr>
              <w:t>310,000</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1"/>
              <w:spacing w:after="0"/>
              <w:rPr>
                <w:sz w:val="20"/>
                <w:szCs w:val="20"/>
                <w:color w:val="auto"/>
              </w:rPr>
            </w:pPr>
            <w:r>
              <w:rPr>
                <w:rFonts w:ascii="Arial" w:cs="Arial" w:eastAsia="Arial" w:hAnsi="Arial"/>
                <w:sz w:val="11"/>
                <w:szCs w:val="11"/>
                <w:color w:val="auto"/>
              </w:rPr>
              <w:t>180,800</w:t>
            </w:r>
          </w:p>
        </w:tc>
        <w:tc>
          <w:tcPr>
            <w:tcW w:w="100" w:type="dxa"/>
            <w:vAlign w:val="bottom"/>
          </w:tcPr>
          <w:p>
            <w:pPr>
              <w:spacing w:after="0"/>
              <w:rPr>
                <w:sz w:val="23"/>
                <w:szCs w:val="23"/>
                <w:color w:val="auto"/>
              </w:rPr>
            </w:pPr>
          </w:p>
        </w:tc>
        <w:tc>
          <w:tcPr>
            <w:tcW w:w="780" w:type="dxa"/>
            <w:vAlign w:val="bottom"/>
          </w:tcPr>
          <w:p>
            <w:pPr>
              <w:ind w:left="240"/>
              <w:spacing w:after="0"/>
              <w:rPr>
                <w:sz w:val="20"/>
                <w:szCs w:val="20"/>
                <w:color w:val="auto"/>
              </w:rPr>
            </w:pPr>
            <w:r>
              <w:rPr>
                <w:rFonts w:ascii="Arial" w:cs="Arial" w:eastAsia="Arial" w:hAnsi="Arial"/>
                <w:sz w:val="11"/>
                <w:szCs w:val="11"/>
                <w:color w:val="auto"/>
              </w:rPr>
              <w:t>1,091,282</w:t>
            </w:r>
          </w:p>
        </w:tc>
        <w:tc>
          <w:tcPr>
            <w:tcW w:w="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4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60" w:hanging="330"/>
        <w:spacing w:after="0"/>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payment of one or two years of base salary for the event specified based on base salary as of June 30, 2014.</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8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Voluntary</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4"/>
          </w:tcPr>
          <w:p>
            <w:pPr>
              <w:ind w:left="160"/>
              <w:spacing w:after="0"/>
              <w:rPr>
                <w:sz w:val="20"/>
                <w:szCs w:val="20"/>
                <w:color w:val="auto"/>
              </w:rPr>
            </w:pPr>
            <w:r>
              <w:rPr>
                <w:rFonts w:ascii="Arial" w:cs="Arial" w:eastAsia="Arial" w:hAnsi="Arial"/>
                <w:sz w:val="9"/>
                <w:szCs w:val="9"/>
                <w:b w:val="1"/>
                <w:bCs w:val="1"/>
                <w:color w:val="auto"/>
              </w:rPr>
              <w:t>Death, Disability or Change of</w:t>
            </w:r>
          </w:p>
        </w:tc>
        <w:tc>
          <w:tcPr>
            <w:tcW w:w="660" w:type="dxa"/>
            <w:vAlign w:val="bottom"/>
          </w:tcPr>
          <w:p>
            <w:pPr>
              <w:spacing w:after="0"/>
              <w:rPr>
                <w:sz w:val="8"/>
                <w:szCs w:val="8"/>
                <w:color w:val="auto"/>
              </w:rPr>
            </w:pPr>
          </w:p>
        </w:tc>
      </w:tr>
      <w:tr>
        <w:trPr>
          <w:trHeight w:val="12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Termination</w:t>
            </w:r>
          </w:p>
        </w:tc>
        <w:tc>
          <w:tcPr>
            <w:tcW w:w="10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Retirement</w:t>
            </w:r>
          </w:p>
        </w:tc>
        <w:tc>
          <w:tcPr>
            <w:tcW w:w="120" w:type="dxa"/>
            <w:vAlign w:val="bottom"/>
          </w:tcPr>
          <w:p>
            <w:pPr>
              <w:spacing w:after="0"/>
              <w:rPr>
                <w:sz w:val="10"/>
                <w:szCs w:val="10"/>
                <w:color w:val="auto"/>
              </w:rPr>
            </w:pPr>
          </w:p>
        </w:tc>
        <w:tc>
          <w:tcPr>
            <w:tcW w:w="14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9"/>
                <w:szCs w:val="9"/>
                <w:b w:val="1"/>
                <w:bCs w:val="1"/>
                <w:color w:val="auto"/>
              </w:rPr>
              <w:t>Control (No Adverse Event)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Value of</w:t>
            </w:r>
          </w:p>
        </w:tc>
        <w:tc>
          <w:tcPr>
            <w:tcW w:w="660" w:type="dxa"/>
            <w:vAlign w:val="bottom"/>
          </w:tcPr>
          <w:p>
            <w:pPr>
              <w:spacing w:after="0"/>
              <w:rPr>
                <w:sz w:val="9"/>
                <w:szCs w:val="9"/>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0"/>
              </w:rPr>
              <w:t>RSUs,</w:t>
            </w:r>
          </w:p>
        </w:tc>
        <w:tc>
          <w:tcPr>
            <w:tcW w:w="660" w:type="dxa"/>
            <w:vAlign w:val="bottom"/>
          </w:tcPr>
          <w:p>
            <w:pPr>
              <w:spacing w:after="0"/>
              <w:rPr>
                <w:sz w:val="8"/>
                <w:szCs w:val="8"/>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Value of RSUs,</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Performance</w:t>
            </w:r>
          </w:p>
        </w:tc>
        <w:tc>
          <w:tcPr>
            <w:tcW w:w="660" w:type="dxa"/>
            <w:vAlign w:val="bottom"/>
          </w:tcPr>
          <w:p>
            <w:pPr>
              <w:spacing w:after="0"/>
              <w:rPr>
                <w:sz w:val="8"/>
                <w:szCs w:val="8"/>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Performance</w:t>
            </w:r>
          </w:p>
        </w:tc>
        <w:tc>
          <w:tcPr>
            <w:tcW w:w="7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1"/>
              </w:rPr>
              <w:t>Value of</w:t>
            </w: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4"/>
              </w:rPr>
              <w:t>Units and LTI</w:t>
            </w:r>
          </w:p>
        </w:tc>
        <w:tc>
          <w:tcPr>
            <w:tcW w:w="660" w:type="dxa"/>
            <w:vAlign w:val="bottom"/>
          </w:tcPr>
          <w:p>
            <w:pPr>
              <w:spacing w:after="0"/>
              <w:rPr>
                <w:sz w:val="8"/>
                <w:szCs w:val="8"/>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4"/>
              </w:rPr>
              <w:t>Units and LTI</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Stock</w:t>
            </w:r>
          </w:p>
        </w:tc>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3"/>
              </w:rPr>
              <w:t>Awards for</w:t>
            </w:r>
          </w:p>
        </w:tc>
        <w:tc>
          <w:tcPr>
            <w:tcW w:w="660" w:type="dxa"/>
            <w:vAlign w:val="bottom"/>
          </w:tcPr>
          <w:p>
            <w:pPr>
              <w:spacing w:after="0"/>
              <w:rPr>
                <w:sz w:val="8"/>
                <w:szCs w:val="8"/>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Awards for</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8"/>
              </w:rPr>
              <w:t>Which</w:t>
            </w:r>
          </w:p>
        </w:tc>
        <w:tc>
          <w:tcPr>
            <w:tcW w:w="660" w:type="dxa"/>
            <w:vAlign w:val="bottom"/>
          </w:tcPr>
          <w:p>
            <w:pPr>
              <w:spacing w:after="0"/>
              <w:rPr>
                <w:sz w:val="8"/>
                <w:szCs w:val="8"/>
                <w:color w:val="auto"/>
              </w:rPr>
            </w:pPr>
          </w:p>
        </w:tc>
      </w:tr>
      <w:tr>
        <w:trPr>
          <w:trHeight w:val="95"/>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6"/>
              </w:rPr>
              <w:t>Which</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4"/>
              </w:rPr>
              <w:t>That</w:t>
            </w: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Restrictions</w:t>
            </w:r>
          </w:p>
        </w:tc>
        <w:tc>
          <w:tcPr>
            <w:tcW w:w="660" w:type="dxa"/>
            <w:vAlign w:val="bottom"/>
          </w:tcPr>
          <w:p>
            <w:pPr>
              <w:spacing w:after="0"/>
              <w:rPr>
                <w:sz w:val="8"/>
                <w:szCs w:val="8"/>
                <w:color w:val="auto"/>
              </w:rPr>
            </w:pPr>
          </w:p>
        </w:tc>
      </w:tr>
      <w:tr>
        <w:trPr>
          <w:trHeight w:val="95"/>
        </w:trPr>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9"/>
              </w:rPr>
              <w:t>No</w:t>
            </w: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Restrictions</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4"/>
              </w:rPr>
              <w:t>Would</w:t>
            </w:r>
          </w:p>
        </w:tc>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7"/>
              </w:rPr>
              <w:t>Would</w:t>
            </w:r>
          </w:p>
        </w:tc>
        <w:tc>
          <w:tcPr>
            <w:tcW w:w="660" w:type="dxa"/>
            <w:vAlign w:val="bottom"/>
          </w:tcPr>
          <w:p>
            <w:pPr>
              <w:ind w:left="120"/>
              <w:spacing w:after="0" w:line="95" w:lineRule="exact"/>
              <w:rPr>
                <w:sz w:val="20"/>
                <w:szCs w:val="20"/>
                <w:color w:val="auto"/>
              </w:rPr>
            </w:pPr>
            <w:r>
              <w:rPr>
                <w:rFonts w:ascii="Arial" w:cs="Arial" w:eastAsia="Arial" w:hAnsi="Arial"/>
                <w:sz w:val="9"/>
                <w:szCs w:val="9"/>
                <w:b w:val="1"/>
                <w:bCs w:val="1"/>
                <w:color w:val="auto"/>
              </w:rPr>
              <w:t>Maximum</w:t>
            </w:r>
          </w:p>
        </w:tc>
      </w:tr>
      <w:tr>
        <w:trPr>
          <w:trHeight w:val="95"/>
        </w:trPr>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5"/>
              </w:rPr>
              <w:t>Contractual</w:t>
            </w:r>
          </w:p>
        </w:tc>
        <w:tc>
          <w:tcPr>
            <w:tcW w:w="8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Would Lapse ($)</w:t>
            </w:r>
          </w:p>
        </w:tc>
        <w:tc>
          <w:tcPr>
            <w:tcW w:w="7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3"/>
              </w:rPr>
              <w:t>Vest</w:t>
            </w:r>
          </w:p>
        </w:tc>
        <w:tc>
          <w:tcPr>
            <w:tcW w:w="8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2"/>
              </w:rPr>
              <w:t>Lapse</w:t>
            </w:r>
          </w:p>
        </w:tc>
        <w:tc>
          <w:tcPr>
            <w:tcW w:w="6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9"/>
              </w:rPr>
              <w:t>Potential</w:t>
            </w:r>
          </w:p>
        </w:tc>
      </w:tr>
      <w:tr>
        <w:trPr>
          <w:trHeight w:val="12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Benefits</w:t>
            </w:r>
          </w:p>
        </w:tc>
        <w:tc>
          <w:tcPr>
            <w:tcW w:w="10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(6)</w:t>
            </w:r>
          </w:p>
        </w:tc>
        <w:tc>
          <w:tcPr>
            <w:tcW w:w="12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Payments</w:t>
            </w:r>
          </w:p>
        </w:tc>
      </w:tr>
      <w:tr>
        <w:trPr>
          <w:trHeight w:val="235"/>
        </w:trPr>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2"/>
              <w:spacing w:after="0"/>
              <w:rPr>
                <w:sz w:val="20"/>
                <w:szCs w:val="20"/>
                <w:color w:val="auto"/>
              </w:rPr>
            </w:pPr>
            <w:r>
              <w:rPr>
                <w:rFonts w:ascii="Arial" w:cs="Arial" w:eastAsia="Arial" w:hAnsi="Arial"/>
                <w:sz w:val="11"/>
                <w:szCs w:val="11"/>
                <w:color w:val="auto"/>
              </w:rPr>
              <w:t>6,188,201</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7,865,765</w:t>
            </w:r>
          </w:p>
        </w:tc>
      </w:tr>
      <w:tr>
        <w:trPr>
          <w:trHeight w:val="270"/>
        </w:trPr>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52"/>
              <w:spacing w:after="0"/>
              <w:rPr>
                <w:sz w:val="20"/>
                <w:szCs w:val="20"/>
                <w:color w:val="auto"/>
              </w:rPr>
            </w:pPr>
            <w:r>
              <w:rPr>
                <w:rFonts w:ascii="Arial" w:cs="Arial" w:eastAsia="Arial" w:hAnsi="Arial"/>
                <w:sz w:val="11"/>
                <w:szCs w:val="11"/>
                <w:color w:val="auto"/>
              </w:rPr>
              <w:t>1,229,643</w:t>
            </w:r>
          </w:p>
        </w:tc>
        <w:tc>
          <w:tcPr>
            <w:tcW w:w="12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1"/>
                <w:szCs w:val="11"/>
                <w:color w:val="auto"/>
              </w:rPr>
              <w:t>475,730</w:t>
            </w:r>
          </w:p>
        </w:tc>
        <w:tc>
          <w:tcPr>
            <w:tcW w:w="100" w:type="dxa"/>
            <w:vAlign w:val="bottom"/>
          </w:tcPr>
          <w:p>
            <w:pPr>
              <w:spacing w:after="0"/>
              <w:rPr>
                <w:sz w:val="23"/>
                <w:szCs w:val="23"/>
                <w:color w:val="auto"/>
              </w:rPr>
            </w:pPr>
          </w:p>
        </w:tc>
        <w:tc>
          <w:tcPr>
            <w:tcW w:w="760" w:type="dxa"/>
            <w:vAlign w:val="bottom"/>
          </w:tcPr>
          <w:p>
            <w:pPr>
              <w:jc w:val="right"/>
              <w:ind w:right="72"/>
              <w:spacing w:after="0"/>
              <w:rPr>
                <w:sz w:val="20"/>
                <w:szCs w:val="20"/>
                <w:color w:val="auto"/>
              </w:rPr>
            </w:pPr>
            <w:r>
              <w:rPr>
                <w:rFonts w:ascii="Arial" w:cs="Arial" w:eastAsia="Arial" w:hAnsi="Arial"/>
                <w:sz w:val="11"/>
                <w:szCs w:val="11"/>
                <w:color w:val="auto"/>
              </w:rPr>
              <w:t>2,543,063</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4,107,433</w:t>
            </w:r>
          </w:p>
        </w:tc>
      </w:tr>
      <w:tr>
        <w:trPr>
          <w:trHeight w:val="270"/>
        </w:trPr>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52"/>
              <w:spacing w:after="0"/>
              <w:rPr>
                <w:sz w:val="20"/>
                <w:szCs w:val="20"/>
                <w:color w:val="auto"/>
              </w:rPr>
            </w:pPr>
            <w:r>
              <w:rPr>
                <w:rFonts w:ascii="Arial" w:cs="Arial" w:eastAsia="Arial" w:hAnsi="Arial"/>
                <w:sz w:val="11"/>
                <w:szCs w:val="11"/>
                <w:color w:val="auto"/>
              </w:rPr>
              <w:t>380,810</w:t>
            </w:r>
          </w:p>
        </w:tc>
        <w:tc>
          <w:tcPr>
            <w:tcW w:w="100" w:type="dxa"/>
            <w:vAlign w:val="bottom"/>
          </w:tcPr>
          <w:p>
            <w:pPr>
              <w:spacing w:after="0"/>
              <w:rPr>
                <w:sz w:val="23"/>
                <w:szCs w:val="23"/>
                <w:color w:val="auto"/>
              </w:rPr>
            </w:pPr>
          </w:p>
        </w:tc>
        <w:tc>
          <w:tcPr>
            <w:tcW w:w="760" w:type="dxa"/>
            <w:vAlign w:val="bottom"/>
          </w:tcPr>
          <w:p>
            <w:pPr>
              <w:jc w:val="right"/>
              <w:ind w:right="72"/>
              <w:spacing w:after="0"/>
              <w:rPr>
                <w:sz w:val="20"/>
                <w:szCs w:val="20"/>
                <w:color w:val="auto"/>
              </w:rPr>
            </w:pPr>
            <w:r>
              <w:rPr>
                <w:rFonts w:ascii="Arial" w:cs="Arial" w:eastAsia="Arial" w:hAnsi="Arial"/>
                <w:sz w:val="11"/>
                <w:szCs w:val="11"/>
                <w:color w:val="auto"/>
              </w:rPr>
              <w:t>2,022,460</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3,288,876</w:t>
            </w:r>
          </w:p>
        </w:tc>
      </w:tr>
      <w:tr>
        <w:trPr>
          <w:trHeight w:val="270"/>
        </w:trPr>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52"/>
              <w:spacing w:after="0"/>
              <w:rPr>
                <w:sz w:val="20"/>
                <w:szCs w:val="20"/>
                <w:color w:val="auto"/>
              </w:rPr>
            </w:pPr>
            <w:r>
              <w:rPr>
                <w:rFonts w:ascii="Arial" w:cs="Arial" w:eastAsia="Arial" w:hAnsi="Arial"/>
                <w:sz w:val="11"/>
                <w:szCs w:val="11"/>
                <w:color w:val="auto"/>
              </w:rPr>
              <w:t>383,070</w:t>
            </w:r>
          </w:p>
        </w:tc>
        <w:tc>
          <w:tcPr>
            <w:tcW w:w="100" w:type="dxa"/>
            <w:vAlign w:val="bottom"/>
          </w:tcPr>
          <w:p>
            <w:pPr>
              <w:spacing w:after="0"/>
              <w:rPr>
                <w:sz w:val="23"/>
                <w:szCs w:val="23"/>
                <w:color w:val="auto"/>
              </w:rPr>
            </w:pPr>
          </w:p>
        </w:tc>
        <w:tc>
          <w:tcPr>
            <w:tcW w:w="760" w:type="dxa"/>
            <w:vAlign w:val="bottom"/>
          </w:tcPr>
          <w:p>
            <w:pPr>
              <w:jc w:val="right"/>
              <w:ind w:right="72"/>
              <w:spacing w:after="0"/>
              <w:rPr>
                <w:sz w:val="20"/>
                <w:szCs w:val="20"/>
                <w:color w:val="auto"/>
              </w:rPr>
            </w:pPr>
            <w:r>
              <w:rPr>
                <w:rFonts w:ascii="Arial" w:cs="Arial" w:eastAsia="Arial" w:hAnsi="Arial"/>
                <w:sz w:val="11"/>
                <w:szCs w:val="11"/>
                <w:color w:val="auto"/>
              </w:rPr>
              <w:t>2,021,589</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2,887,499</w:t>
            </w:r>
          </w:p>
        </w:tc>
      </w:tr>
      <w:tr>
        <w:trPr>
          <w:trHeight w:val="270"/>
        </w:trPr>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1,582,082</w:t>
            </w:r>
          </w:p>
        </w:tc>
      </w:tr>
    </w:tbl>
    <w:p>
      <w:pPr>
        <w:spacing w:after="0" w:line="327" w:lineRule="exact"/>
        <w:rPr>
          <w:sz w:val="20"/>
          <w:szCs w:val="20"/>
          <w:color w:val="auto"/>
        </w:rPr>
      </w:pPr>
    </w:p>
    <w:p>
      <w:pPr>
        <w:sectPr>
          <w:pgSz w:w="11900" w:h="16838" w:orient="portrait"/>
          <w:cols w:equalWidth="0" w:num="2">
            <w:col w:w="7380" w:space="100"/>
            <w:col w:w="3940"/>
          </w:cols>
          <w:pgMar w:left="240" w:top="125" w:right="239" w:bottom="1440" w:gutter="0" w:footer="0" w:header="0"/>
          <w:type w:val="continuous"/>
        </w:sectPr>
      </w:pPr>
    </w:p>
    <w:p>
      <w:pPr>
        <w:ind w:left="460" w:right="120" w:hanging="330"/>
        <w:spacing w:after="0" w:line="273"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19" w:lineRule="exact"/>
        <w:rPr>
          <w:rFonts w:ascii="Arial" w:cs="Arial" w:eastAsia="Arial" w:hAnsi="Arial"/>
          <w:sz w:val="14"/>
          <w:szCs w:val="14"/>
          <w:color w:val="auto"/>
        </w:rPr>
      </w:pPr>
    </w:p>
    <w:p>
      <w:pPr>
        <w:ind w:left="460" w:right="60" w:hanging="330"/>
        <w:spacing w:after="0" w:line="312"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2014, multiplied by the number of nonvested stock options at June 30, 2014.</w:t>
      </w:r>
    </w:p>
    <w:p>
      <w:pPr>
        <w:spacing w:after="0" w:line="97" w:lineRule="exact"/>
        <w:rPr>
          <w:rFonts w:ascii="Arial" w:cs="Arial" w:eastAsia="Arial" w:hAnsi="Arial"/>
          <w:sz w:val="13"/>
          <w:szCs w:val="13"/>
          <w:color w:val="auto"/>
        </w:rPr>
      </w:pPr>
    </w:p>
    <w:p>
      <w:pPr>
        <w:ind w:left="460" w:right="20" w:hanging="330"/>
        <w:spacing w:after="0" w:line="257"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2014 multiplied by the market price of common stock at the close of business on June 30, 2014 plus the value of the cash LTI awards, which are also assumed to vest based on the target level of performance.</w:t>
      </w:r>
    </w:p>
    <w:p>
      <w:pPr>
        <w:spacing w:after="0" w:line="131" w:lineRule="exact"/>
        <w:rPr>
          <w:rFonts w:ascii="Arial" w:cs="Arial" w:eastAsia="Arial" w:hAnsi="Arial"/>
          <w:sz w:val="14"/>
          <w:szCs w:val="14"/>
          <w:color w:val="auto"/>
        </w:rPr>
      </w:pPr>
    </w:p>
    <w:p>
      <w:pPr>
        <w:ind w:left="460" w:right="20" w:hanging="330"/>
        <w:spacing w:after="0" w:line="273"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Turner and Mr. Ryan, the amount represents payment of non-equity incentive severance for the event specified based on the average annual bonus compensation paid to the executive in the three preceeding calendar years.</w:t>
      </w:r>
    </w:p>
    <w:p>
      <w:pPr>
        <w:spacing w:after="0" w:line="119" w:lineRule="exact"/>
        <w:rPr>
          <w:rFonts w:ascii="Arial" w:cs="Arial" w:eastAsia="Arial" w:hAnsi="Arial"/>
          <w:sz w:val="14"/>
          <w:szCs w:val="14"/>
          <w:color w:val="auto"/>
        </w:rPr>
      </w:pPr>
    </w:p>
    <w:p>
      <w:pPr>
        <w:ind w:left="460" w:right="40" w:hanging="330"/>
        <w:spacing w:after="0" w:line="24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RSUs, performance units and cash LTI awards due to the Named Executive Officer’s retirement. The value shown is the number of unvested RSUs at June 30, 2014 for which restrictions would lapse at retirement multiplied by the market price of common stock at the close of business on June 30, 2014. Restrictions lapse on performance units and cash LTI awards upon retirement on a pro rata basis based on the number of full and partial months served in the applicable performance period. The performance units and cash LTI awards are assumed to vest at the target level of performance. Messrs. Hewitt, Cavanah, Ryan, and Turner were not eligible for retirement at June 30,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connection with Mr. Petrizzo’s resignation on June 23, 2014 (the “termination date”), we entered into a Separation Agreement and Release of Claims dated July 28, 2014. Under the separation agreement and in accordance with the terms of his severance agreement, we paid Mr. Petrizzo a separation payment of $331,900, representing one year’s base salary, and the vesting of 35,055 service-based RSUs, 15,600 stock options and 18,207 performance units previously awarded to Mr. Petrizzo was accelerated. In addition, we paid an additional separation payment of $124,171, representing the average of the bonuses paid for fiscal years 2012 and 2013 and the bonus that would have been earned for fiscal 2014. All such payments under the separation agreement are subject to applicable withholding taxes. Under the separation agreement, Mr. Petrizzo is also entitled to receive reimbursement for outplacement services in an amount not to exceed $5,000 and reimbursement of COBRA premiums for the period ending on December 31, 2014. Mr. Petrizzo has agreed that for a period of 12 months following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termination date, he will not solicit the sale of services to our established customers, will not interfere with the relationships we have with our established customers and will not solicit any of our employees to leave the Company. Under the separation agreement, Mr. Petrizzo has given us a release containing customary terms and conditions.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of Directors believes this approach establishes a solid alignment of our executives’ and stockholders’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225" w:lineRule="exact"/>
        <w:rPr>
          <w:sz w:val="20"/>
          <w:szCs w:val="20"/>
          <w:color w:val="auto"/>
        </w:rPr>
      </w:pPr>
    </w:p>
    <w:p>
      <w:pPr>
        <w:ind w:left="540" w:right="500" w:hanging="316"/>
        <w:spacing w:after="0" w:line="34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ind w:left="540" w:right="300" w:hanging="316"/>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80" w:hanging="316"/>
        <w:spacing w:after="0" w:line="226"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740" w:hanging="316"/>
        <w:spacing w:after="0" w:line="308"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as disclosed in this proxy statement pursuant to the compensation disclosure rules of the SEC.</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75"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On December 20, 2013, the Company and two wholly-owned subsidiaries, Matrix North American Construction, Inc. (“U.S. Buyer”), and Matrix Canadian Holdings, Inc. (“Canadian Buyer” and, together with U.S. Buyer, the “Buyers”), completed the previously announced transaction contemplated by the Sale and Purchase Agreement dated December 8, 2013, by and among the Company, the Buyers, Kvaerner AS, Kvaerner North American Construction Inc.</w:t>
      </w:r>
    </w:p>
    <w:p>
      <w:pPr>
        <w:ind w:right="20"/>
        <w:spacing w:after="0" w:line="290" w:lineRule="auto"/>
        <w:rPr>
          <w:sz w:val="20"/>
          <w:szCs w:val="20"/>
          <w:color w:val="auto"/>
        </w:rPr>
      </w:pPr>
      <w:r>
        <w:rPr>
          <w:rFonts w:ascii="Arial" w:cs="Arial" w:eastAsia="Arial" w:hAnsi="Arial"/>
          <w:sz w:val="17"/>
          <w:szCs w:val="17"/>
          <w:color w:val="auto"/>
        </w:rPr>
        <w:t>(“KNAC Inc.” and, together with Kvaerner AS, the “Sellers”), and Kvaerner ASA to acquire the Sellers’ business of construction and maintenance services to the iron and steel, power generation, and industrial sectors in the U.S. and Canada, respectively (the “Acquisition”). The total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purchase price for the Acquisition was $88.3 million. At the time of the Acquisition, Mr. Miller served as Executive Vice President - Americas for Kvaerner ASA, the Sellers’ parent company, and as an officer and director of Kvaerner ASA’s remaining U.S. subsidiaries. He continues to hold these positions.</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Miller joined the Board approximately five months after the Acquisition was completed. Subsequent to the Acquisition, the Company and the Buyers have had no client/customer, vendor/supplier, contractor/subcontractor or other relationships with the Sellers.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225" w:lineRule="exact"/>
        <w:rPr>
          <w:sz w:val="20"/>
          <w:szCs w:val="20"/>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sets forth, as of August 31, 2014,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380" w:type="dxa"/>
            <w:vAlign w:val="bottom"/>
          </w:tcPr>
          <w:p>
            <w:pPr>
              <w:spacing w:after="0"/>
              <w:rPr>
                <w:sz w:val="14"/>
                <w:szCs w:val="14"/>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Shares Beneficially Owned</w:t>
            </w:r>
          </w:p>
        </w:tc>
        <w:tc>
          <w:tcPr>
            <w:tcW w:w="900" w:type="dxa"/>
            <w:vAlign w:val="bottom"/>
          </w:tcPr>
          <w:p>
            <w:pPr>
              <w:spacing w:after="0"/>
              <w:rPr>
                <w:sz w:val="14"/>
                <w:szCs w:val="14"/>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Calculated Ownership % (1)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2,834,666</w:t>
            </w:r>
          </w:p>
        </w:tc>
        <w:tc>
          <w:tcPr>
            <w:tcW w:w="9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5"/>
                <w:shd w:val="clear" w:color="auto" w:fill="CCEEFF"/>
              </w:rPr>
              <w:t>40 East 52</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nd</w:t>
            </w:r>
          </w:p>
        </w:tc>
        <w:tc>
          <w:tcPr>
            <w:tcW w:w="4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83"/>
                <w:shd w:val="clear" w:color="auto" w:fill="CCEEFF"/>
              </w:rPr>
              <w:t>Street</w:t>
            </w:r>
          </w:p>
        </w:tc>
        <w:tc>
          <w:tcPr>
            <w:tcW w:w="4740" w:type="dxa"/>
            <w:vAlign w:val="bottom"/>
            <w:gridSpan w:val="3"/>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0" w:type="dxa"/>
            <w:vAlign w:val="bottom"/>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2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New York, NY 10022</w:t>
            </w:r>
          </w:p>
        </w:tc>
        <w:tc>
          <w:tcPr>
            <w:tcW w:w="3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Royce &amp; Associates, LLC</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1,505,303</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(2)</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745 Fifth Avenue</w:t>
            </w:r>
          </w:p>
        </w:tc>
        <w:tc>
          <w:tcPr>
            <w:tcW w:w="3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New York, NY 10151</w:t>
            </w:r>
          </w:p>
        </w:tc>
        <w:tc>
          <w:tcPr>
            <w:tcW w:w="3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1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Waddell &amp; Reed / Ivy Investment Mangement Company</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1,455,000</w:t>
            </w:r>
          </w:p>
        </w:tc>
        <w:tc>
          <w:tcPr>
            <w:tcW w:w="9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61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6300 Lamar Avenue</w:t>
            </w:r>
          </w:p>
        </w:tc>
        <w:tc>
          <w:tcPr>
            <w:tcW w:w="3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Overland Park, KS 66202</w:t>
            </w:r>
          </w:p>
        </w:tc>
        <w:tc>
          <w:tcPr>
            <w:tcW w:w="3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Michael J. Hall</w:t>
            </w:r>
          </w:p>
        </w:tc>
        <w:tc>
          <w:tcPr>
            <w:tcW w:w="2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58,800</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I. Edgar Hendrix</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18,500</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Paul K. Lackey</w:t>
            </w:r>
          </w:p>
        </w:tc>
        <w:tc>
          <w:tcPr>
            <w:tcW w:w="2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16,900</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Tom E. Maxwell</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21,029</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Jim W. Mogg</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James H. Miller</w:t>
            </w:r>
          </w:p>
        </w:tc>
        <w:tc>
          <w:tcPr>
            <w:tcW w:w="380" w:type="dxa"/>
            <w:vAlign w:val="bottom"/>
          </w:tcPr>
          <w:p>
            <w:pPr>
              <w:spacing w:after="0"/>
              <w:rPr>
                <w:sz w:val="21"/>
                <w:szCs w:val="21"/>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John R. Hewitt</w:t>
            </w:r>
          </w:p>
        </w:tc>
        <w:tc>
          <w:tcPr>
            <w:tcW w:w="2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49,801</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Joseph F. Montalbano</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11,619</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Kevin S. Cavanah</w:t>
            </w:r>
          </w:p>
        </w:tc>
        <w:tc>
          <w:tcPr>
            <w:tcW w:w="2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32,740</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rPr>
              <w:t>James P. Ryan</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33,597</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Jason Turner</w:t>
            </w:r>
          </w:p>
        </w:tc>
        <w:tc>
          <w:tcPr>
            <w:tcW w:w="2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1,077</w:t>
            </w:r>
          </w:p>
        </w:tc>
        <w:tc>
          <w:tcPr>
            <w:tcW w:w="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7"/>
          </w:tcPr>
          <w:p>
            <w:pPr>
              <w:ind w:left="40"/>
              <w:spacing w:after="0"/>
              <w:rPr>
                <w:sz w:val="20"/>
                <w:szCs w:val="20"/>
                <w:color w:val="auto"/>
              </w:rPr>
            </w:pPr>
            <w:r>
              <w:rPr>
                <w:rFonts w:ascii="Arial" w:cs="Arial" w:eastAsia="Arial" w:hAnsi="Arial"/>
                <w:sz w:val="18"/>
                <w:szCs w:val="18"/>
                <w:color w:val="auto"/>
                <w:w w:val="97"/>
              </w:rPr>
              <w:t>All directors, director nominees and executive officers as a group (13 persons)</w:t>
            </w:r>
          </w:p>
        </w:tc>
        <w:tc>
          <w:tcPr>
            <w:tcW w:w="2320" w:type="dxa"/>
            <w:vAlign w:val="bottom"/>
            <w:gridSpan w:val="3"/>
          </w:tcPr>
          <w:p>
            <w:pPr>
              <w:jc w:val="right"/>
              <w:ind w:right="120"/>
              <w:spacing w:after="0"/>
              <w:rPr>
                <w:sz w:val="20"/>
                <w:szCs w:val="20"/>
                <w:color w:val="auto"/>
              </w:rPr>
            </w:pPr>
            <w:r>
              <w:rPr>
                <w:rFonts w:ascii="Arial" w:cs="Arial" w:eastAsia="Arial" w:hAnsi="Arial"/>
                <w:sz w:val="18"/>
                <w:szCs w:val="18"/>
                <w:color w:val="auto"/>
              </w:rPr>
              <w:t>252,919</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Indicates ownership of less than one percent of the outstanding shares of common stock.</w:t>
      </w:r>
    </w:p>
    <w:p>
      <w:pPr>
        <w:spacing w:after="0" w:line="122" w:lineRule="exact"/>
        <w:rPr>
          <w:sz w:val="20"/>
          <w:szCs w:val="20"/>
          <w:color w:val="auto"/>
        </w:rPr>
      </w:pPr>
    </w:p>
    <w:p>
      <w:pPr>
        <w:jc w:val="both"/>
        <w:ind w:left="540" w:right="340" w:hanging="316"/>
        <w:spacing w:after="0" w:line="286"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Shares of common stock which were not outstanding but which could be acquired by an executive officer upon exercise of an option within 60 days of August 31, 2014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 w:lineRule="exact"/>
        <w:rPr>
          <w:rFonts w:ascii="Arial" w:cs="Arial" w:eastAsia="Arial" w:hAnsi="Arial"/>
          <w:sz w:val="15"/>
          <w:szCs w:val="15"/>
          <w:color w:val="auto"/>
        </w:rPr>
      </w:pPr>
    </w:p>
    <w:p>
      <w:pPr>
        <w:ind w:left="540" w:right="380" w:hanging="316"/>
        <w:spacing w:after="0" w:line="275"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Information is as of March 31, 2014 and is based on the Schedule 13G/A dated April 1, 2014 filed by Royce &amp; Associates, LLC. (“Royce”). Royce is a registered investment advisor. Royce has sole voting and dispositive power over all of the shares shown.</w:t>
      </w:r>
    </w:p>
    <w:p>
      <w:pPr>
        <w:spacing w:after="0" w:line="10" w:lineRule="exact"/>
        <w:rPr>
          <w:rFonts w:ascii="Arial" w:cs="Arial" w:eastAsia="Arial" w:hAnsi="Arial"/>
          <w:sz w:val="16"/>
          <w:szCs w:val="16"/>
          <w:color w:val="auto"/>
        </w:rPr>
      </w:pPr>
    </w:p>
    <w:p>
      <w:pPr>
        <w:jc w:val="both"/>
        <w:ind w:left="540" w:right="100" w:hanging="316"/>
        <w:spacing w:after="0" w:line="26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Information is as of March 31, 2014 and is based on the Schedule 13G /A dated April 8, 2013 filed by BlackRock, Inc. (“BlackRock”). BlackRock is a parent holding company or control person in accordance with Rule 13d-1(b)(1)(ii)(G). BlackRock has sole voting power over 2,760,569 shares and sole dispositive power overall of the shares shown.</w:t>
      </w:r>
    </w:p>
    <w:p>
      <w:pPr>
        <w:spacing w:after="0" w:line="20" w:lineRule="exact"/>
        <w:rPr>
          <w:rFonts w:ascii="Arial" w:cs="Arial" w:eastAsia="Arial" w:hAnsi="Arial"/>
          <w:sz w:val="16"/>
          <w:szCs w:val="16"/>
          <w:color w:val="auto"/>
        </w:rPr>
      </w:pPr>
    </w:p>
    <w:p>
      <w:pPr>
        <w:ind w:left="540" w:right="360" w:hanging="316"/>
        <w:spacing w:after="0" w:line="292"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Information is as of December 31, 2013 and is based on the Schedule 13G dated February 7, 2014 filed by 1) Waddell &amp; Reed Financial, Inc. ("WDR"), a parent holding company in accordance with Reg. 240.13d-1(b)(1)(ii)(G), 2) Waddell &amp; Reed Financial Services, Inc., a parent holding company in accordance with Reg.</w:t>
      </w:r>
    </w:p>
    <w:p>
      <w:pPr>
        <w:ind w:left="540" w:right="200"/>
        <w:spacing w:after="0" w:line="276" w:lineRule="auto"/>
        <w:rPr>
          <w:rFonts w:ascii="Arial" w:cs="Arial" w:eastAsia="Arial" w:hAnsi="Arial"/>
          <w:sz w:val="14"/>
          <w:szCs w:val="14"/>
          <w:color w:val="auto"/>
        </w:rPr>
      </w:pPr>
      <w:r>
        <w:rPr>
          <w:rFonts w:ascii="Arial" w:cs="Arial" w:eastAsia="Arial" w:hAnsi="Arial"/>
          <w:sz w:val="15"/>
          <w:szCs w:val="15"/>
          <w:color w:val="auto"/>
        </w:rPr>
        <w:t>240.13d-1(b)(1)(ii)(G), 3) Waddell &amp; Reed, Inc., a broker-dealer registered under section 15 of the Act (15 U.S.C 78o), 4) Waddell &amp; Reed Investment Management Company, an investment adviser in accordance with with Reg. 240.13d-1(b)(1)(ii)(E), and 5) Ivy Investment Management Company, an investment advisor in accordance with Reg. 240.13d-1(b)(1)(ii)(E). WDR has sole dispositive power and shared voting power over all of the shares shown.</w:t>
      </w:r>
    </w:p>
    <w:p>
      <w:pPr>
        <w:spacing w:after="0" w:line="12" w:lineRule="exact"/>
        <w:rPr>
          <w:rFonts w:ascii="Arial" w:cs="Arial" w:eastAsia="Arial" w:hAnsi="Arial"/>
          <w:sz w:val="14"/>
          <w:szCs w:val="14"/>
          <w:color w:val="auto"/>
        </w:rPr>
      </w:pPr>
    </w:p>
    <w:p>
      <w:pPr>
        <w:jc w:val="both"/>
        <w:ind w:left="540" w:right="40" w:hanging="316"/>
        <w:spacing w:after="0" w:line="288"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following shares of common stock that are issuable upon the exercise of stock options that are currently exercisable or are exercisable within 60 days after August 31, 2014: Mr. Hendrix – 5,000 shares; Mr. Cavanah – 12,000 shares; 13 directors and executive officer as a group – 17,000 shares. Also includes the following shares that are issuable upon the vesting of RSUs if the RSUs vest within 60 days of August 31, 2014: Mr. Cavanah – 450 shares; Mr. Ryan – 1,600 shares;</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6"/>
          <w:szCs w:val="16"/>
          <w:color w:val="auto"/>
        </w:rPr>
        <w:t>Mr. Montalbano – 2,400 shares; Mr. Turner - 450; 13 directors and executive officers as a group – 5,800 shares.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Accordingly, each executive officer is expected to maintain a significant investment in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through the ownership of Company stock. Stock ownership more closely aligns our executive officers’ interests and actions with the interests of the Company’s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Equity Ownership Guidelines, which were most recently revised in August 2011, are as follows:</w:t>
      </w:r>
    </w:p>
    <w:p>
      <w:pPr>
        <w:spacing w:after="0" w:line="225" w:lineRule="exact"/>
        <w:rPr>
          <w:sz w:val="20"/>
          <w:szCs w:val="20"/>
          <w:color w:val="auto"/>
        </w:rPr>
      </w:pPr>
    </w:p>
    <w:p>
      <w:pPr>
        <w:ind w:left="540" w:right="460" w:hanging="316"/>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pacing w:after="0" w:line="200" w:lineRule="exact"/>
        <w:rPr>
          <w:sz w:val="20"/>
          <w:szCs w:val="20"/>
          <w:color w:val="auto"/>
        </w:rPr>
      </w:pP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President/CEO</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 times base salary</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CFO/COO/Presidents of the two principal operating subsidiaries</w:t>
            </w:r>
          </w:p>
        </w:tc>
        <w:tc>
          <w:tcPr>
            <w:tcW w:w="2840" w:type="dxa"/>
            <w:vAlign w:val="bottom"/>
          </w:tcPr>
          <w:p>
            <w:pPr>
              <w:ind w:left="1160"/>
              <w:spacing w:after="0"/>
              <w:rPr>
                <w:sz w:val="20"/>
                <w:szCs w:val="20"/>
                <w:color w:val="auto"/>
              </w:rPr>
            </w:pPr>
            <w:r>
              <w:rPr>
                <w:rFonts w:ascii="Arial" w:cs="Arial" w:eastAsia="Arial" w:hAnsi="Arial"/>
                <w:sz w:val="18"/>
                <w:szCs w:val="18"/>
                <w:color w:val="auto"/>
              </w:rPr>
              <w:t>3 times base salary</w:t>
            </w:r>
          </w:p>
        </w:tc>
      </w:tr>
      <w:tr>
        <w:trPr>
          <w:trHeight w:val="27"/>
        </w:trPr>
        <w:tc>
          <w:tcPr>
            <w:tcW w:w="58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executive officers</w:t>
            </w:r>
          </w:p>
        </w:tc>
        <w:tc>
          <w:tcPr>
            <w:tcW w:w="2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 times base salary</w:t>
            </w:r>
          </w:p>
        </w:tc>
      </w:tr>
      <w:tr>
        <w:trPr>
          <w:trHeight w:val="27"/>
        </w:trPr>
        <w:tc>
          <w:tcPr>
            <w:tcW w:w="58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40" w:right="180" w:hanging="316"/>
        <w:spacing w:after="0" w:line="26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The executive officers have until the later of August 2016 or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225" w:lineRule="exact"/>
        <w:rPr>
          <w:rFonts w:ascii="Arial" w:cs="Arial" w:eastAsia="Arial" w:hAnsi="Arial"/>
          <w:sz w:val="18"/>
          <w:szCs w:val="18"/>
          <w:color w:val="auto"/>
        </w:rPr>
      </w:pPr>
    </w:p>
    <w:p>
      <w:pPr>
        <w:ind w:left="920" w:right="80" w:hanging="331"/>
        <w:spacing w:after="0" w:line="258"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right="60" w:hanging="331"/>
        <w:spacing w:after="0" w:line="250"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 and</w:t>
      </w:r>
    </w:p>
    <w:p>
      <w:pPr>
        <w:ind w:left="920" w:hanging="331"/>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All of our executive officers have met the equity ownership guidelines as of June 30, 2014, with the exception of Mr. Turner, who was promoted to President of Matrix North American Holdings in December 2013 and will have until December 2018 to comply with the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2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2014, all Section 16(a) filing requirements applicable to its executive officers and directors, and 10% stockholders were complied with on a timely basis.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PROPOSAL NUMBER 4: Approval of Amendments to the 2012 Stock and Incentive Compensation Plan including an Amendment to increase the number of shares to be issued from 1,300,000 to 2,300,000</w:t>
      </w:r>
    </w:p>
    <w:p>
      <w:pPr>
        <w:spacing w:after="0" w:line="200" w:lineRule="exact"/>
        <w:rPr>
          <w:sz w:val="20"/>
          <w:szCs w:val="20"/>
          <w:color w:val="auto"/>
        </w:rPr>
      </w:pPr>
    </w:p>
    <w:p>
      <w:pPr>
        <w:spacing w:after="0" w:line="2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Stockholder action at the Annual Meeting will be requested with respect to the approval of Amendment Number 1 (the “Amendment”) to the Matrix Service Company 2012 Stock and Incentive Compensation Plan (the “Plan”). The Plan was originally approved by our stockholders at the 2012 Annual Meeting.</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primary purpose of the Amendment is to increase the total number of shares of our common stock available for issuance under the Plan from 1,300,000 shares to 2,300,000 shares. The Amendment includes certain additional changes designed to clarify:</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prohibition on repricing stock options and stock appreciation rights;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prohibition on paying dividends or dividend equivalents on performance-based equity awards unless the performance criteria are satisfied.</w:t>
      </w:r>
    </w:p>
    <w:p>
      <w:pPr>
        <w:spacing w:after="0" w:line="22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we are requesting that stockholders approve the performance goals under the Plan for purposes of Section 162(m) of the Internal Revenue Code so that certain awards granted under the Plan may qualify as performance-based compensation under Section 162(m) of the Internal Revenue Code.</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copy of the Amendment can be found in the accompanying Exhibit A. We will furnish a copy of the Plan to any stockholder upon written request to: Kevin Cavanah, Corporate Secretary, Matrix Service Company, 5100 East Skelly Drive, Suite 700, Tulsa, Oklahoma 74135. The Amendment, which was approved by the Compensation Committee of the Board of Directors (the “Committee”), in September 2014, will not take effect unless approved by the affirmative vote of the holders of a majority of the shares of our common stock present in person or represented by proxy at the Annual Meeting and entitled to vote.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Request for Additional Shares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each of our business segments in a highly competitive marketplace. In order to maintain our position as one of the top companies in each of those business segments, we need to be able to attract, motivate and retain the most highly qualified and experienced individuals. Of the 1,300,000 shares authorized for issuance under the Plan, approximately 713,223 shares are available for future awards as of June 30, 2014. Following award grants made for 2014, and taking into account shares reserved for potential above-target payout on performance units previously awarded, we will have an insufficient number of shares (approximately 160,000) for 2015 long-term incentive awards. We typically grant long-term incentive awards in August of each year. In order to give us flexibility to achieve our goals and to continue to align stockholder and management long-term interests through our long-term incentive program, the Committee has recommended to the Board that we request our stockholders approve an additional 1,000,000 shares for issuance under the Plan.</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part of the Committee’s approval of the request for an increase in the total number of shares that will be available for issuance under the Plan, the Committee solicited advice from Meridian Compensation Partners, LLC, its independent compensation consultant, to analyze historical share usage for the last several years as well as the dilutive impact of various increases in the total shares available under the Plan. Specifically, the Committee considered the following:</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Historical Burn Rate. </w:t>
      </w:r>
      <w:r>
        <w:rPr>
          <w:rFonts w:ascii="Arial" w:cs="Arial" w:eastAsia="Arial" w:hAnsi="Arial"/>
          <w:sz w:val="17"/>
          <w:szCs w:val="17"/>
          <w:color w:val="auto"/>
        </w:rPr>
        <w:t>We are committed to managing the use of our equity incentives prudently to balance the benefits equity compensation brings to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programs with the dilution it causes our stockholders. As part of its analysis, when considering the proposed share increase, the Committee considered our “burn rate,” or the number of shares subject to equity awards granted in each of the past three years, divided by the weighted average basic number of shares outstanding for each of those years. Over the past three years, our burn rate has averaged 3.5%, which is below the burn rate cap of 4.3% for our industry established by Institutional Shareholder Services, Inc., one of the larger proxy advisory firms.</w:t>
      </w:r>
    </w:p>
    <w:p>
      <w:pPr>
        <w:spacing w:after="0" w:line="16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Overhang. </w:t>
      </w:r>
      <w:r>
        <w:rPr>
          <w:rFonts w:ascii="Arial" w:cs="Arial" w:eastAsia="Arial" w:hAnsi="Arial"/>
          <w:sz w:val="18"/>
          <w:szCs w:val="18"/>
          <w:color w:val="auto"/>
        </w:rPr>
        <w:t>As a way of measuring the cumulative impact of our equity plans upon our stockholders, the Committee also considered our level of total</w:t>
      </w:r>
      <w:r>
        <w:rPr>
          <w:rFonts w:ascii="Arial" w:cs="Arial" w:eastAsia="Arial" w:hAnsi="Arial"/>
          <w:sz w:val="18"/>
          <w:szCs w:val="18"/>
          <w:b w:val="1"/>
          <w:bCs w:val="1"/>
          <w:color w:val="auto"/>
        </w:rPr>
        <w:t xml:space="preserve"> </w:t>
      </w:r>
      <w:r>
        <w:rPr>
          <w:rFonts w:ascii="Arial" w:cs="Arial" w:eastAsia="Arial" w:hAnsi="Arial"/>
          <w:sz w:val="18"/>
          <w:szCs w:val="18"/>
          <w:color w:val="auto"/>
        </w:rPr>
        <w:t>overhang, consisting of the number of shares subject to equity awards outstanding under the Plan plus the total number of shares currently available to be granted under the Plan. The Committee then considered the potential total overhang resulting from the request for additional shares and determined that the addition of 1,000,000 shares to the Plan share reserve was reasonable.</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Expected Duration. </w:t>
      </w:r>
      <w:r>
        <w:rPr>
          <w:rFonts w:ascii="Arial" w:cs="Arial" w:eastAsia="Arial" w:hAnsi="Arial"/>
          <w:sz w:val="18"/>
          <w:szCs w:val="18"/>
          <w:color w:val="auto"/>
        </w:rPr>
        <w:t>If the Amendment is approved by our stockholders, the total number of shares of our common stock reserved for future grants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would be 1,713,223 and represent approximately 6.5% of our total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outstanding shares of common stock of 26,515,771 on September 30, 2014. If the Amendment is approved by our stockholders, based on historical usage, we estimate that the shares available for issuance under the Plan would be sufficient for approximately three to four years. Expectations regarding future share usage could be affected by a number of factors such as hiring; the rate at which shares are returned to the Plan reserve as a result of the expiration, forfeiture or cash settlement of awards; the future performance of our stock price; the consequences of acquiring other companies; and other factors. While the Committee believes that the assumptions it used are reasonable, future share usage may differ from current expectations.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Request for Approval of the Material Terms for Code Section 162(m) Purposes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Plan authorizes the issuance of qualified performance-based compensation awards (both cash and stock-based) which are intended to meet the requirements of Section 162(m) of the Internal Revenue Code (all Section references are to the Internal Revenue Code unless otherwise noted) for deductibility of executive compensation. Section 162(m) generally does not allow public companies to take a federal income tax deduction for compensation in excess of $1,000,000 paid to the chief executive officer or any of the three other highest paid executive officers (other than the chief financial officer) employed at the end of that company’s fiscal year unless such compensation qualifies as “performance-based compensation.” In general, to qualify as “performance-based compensation,” the material terms of the performance goals under the Plan must be disclosed to, and approved by, our stockholders, and subsequently re-approved by our stockholders no later than the first meeting of our stockholders that occurs in the fifth year following the year the performance goals were last approved by the stockholders. Approval of the Amendment will also constitute re-approval of the Plan by our stockholders for purposes of Section 162(m). Our stockholders last approved performance goals in 2012.</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Amendment is approved by our stockholders at the Annual Meeting, the period during which the Plan will enable the Committee to grant qualified performance-based compensation awards under the Plan that are intended to be exempt from the deductibility limits of Code Section 162(m) will be extended for a new five-year period beginning in 2014. If stockholders do not approve the Amendment, we may lose a tax deduction for certain years. Accordingly, the Board of Directors believes it is important to have the ability to grant incentive compensation that qualifies as “performance-based” compensation in order to retain the corporate tax deductibility of the payments and urges stockholders to approve the Amendment, which also constitutes approval of the performance-based goals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Certain Key Features of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key features of the Plan:</w:t>
      </w:r>
    </w:p>
    <w:p>
      <w:pPr>
        <w:spacing w:after="0" w:line="225" w:lineRule="exact"/>
        <w:rPr>
          <w:sz w:val="20"/>
          <w:szCs w:val="20"/>
          <w:color w:val="auto"/>
        </w:rPr>
      </w:pPr>
    </w:p>
    <w:p>
      <w:pPr>
        <w:ind w:left="660" w:right="10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stockholders approve the Amendment, the number of shares authorized for issuance under the Plan will be 2,300,000. Of these authorized shares, approximately 1,713,223 will be available for future grant, including 713,223 shares remaining available for grant at June 30, 2014 plus 1,000,000 new shares added by the Amendment.</w:t>
      </w: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that are not issued pursuant to an award, including due to cancellation, forfeiture, expiration, or cash settlement, or satisfaction of withholding taxes, and shares surrendered for the payment of the exercise price or withholding taxes under awards will be made available for grant under the Plan.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Options and stock appreciation rights will have an exercise price that is not less than 100% of the fair market value of the underlying common stock on the grant date and an exercise term not to exceed ten years.</w:t>
      </w:r>
    </w:p>
    <w:p>
      <w:pPr>
        <w:ind w:left="660" w:right="620" w:hanging="328"/>
        <w:spacing w:after="0" w:line="28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Committee cannot reduce the exercise price of outstanding options or stock appreciation rights, replace an outstanding option or stock appreciation right with a new option or stock appreciation right with a lower exercise price, or cancel an option or stock appreciation right in exchange for cash or another type of award (other than in connection with a change of control of us) without stockholder approval.</w:t>
      </w:r>
    </w:p>
    <w:p>
      <w:pPr>
        <w:spacing w:after="0" w:line="2" w:lineRule="exact"/>
        <w:rPr>
          <w:rFonts w:ascii="Arial" w:cs="Arial" w:eastAsia="Arial" w:hAnsi="Arial"/>
          <w:sz w:val="16"/>
          <w:szCs w:val="16"/>
          <w:color w:val="auto"/>
        </w:rPr>
      </w:pPr>
    </w:p>
    <w:p>
      <w:pPr>
        <w:ind w:left="660" w:right="22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Amendment clarifies that no dividends or dividend equivalents will be paid with respect to performance-based equity awards unless the corresponding performance criteria are satisfied. In addition, the Amendment clarifies that no dividends or dividend equivalents will be granted in conjunction with any option or stock appreciation right. No such awards currently outstanding contain any dividend or dividend equivalents.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purpose of the Plan is to attract, motivate and retain the services of our employees and directors by enabling them to participate in our growth and financial success through cash-based and stock-based awards, and to align their individual interests to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Award Limits Under the Plan. </w:t>
      </w:r>
      <w:r>
        <w:rPr>
          <w:rFonts w:ascii="Arial" w:cs="Arial" w:eastAsia="Arial" w:hAnsi="Arial"/>
          <w:sz w:val="18"/>
          <w:szCs w:val="18"/>
          <w:color w:val="auto"/>
        </w:rPr>
        <w:t>The Plan contains limits on the awards granted to any participants who are subject to the reporting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Securities Exchange Act of 1934, as amended (“Insiders”). Accordingly, unless the Committee determines that an award to an Insider will not be designed to qualify as performance-based compensation under Section 162(m):</w:t>
      </w:r>
    </w:p>
    <w:p>
      <w:pPr>
        <w:spacing w:after="0" w:line="180" w:lineRule="exact"/>
        <w:rPr>
          <w:sz w:val="20"/>
          <w:szCs w:val="20"/>
          <w:color w:val="auto"/>
        </w:rPr>
      </w:pPr>
    </w:p>
    <w:p>
      <w:pPr>
        <w:ind w:left="660" w:right="320" w:hanging="328"/>
        <w:spacing w:after="0" w:line="25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stock options or stock appreciation rights to any Insider in any fiscal year is 400,000 shares.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restricted stock or restricted stock units to any Insider in any fiscal year is 400,000 shares.</w:t>
      </w:r>
    </w:p>
    <w:p>
      <w:pPr>
        <w:ind w:left="660" w:right="34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performance shares or performance units to any Insider in any fiscal year is 400,000 shares or an amount equal to the value of 400,000 shares.</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maximum amount that may be awarded in the form of cash-based awards to any Insider in any fiscal year is $5,000,000.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maximum number of shares that may be awarded in the form of other stock-based awards to any Insider in any fiscal year is 400,000 shares.</w:t>
      </w:r>
    </w:p>
    <w:p>
      <w:pPr>
        <w:spacing w:after="0" w:line="2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Committee administers the Plan and has authority to make awards under the Plan, to set the terms of the awards, to interpret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any rules or regulations relating to the Plan that it determines to be appropriate and to make any other determination that it believes necessary or advisable for the proper administration of the Plan. Subject to the limitations specified in the Plan, the Committee may delegate its non-administrative authority to appropriate company officers.</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employees and non-employee directors of the Company and its affiliates are eligible to receive awards under the Plan,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the Board of Directors. As of September 30, 2014, we have approximately 60 employees and non-employee directors who are eligible to participate in the Plan. Awards under the Plan may be granted in any one or a combination of the following forms:</w:t>
      </w:r>
    </w:p>
    <w:p>
      <w:pPr>
        <w:spacing w:after="0" w:line="18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incentive stock options under Section 422;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nonqualified stock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based awards;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Cancellation, Forfeiture, Expiration or Cash Settlement of Awards. </w:t>
      </w:r>
      <w:r>
        <w:rPr>
          <w:rFonts w:ascii="Arial" w:cs="Arial" w:eastAsia="Arial" w:hAnsi="Arial"/>
          <w:sz w:val="18"/>
          <w:szCs w:val="18"/>
          <w:color w:val="auto"/>
        </w:rPr>
        <w:t>If an award expires or is canceled, forfeited or settled for cash, then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award may, to the extent of such expiration, cancellation, forfeiture or cash settlement, be used again for new grants under the Plan. Likewise, any shares tendered or withheld to satisfy the grant or exercise price or tax withholding obligation pursuant to any award may also be used again for new grants.</w:t>
      </w:r>
    </w:p>
    <w:p>
      <w:pPr>
        <w:spacing w:after="0" w:line="18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Types of Awards.</w:t>
      </w:r>
      <w:r>
        <w:rPr>
          <w:sz w:val="20"/>
          <w:szCs w:val="20"/>
          <w:color w:val="auto"/>
        </w:rPr>
        <w:tab/>
      </w:r>
      <w:r>
        <w:rPr>
          <w:rFonts w:ascii="Arial" w:cs="Arial" w:eastAsia="Arial" w:hAnsi="Arial"/>
          <w:sz w:val="16"/>
          <w:szCs w:val="16"/>
          <w:color w:val="auto"/>
        </w:rPr>
        <w:t>Each type of award that may be granted under the Plan is described below:</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Committee may grant nonqualified stock options or incentive stock options to purchase shares of our common stock.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will determine the number and exercise price of the options, and the time or times that the options become exercisable, provided that the option exercise price may not be less than the fair market value of a share of common stock on the date of grant. The term of an option will also be determined by the Committee, but may not exceed ten years. No dividends or dividend equivalents will be granted alone or in conjunction with any stock option award.</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exercise price may be paid in cash; by check; in shares of common stock; through a “cashless” exercise arrangement with a broker; or in any other manner authorized by the Committee. Incentive stock options will be subject to certain additional requirements necessary in order to qualify as incentive stock options under Section 422.</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stock appreciation right may be granted by the Committee in its discretion. The Committee may grant free 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tandem stock appreciation rights or any combination of these forms of stock appreciation rights. The grant price for each stock appreciation right shall be determined by the Committee and shall be specified in the award agreement, but in no event shall the grant price be less than the fair market value of a share of our common stock on the date the stock appreciation right is granted. The grant price of tandem stock appreciation rights shall be equal to the option price of the related option. The term of the stock appreciation right shall be determined by the Committee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specified in the award agreement which relates to the stock appreciation right, but may not exceed ten years. Outstanding stock appreciation rights may be exercised on whatever terms and conditions the Committee imposes. Tandem stock appreciation rights may be exercised for all or part of the shares subject to the related option on the surrender of the right to exercise equivalent portions of the related option. A tandem stock appreciation right may be exercised only with respect to the shares for which the related option is unexercisable. With respect to a tandem stock appreciation right granted in connection with an incentive stock option: (a) the tandem stock appreciation right will expire no later than the expiration of the underlying incentive stock option; (b) the value of the payout with respect to the tandem stock appreciation right will be for no more than 100 percent of the difference between the option price of the underlying incentive stock option and the fair market value of the shares subject to the underlying incentive stock option at the time the tandem stock appreciation right is exercised; and (c) the tandem stock appreciation right may be exercised only when the fair market value of the shares subject to the incentive stock option exceeds the option price of the incentive stock option. No dividends or dividend equivalents will be granted alone or in conjunction with an award of stock appreciation rights.</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the exercise of a stock appreciation right, a participant will be entitled to receive payment in an amount determined by multiplying: (a) the difference between the fair market value of a share of common stock on the date of exercise and the grant price; by (b) the number of shares with respect to which the stock appreciation right is exercised. In the discretion of the Committee, the payment of the stock appreciation right exercised may be in cash, shares of equivalent value (based on the fair market value on the date of exercise of a stock appreciation right), in some combination thereof or in any other form approved by the Committee.</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Shares of common stock may be granted by the Committee to an eligible employee or non-employee director and made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on sale, pledge or other transfer for a certain period (the restricted period). All shares of restricted stock will be subject to such restrictions as the Committee may provide in an award agreement with the participant, including provisions obligating the participant to forfeit or resell the shares to us in the event of termination of employment or service or if specified performance goals or targets are not met. A participant’s rights with respect to such shares shall be subject to the restrictions provided in the award agreement and the Plan. To the extent an award of restricted stock is intended to qualify as performance-based compensation under Section 162(m), it must be granted subject to the attainment of performance goals and meet the additional requirements imposed by Section 162(m). The Committee may also determine whether a participant will be entitled to receive the value equivalent of any dividends paid during the performance period. However, a participant will only be entitled to receive an amount in respect of dividends paid on restricted stock that include performance-based goals to the extent the restricted stock has been earned by achievement of the corresponding performance criteria.</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restricted stock unit represents the right to receive from us, on the respective scheduled vesting or payment date for such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 one or more shares of common stock. An award of restricted stock units may be subject to the attainment of specified performance goals or targets, forfeitability provisions and such other terms and conditions as the Committee may determine, subject to the provisions of the Plan. To the extent an award of restricted stock units is intended to qualify as performance-based compensation under Section 162(m), it must be granted subject to the attainment of performance goals and meet the additional requirements imposed by Section 162(m). The Committee may also determine whether a participant will be entitled to receive the value equivalent of any dividends paid during the performance period. However, a participant will only be entitled to receive an amount in respect of dividends paid on shares underlying restricted stock units that include performance-based goals to the extent the restricted stock units have been earned by achievement of the corresponding performance criteria.</w:t>
      </w:r>
    </w:p>
    <w:p>
      <w:pPr>
        <w:spacing w:after="0" w:line="1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Performance Shares, Performance Units and Cash-Based Awards. </w:t>
      </w:r>
      <w:r>
        <w:rPr>
          <w:rFonts w:ascii="Arial" w:cs="Arial" w:eastAsia="Arial" w:hAnsi="Arial"/>
          <w:sz w:val="16"/>
          <w:szCs w:val="16"/>
          <w:color w:val="auto"/>
        </w:rPr>
        <w:t>Performance shares, performance units and cash-based awards may be granted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subject to such terms and conditions as determined by the Committee at the time of grant and as set forth in the award agreement. The Committee will set performance goals, which, depending on the extent to which they are met, will determine the number and/or value of the performance shares/units and cash-based awards that will be paid out to the participant and whether a participant will be entitled to receive the value equivalent of any dividends paid during the performance period. However, a participant will only be entitled to receive an amount in respect of dividends paid on shares to the extent the underlying performance shares or performance units have been earned by achievement of the corresponding performance criteria.</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Participants will receive payment of the value of performance shares/units earned after the end of the performance period. Payment of performance shares/units and cash-based awards will be made in shares, cash or a combination thereof that have an aggregate fair market value equal to the value of the earned performance shares/units and cash-based awards at the close of the applicable performance period as the Committee determines. Shares may be granted subject to any restrictions deemed appropriate by the Committee.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Plan also authorizes the Committee to grant participants awards of common stock and other awards that are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payable in, valued in whole or in part by reference to, or are otherwise based on the value of, or the appreciation in value of, shares of our common stock (other stock-based awards). The Committee has discretion to determine the participants to whom other stock-based awards are to be made, the times at which such awards are to be made, the sizes of such awards, the form of payment, and all other conditions of such awards, including any restrictions, deferral periods or performance requirements. The Committee may also determine whether a participant will be entitled to receive the value equivalent of any dividends paid during the performance period. However, a participant will only be entitled to receive an amount in respect of dividends paid on shares underlying stock-based awards that include performance-based goals to the extent the stock-based awards have been earned by achievement of the corresponding performance criteria.</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Performance-Based Compensation. </w:t>
      </w:r>
      <w:r>
        <w:rPr>
          <w:rFonts w:ascii="Arial" w:cs="Arial" w:eastAsia="Arial" w:hAnsi="Arial"/>
          <w:sz w:val="17"/>
          <w:szCs w:val="17"/>
          <w:color w:val="auto"/>
        </w:rPr>
        <w:t>Awards may be granted to employees who are “covered employees” under Section 162(m) that are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“performance-based compensation” so as to preserve the tax deductibility of the awards for federal income tax purposes. These performance-based awards may be either equity or cash awards, or a combination of both. Holders are only entitled to receive payment for a Section 162(m) performance-based award for any given performance period to the extent that pre-established performance goals set by the Committee are satisfied. These pre-established performance goals must be based on one or more of the following performance criteria:</w:t>
      </w:r>
    </w:p>
    <w:p>
      <w:pPr>
        <w:spacing w:after="0" w:line="17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return on capital, return on invested capital, and return on equity, sales or revenue);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free cash flow, free cash flow margin, and cash flow return on capital or investments);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200" w:lineRule="exact"/>
        <w:rPr>
          <w:sz w:val="20"/>
          <w:szCs w:val="20"/>
          <w:color w:val="auto"/>
        </w:rPr>
      </w:pPr>
    </w:p>
    <w:p>
      <w:pPr>
        <w:spacing w:after="0" w:line="22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 respect to particular performance-based awards, the Committee is permitted to make certain equitable and objectively determinable adjustments to the performance goals; provided, that any awards that are intended to qualify as “performance-based compensation” must be made in accordance with the requirements of Section 162(m). Upon certification of achievement of the performance goals for a particular performance period set forth in an award that is intended to qualify as “performance-based compensation,” the Committee may reduce or eliminate, but not increase, the amount specified in the original award. Generally, a holder of a performance-based award must be employed by or providing services to us throughout an applicable performance period in order to be eligible to receive any payment pursuant to an award that is intended to qualify as “performance-based compensation.”</w:t>
      </w:r>
    </w:p>
    <w:p>
      <w:pPr>
        <w:spacing w:after="0" w:line="16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Except as otherwise provided in an award agreement or permitted by the Committee, no award may be transferred other than by will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 descent and distribution or, in the case of certain types of awards, to a trust of which the award recipient is the sole beneficiary for his or her lifetime or pursuant to a domestic relations order.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Equitable adjustments to the terms of the Plan and any awards will be made as necessary to reflect any stock splits, spin-offs,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dividends and similar transactions.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The Committee may, at any time and from time to time, alter, amend, modify, suspend, or terminate the Plan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provided, however, that:</w:t>
      </w:r>
    </w:p>
    <w:p>
      <w:pPr>
        <w:spacing w:after="0" w:line="166" w:lineRule="exact"/>
        <w:rPr>
          <w:sz w:val="20"/>
          <w:szCs w:val="20"/>
          <w:color w:val="auto"/>
        </w:rPr>
      </w:pPr>
    </w:p>
    <w:p>
      <w:pPr>
        <w:ind w:left="660" w:right="20" w:hanging="328"/>
        <w:spacing w:after="0" w:line="25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without the prior approval of our stockholders, options and stock appreciation rights issued under the Plan will not be repriced, replaced or regranted through cancellation, whether in exchange for cash or another type of award, by lowering the exercise price of a previously granted option or the grant price of a previously granted stock appreciation right or by replacing a previously granted option or stock appreciation right with a new option with a lower option price or a new stock appreciation right with a lower grant price; and</w:t>
      </w:r>
    </w:p>
    <w:p>
      <w:pPr>
        <w:spacing w:after="0" w:line="2"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our stockholders in accordance with applicable law, regulation or exchange requirement.</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Unless otherwise provided in the award agreement, in the event of a change of control of our Company, as defined in the Plan, all</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become fully vested and exercisable, all restrictions or limitations on any awards will generally lapse and, all performance criteria and other conditions relating to the payment of awards will generally be deemed to be achieved based on targeted performance being attained as of the effective date of the Change of Control.</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Payment of Withholding Taxes. </w:t>
      </w:r>
      <w:r>
        <w:rPr>
          <w:rFonts w:ascii="Arial" w:cs="Arial" w:eastAsia="Arial" w:hAnsi="Arial"/>
          <w:sz w:val="17"/>
          <w:szCs w:val="17"/>
          <w:color w:val="auto"/>
        </w:rPr>
        <w:t>We may withhold from any payments or stock issuances under the Plan, or collect as a condition of payment, any taxes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to be withheld. Subject to the Committee’s right to approve, any award recipient may, but is not required to, satisfy his or her withholding tax obligation by electing to deliver currently owned shares of our common stock or to have us withhold, from the shares the participant would otherwise receive, shares of our common stock, in each case having a value equal to the minimum amount required to be withheld.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believes that under present U.S. federal income tax laws the following are the U.S. federal income tax consequences generally arising with respect to awards under the Plan.</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a holder is granted a nonqualified stock option under the Plan, the holder will not have taxable income on the grant of the option. Generally, the holder will be treated as receiving compensation (taxable as ordinary income and subject to applicable withholding and employment taxes) at the time of exercise in an amount equal to the fair market value of a share of our common stock at such time, less the exercise price paid. The holder’s basis in the common stock for purposes of determining gain or loss on a subsequent sale or disposition of such shares generally will be the fair market value of our common stock on the date the holder exercises such option. Any subsequent gain or loss generally will be taxable as a capital gain or loss. We generally should be entitled to a federal income tax deduction at the time and for the same amount as the holder recognizes ordinary income.</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holder of an incentive stock option will not recognize taxable income upon grant. Additionally, if the applicable employment-related requirements are met, the holder will not recognize taxable income at the time of exercise. However, the excess of the fair market value of our common stock received over the option price is an item of tax preference income potentially subject to the alternative minimum tax. If any of the requirements for incentive stock options under the Code are not met, the incentive stock option will be treated as a nonqualified stock option and the tax consequences described above for nonqualified stock options will apply. Once an incentive stock option has been exercised, if the stock acquired upon exercise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excess of the fair market value on the date of exercise over the exercise price (less any diminution in value of the stock after exercise) will be treated as compensation (taxed as ordinary income and subject to withholding and employment taxes) and we will be entitled to a deduction to the extent of the amount so included in the income of the holder. Appreciation in the stock subsequent to the exercise date will be taxed as long-term or short-term capital gain, depending on whether the stock was held for more than one year after the exercise date.</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current federal income tax consequences of other awards authorized under the Plan generally follow certain basic patterns: SARs are taxed and deductible in substantially the same manner as nonqualified stock options; restricted stock subject to a substantial risk of forfeiture results in income recognition (and withholding and employment taxes) equal to the excess of the fair market value over the price paid, if any, only at the time the restrictions lapse (unless the recipient elects to accelerate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recognition as of the date of grant through an election under Section 83(b)); restricted stock units, other stock-based awards and other types of awards are generally subject to tax at the time of payment based on the fair market value of the award on that date. Compensation otherwise effectively deferred is taxed when paid. In each of the foregoing cases, we will generally have a corresponding deduction at the time the holder recognizes income, subject to Section 162(m) with respect to covered employees.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Section 162(m) denies a deduction to any publicly held corporation for compensation paid to covered employees in a taxable year to the extent that compensation to such covered employee exceeds $1,000,000. Qualified “performance-based compensation” is disregarded for purposes of the deduction limitation. The Plan has been designed to meet the “qualified performance-based compensation” requirements of Section 162(m), but it is possible that compensation attributable to awards under the Plan (when combined with all other types of compensation received by a covered employee from us or because of other factors) may not comply with all of the requirements of Section 162(m), thereby preventing us from taking a deduction.</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on a change of control of our Company, the exercisability or vesting of an award is accelerated, any excess on the date of the change of control of the fair market value of the shares or cash issued under accelerated awards over the purchase price of such shares, if any, may be characterized as “parachute payments” (within the meaning of Section 280G) if the sum of such amounts and any other such contingent payments received by the employee equals or exceeds an amount equal to three times the “base amount” for such employee. The base amount generally is the average of the annual compensation of such employee for the five years ending before the year in which such change in ownership or control occurs. An “excess parachute payment,” with respect to any employee, is the excess of the parachute payments to such person, in the aggregate, over and above such person’s base amount. If the amounts received by an employee upon a change-in-control are characterized as parachute payments, such employee will be subject to a 20 percent excise tax on the excess parachute payment and we will be denied any deduction with respect to such excess parachute payment. The foregoing provides only a very general description of the application of U.S. federal income tax laws to awards under the Plan. The summary does not address the effects of foreign, state and local tax laws.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types and amounts of benefits that will be awarded under the amended Plan are not currently determinable. Awards granted under the Plan are within the discretion of the Committee, and the Committee has not determined future awards or who might receive them. Information on equity-based awards and cash-based awards recently granted under the Plan to each of our named executive officers is provided under the headings “Summary Compensation Table” and “Grants of Plan-Based Awards During Fiscal Year 2014.” The closing price for the Common Stock on the NASDAQ Global Select Market on October 1, 2014, was $23.88.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Approval of the Amendment requires the affirmative vote of a majority of the shares of our common stock present or represented, and entitled to vote thereon,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 to approve the Amendment.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316" w:lineRule="exact"/>
        <w:rPr>
          <w:sz w:val="20"/>
          <w:szCs w:val="20"/>
          <w:color w:val="auto"/>
        </w:rPr>
      </w:pPr>
    </w:p>
    <w:p>
      <w:pPr>
        <w:ind w:left="40" w:right="960"/>
        <w:spacing w:after="0" w:line="418" w:lineRule="auto"/>
        <w:rPr>
          <w:sz w:val="20"/>
          <w:szCs w:val="20"/>
          <w:color w:val="auto"/>
        </w:rPr>
      </w:pPr>
      <w:r>
        <w:rPr>
          <w:rFonts w:ascii="Arial" w:cs="Arial" w:eastAsia="Arial" w:hAnsi="Arial"/>
          <w:sz w:val="14"/>
          <w:szCs w:val="14"/>
          <w:color w:val="auto"/>
        </w:rPr>
        <w:t>Equity compensation plans approved by stockholders Equity compensation plans not approved by stockholders 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20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0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warrants and rights (2)</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6"/>
        </w:trPr>
        <w:tc>
          <w:tcPr>
            <w:tcW w:w="21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1,351,001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713,223</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140" w:type="dxa"/>
            <w:vAlign w:val="bottom"/>
            <w:gridSpan w:val="2"/>
          </w:tcPr>
          <w:p>
            <w:pPr>
              <w:jc w:val="right"/>
              <w:ind w:right="28"/>
              <w:spacing w:after="0"/>
              <w:rPr>
                <w:sz w:val="20"/>
                <w:szCs w:val="20"/>
                <w:color w:val="auto"/>
              </w:rPr>
            </w:pPr>
            <w:r>
              <w:rPr>
                <w:rFonts w:ascii="Arial" w:cs="Arial" w:eastAsia="Arial" w:hAnsi="Arial"/>
                <w:sz w:val="14"/>
                <w:szCs w:val="14"/>
                <w:color w:val="auto"/>
              </w:rPr>
              <w:t>1,351,001</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80"/>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0"/>
                <w:szCs w:val="20"/>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713,223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-702310</wp:posOffset>
            </wp:positionV>
            <wp:extent cx="724662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4280" w:space="720"/>
            <w:col w:w="6420"/>
          </w:cols>
          <w:pgMar w:left="240" w:top="125"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120" w:hanging="316"/>
        <w:spacing w:after="0" w:line="258"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733,369 RSUs and 372,332 performance units, which have no exercise price. The amount included assumes that target level performance is achieved under outstanding performance units for which performance has not yet been determined.</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75"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12, 2015, if the proposal is to be considered for inclusion in the Company’s proxy statement and proxy card for such meeting.</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the Company’s Bylaws, any stockholder who intends to present a proposal at the Company’s 2014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2014 (without exhibits or documents incorporated by reference) including any financial statements and schedules and exhibits thereto, may be obtained without charge by written request to Kevin S. Cavanah, Vice President Finance, Matrix Service Company, 5100 East Skelly Drive, Suite 700, Tulsa, Oklahoma 74135 or by visiting the “Investors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13, 2014</w:t>
      </w:r>
    </w:p>
    <w:p>
      <w:pPr>
        <w:spacing w:after="0" w:line="167"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our form of proxy and our 2014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color w:val="auto"/>
        </w:rPr>
        <w:t>.</w:t>
      </w:r>
      <w:r>
        <w:rPr>
          <w:rFonts w:ascii="Arial" w:cs="Arial" w:eastAsia="Arial" w:hAnsi="Arial"/>
          <w:sz w:val="17"/>
          <w:szCs w:val="17"/>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75831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10,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AND INCENTIVE COMPENSATION PLAN</w:t>
      </w:r>
    </w:p>
    <w:p>
      <w:pPr>
        <w:spacing w:after="0" w:line="207" w:lineRule="exact"/>
        <w:rPr>
          <w:sz w:val="20"/>
          <w:szCs w:val="20"/>
          <w:color w:val="auto"/>
        </w:rPr>
      </w:pPr>
    </w:p>
    <w:p>
      <w:pPr>
        <w:ind w:right="40" w:firstLine="656"/>
        <w:spacing w:after="0" w:line="258" w:lineRule="auto"/>
        <w:tabs>
          <w:tab w:leader="none" w:pos="963"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Introduction</w:t>
      </w:r>
      <w:r>
        <w:rPr>
          <w:rFonts w:ascii="Arial" w:cs="Arial" w:eastAsia="Arial" w:hAnsi="Arial"/>
          <w:sz w:val="18"/>
          <w:szCs w:val="18"/>
          <w:color w:val="auto"/>
        </w:rPr>
        <w:t>. On October 1, 2012, the Board of Directors of Matrix Service Company (the “Company”) adopted, and on November 15, 2012,</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 of the Company approved, the Matrix Service Company 2012 Stock and Incentive Compensation Plan (the “2012 Plan”). The 2012 Plan permits the granting of awards, including stock options, stock appreciation rights, restricted stock, restricted stock units, performance shares, performance units, cash-based awards and other stock-based awards, to employees (including officers and directors who are employees) and non-employee directors of the Company or its subsidiaries.</w:t>
      </w:r>
    </w:p>
    <w:p>
      <w:pPr>
        <w:spacing w:after="0" w:line="188"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Under the terms of the 2012 Plan, a total of 1,300,000 shares of common stock of the Company are available for issuance pursuant to awards granted under the 2012 Plan (subject to adjustment in the event of certain corporate transactions such as a stock split, etc.).</w:t>
      </w:r>
    </w:p>
    <w:p>
      <w:pPr>
        <w:spacing w:after="0" w:line="143" w:lineRule="exact"/>
        <w:rPr>
          <w:sz w:val="20"/>
          <w:szCs w:val="20"/>
          <w:color w:val="auto"/>
        </w:rPr>
      </w:pPr>
    </w:p>
    <w:p>
      <w:pPr>
        <w:ind w:right="120" w:firstLine="656"/>
        <w:spacing w:after="0" w:line="258" w:lineRule="auto"/>
        <w:tabs>
          <w:tab w:leader="none" w:pos="963"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primary purpose of this Amendment is to increase the total number of shares of common stock of the Company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pursuant to awards granted under the 2012 Plan from 1,300,000 shares to 2,300,000 shares, which will enable the Company to continue to grant awards under the 2012 Plan to attract and retain employees of the Company and its subsidiaries. In addition, this Amendment further clarifies (i) the prohibition on repricing Options and SARs and (ii) the prohibition on paying dividends and dividend equivalents in respect of any performance-based equity award unless the corresponding performance criteria are satisfied.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 2012 Plan shall be amended as follows:</w:t>
      </w:r>
    </w:p>
    <w:p>
      <w:pPr>
        <w:spacing w:after="0" w:line="229" w:lineRule="exact"/>
        <w:rPr>
          <w:rFonts w:ascii="Arial" w:cs="Arial" w:eastAsia="Arial" w:hAnsi="Arial"/>
          <w:sz w:val="18"/>
          <w:szCs w:val="18"/>
          <w:color w:val="auto"/>
        </w:rPr>
      </w:pPr>
    </w:p>
    <w:p>
      <w:pPr>
        <w:ind w:right="260" w:firstLine="1305"/>
        <w:spacing w:after="0" w:line="277" w:lineRule="auto"/>
        <w:tabs>
          <w:tab w:leader="none" w:pos="1541"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first and third sentences of the first paragraph of Section 4.1 of the 2012 Plan, the number “one million three hundred thousand (1,300,000)” is deleted and the number “two million three hundred thousand (2,300,000)” is substituted therefor.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Section 15.1(a) of the 2012 Plan is hereby amended and restated in its entirety to read as follows: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Without the prior approval of the Company’s stockholders and except as provided in Section 4.2, Options and SARs issued under this Plan will not be repriced, replaced or regranted (i) through cancellation, whether in exchange for cash or another type of award, (ii) by lowering the Option Price of a previously granted Option or the Grant Price of a previously granted SAR or (iii) by replacing a previously granted Option or SAR with a new Option with a lower Option Price or a new SAR with a lower Grant Price.”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A new Section 6.12 is hereby added to the 2012 Plan to read in its entirety as follows: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6.12. Dividends and Dividend Equivalents.</w:t>
      </w:r>
      <w:r>
        <w:rPr>
          <w:rFonts w:ascii="Arial" w:cs="Arial" w:eastAsia="Arial" w:hAnsi="Arial"/>
          <w:sz w:val="18"/>
          <w:szCs w:val="18"/>
          <w:color w:val="auto"/>
        </w:rPr>
        <w:t xml:space="preserve"> In no event shall dividends or dividend equivalents be granted alone or in conjunction with any Option under the Plan.”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A new Section 7.10 is hereby added to the 2012 Plan to read in its entirety as follows:</w:t>
      </w:r>
    </w:p>
    <w:p>
      <w:pPr>
        <w:spacing w:after="0" w:line="22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7.10. Dividends and Dividend Equivalents.</w:t>
      </w:r>
      <w:r>
        <w:rPr>
          <w:rFonts w:ascii="Arial" w:cs="Arial" w:eastAsia="Arial" w:hAnsi="Arial"/>
          <w:sz w:val="18"/>
          <w:szCs w:val="18"/>
          <w:color w:val="auto"/>
        </w:rPr>
        <w:t xml:space="preserve"> In no event shall dividends or dividend equivalents be granted alone or in conjunction with any SAR under the Plan.”</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 A new proviso is added to the end of the first sentence of Section 8.7 of the 2012 Plan to read in its entirety as follows: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provided, however, that a Participant shall only be entitled to receive an amount in respect of dividends or dividend equivalents paid on Restricted Stock or Restricted Stock Units that are subject to performance criteria to the extent the underlying Restricted Stock/Restricted Stock Units have been earned by achievement of the corresponding performance criteria.”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A new Section 10.8 is hereby added to the 2012 Plan to read in its entirety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10.8. Dividends and Other Distributions.</w:t>
      </w:r>
      <w:r>
        <w:rPr>
          <w:rFonts w:ascii="Arial" w:cs="Arial" w:eastAsia="Arial" w:hAnsi="Arial"/>
          <w:sz w:val="18"/>
          <w:szCs w:val="18"/>
          <w:color w:val="auto"/>
        </w:rPr>
        <w:t xml:space="preserve"> During the Period of Restriction, Participants holding Stock-Based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Awards may, if the Committee so determines and provides in the Participant’s Award Agreement, be credited with dividends paid with respect to the underlying Shares or dividend equivalents while they are so held in a manner determined by the Committee in its sole discretion; provided, however, that a Participant shall only be entitled to receive an amount in respect of dividends or dividend equivalents paid on Stock-Based Awards that are subject to performance criteria to the extent the Shares underlying the Stock-Based Award have been earned by achievement of the corresponding performance criteria. The Committee may apply any restrictions to the dividends or dividend equivalents that the Committee deems appropriate. The Committee, in its sole discretion, may determine the form of payment of dividends or dividend equivalents, including cash, Shares, Restricted Stock or Restricted Stock Units.”</w:t>
      </w:r>
    </w:p>
    <w:p>
      <w:pPr>
        <w:spacing w:after="0" w:line="377"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Capitalized terms used herein without definition shall have the meanings ascribed to them in the 2012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w:t>
      </w:r>
      <w:r>
        <w:rPr>
          <w:rFonts w:ascii="Arial" w:cs="Arial" w:eastAsia="Arial" w:hAnsi="Arial"/>
          <w:sz w:val="18"/>
          <w:szCs w:val="18"/>
          <w:color w:val="auto"/>
        </w:rPr>
        <w:t>. Except as specifically set forth herein, this Amendment does not change the terms of the 2012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shall take effect and be adopted on the date that the stockholders of the Company approve this Amendment.</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320"/>
          </w:cols>
          <w:pgMar w:left="240" w:top="125"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848985" cy="7572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2"/>
    </w:lvl>
    <w:lvl w:ilvl="1">
      <w:lvlJc w:val="left"/>
      <w:lvlText w:val="(%2)"/>
      <w:numFmt w:val="decimal"/>
      <w:start w:val="5"/>
    </w:lvl>
  </w:abstractNum>
  <w:abstractNum w:abstractNumId="30">
    <w:nsid w:val="2A487CB0"/>
    <w:multiLevelType w:val="hybridMultilevel"/>
    <w:lvl w:ilvl="0">
      <w:lvlJc w:val="left"/>
      <w:lvlText w:val="(%1)"/>
      <w:numFmt w:val="decimal"/>
      <w:start w:val="7"/>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2"/>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lvl w:ilvl="1">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2"/>
    </w:lvl>
    <w:lvl w:ilvl="1">
      <w:lvlJc w:val="left"/>
      <w:lvlText w:val="(%2)"/>
      <w:numFmt w:val="lowerLetter"/>
      <w:start w:val="1"/>
    </w:lvl>
  </w:abstractNum>
  <w:abstractNum w:abstractNumId="54">
    <w:nsid w:val="23F9C13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2019-12-06T03:43:00Z</dcterms:created>
  <dcterms:modified xsi:type="dcterms:W3CDTF">2019-12-06T03:43:00Z</dcterms:modified>
</cp:coreProperties>
</file>