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422"/>
        <w:spacing w:after="0"/>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December 31, 2013</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hanging="449"/>
        <w:spacing w:after="0"/>
        <w:tabs>
          <w:tab w:leader="none" w:pos="72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277"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-7620</wp:posOffset>
            </wp:positionV>
            <wp:extent cx="781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1-15461</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MATRIX SERVICE COMPANY</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380"/>
          </w:cols>
          <w:pgMar w:left="240" w:top="233" w:right="279" w:bottom="1440" w:gutter="0" w:footer="0" w:header="0"/>
        </w:sectPr>
      </w:pPr>
    </w:p>
    <w:p>
      <w:pPr>
        <w:spacing w:after="0" w:line="149" w:lineRule="exact"/>
        <w:rPr>
          <w:sz w:val="24"/>
          <w:szCs w:val="24"/>
          <w:color w:val="auto"/>
        </w:rPr>
      </w:pPr>
    </w:p>
    <w:p>
      <w:pPr>
        <w:ind w:left="21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81" w:lineRule="exact"/>
        <w:rPr>
          <w:sz w:val="24"/>
          <w:szCs w:val="24"/>
          <w:color w:val="auto"/>
        </w:rPr>
      </w:pPr>
    </w:p>
    <w:p>
      <w:pPr>
        <w:sectPr>
          <w:pgSz w:w="11900" w:h="16838" w:orient="portrait"/>
          <w:cols w:equalWidth="0" w:num="2">
            <w:col w:w="7080" w:space="720"/>
            <w:col w:w="3580"/>
          </w:cols>
          <w:pgMar w:left="240" w:top="233" w:right="279" w:bottom="1440" w:gutter="0" w:footer="0" w:header="0"/>
          <w:type w:val="continuous"/>
        </w:sectPr>
      </w:pPr>
    </w:p>
    <w:p>
      <w:pPr>
        <w:ind w:left="19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420" w:space="720"/>
            <w:col w:w="4240"/>
          </w:cols>
          <w:pgMar w:left="240" w:top="233"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5100 East Skelly Drive, Suite 700, Tulsa, Oklahoma 74135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74"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 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6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62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246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6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6220" w:type="dxa"/>
            <w:vAlign w:val="bottom"/>
          </w:tcPr>
          <w:p>
            <w:pPr>
              <w:ind w:left="400"/>
              <w:spacing w:after="0"/>
              <w:rPr>
                <w:sz w:val="20"/>
                <w:szCs w:val="20"/>
                <w:color w:val="auto"/>
              </w:rPr>
            </w:pPr>
            <w:r>
              <w:rPr>
                <w:rFonts w:ascii="Arial" w:cs="Arial" w:eastAsia="Arial" w:hAnsi="Arial"/>
                <w:sz w:val="18"/>
                <w:szCs w:val="18"/>
                <w:color w:val="auto"/>
              </w:rPr>
              <w:t>o</w:t>
            </w:r>
          </w:p>
        </w:tc>
        <w:tc>
          <w:tcPr>
            <w:tcW w:w="246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05"/>
        </w:trPr>
        <w:tc>
          <w:tcPr>
            <w:tcW w:w="828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4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r>
    </w:tbl>
    <w:p>
      <w:pPr>
        <w:spacing w:after="0" w:line="128" w:lineRule="exact"/>
        <w:rPr>
          <w:sz w:val="24"/>
          <w:szCs w:val="24"/>
          <w:color w:val="auto"/>
        </w:rPr>
      </w:pPr>
    </w:p>
    <w:p>
      <w:pPr>
        <w:spacing w:after="0"/>
        <w:rPr>
          <w:sz w:val="20"/>
          <w:szCs w:val="20"/>
          <w:color w:val="auto"/>
        </w:rPr>
      </w:pPr>
      <w:r>
        <w:rPr>
          <w:rFonts w:ascii="Arial" w:cs="Arial" w:eastAsia="Arial" w:hAnsi="Arial"/>
          <w:sz w:val="16"/>
          <w:szCs w:val="16"/>
          <w:color w:val="auto"/>
        </w:rPr>
        <w:t>As of January 31, 2014 there were 27,888,217 shares of the Company’s common stock, $0.01 par value per share, issued and 26,341,109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3"/>
          </w:tcPr>
          <w:p>
            <w:pPr>
              <w:ind w:left="140"/>
              <w:spacing w:after="0"/>
              <w:rPr>
                <w:sz w:val="20"/>
                <w:szCs w:val="20"/>
                <w:color w:val="auto"/>
              </w:rPr>
            </w:pPr>
            <w:r>
              <w:rPr>
                <w:rFonts w:ascii="Arial" w:cs="Arial" w:eastAsia="Arial" w:hAnsi="Arial"/>
                <w:sz w:val="14"/>
                <w:szCs w:val="14"/>
                <w:b w:val="1"/>
                <w:bCs w:val="1"/>
                <w:color w:val="auto"/>
                <w:w w:val="95"/>
              </w:rPr>
              <w:t>PAGE</w:t>
            </w:r>
          </w:p>
        </w:tc>
      </w:tr>
      <w:tr>
        <w:trPr>
          <w:trHeight w:val="215"/>
        </w:trPr>
        <w:tc>
          <w:tcPr>
            <w:tcW w:w="1020" w:type="dxa"/>
            <w:vAlign w:val="bottom"/>
            <w:gridSpan w:val="3"/>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gridSpan w:val="9"/>
          </w:tcPr>
          <w:p>
            <w:pPr>
              <w:jc w:val="center"/>
              <w:ind w:right="2500"/>
              <w:spacing w:after="0"/>
              <w:rPr>
                <w:sz w:val="20"/>
                <w:szCs w:val="20"/>
                <w:color w:val="auto"/>
              </w:rPr>
            </w:pPr>
            <w:r>
              <w:rPr>
                <w:rFonts w:ascii="Arial" w:cs="Arial" w:eastAsia="Arial" w:hAnsi="Arial"/>
                <w:sz w:val="18"/>
                <w:szCs w:val="18"/>
                <w:b w:val="1"/>
                <w:bCs w:val="1"/>
                <w:color w:val="auto"/>
              </w:rPr>
              <w:t>FINANCIAL INFORMATION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2"/>
        </w:trPr>
        <w:tc>
          <w:tcPr>
            <w:tcW w:w="5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440" w:type="dxa"/>
            <w:vAlign w:val="bottom"/>
            <w:gridSpan w:val="2"/>
          </w:tcPr>
          <w:p>
            <w:pPr>
              <w:spacing w:after="0"/>
              <w:rPr>
                <w:sz w:val="24"/>
                <w:szCs w:val="24"/>
                <w:color w:val="auto"/>
              </w:rPr>
            </w:pPr>
          </w:p>
        </w:tc>
        <w:tc>
          <w:tcPr>
            <w:tcW w:w="956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60" w:type="dxa"/>
            <w:vAlign w:val="bottom"/>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Income for the Three and Six Months Ended December 31, 2013 and 2012</w:t>
              </w:r>
            </w:hyperlink>
          </w:p>
        </w:tc>
        <w:tc>
          <w:tcPr>
            <w:tcW w:w="1300" w:type="dxa"/>
            <w:vAlign w:val="bottom"/>
            <w:gridSpan w:val="3"/>
          </w:tcPr>
          <w:p>
            <w:pPr>
              <w:spacing w:after="0"/>
              <w:rPr>
                <w:sz w:val="24"/>
                <w:szCs w:val="24"/>
                <w:color w:val="auto"/>
              </w:rPr>
            </w:pPr>
          </w:p>
        </w:tc>
        <w:tc>
          <w:tcPr>
            <w:tcW w:w="380" w:type="dxa"/>
            <w:vAlign w:val="bottom"/>
            <w:gridSpan w:val="2"/>
          </w:tcPr>
          <w:p>
            <w:pPr>
              <w:jc w:val="center"/>
              <w:ind w:left="211"/>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60" w:type="dxa"/>
            <w:vAlign w:val="bottom"/>
            <w:gridSpan w:val="15"/>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Condensed Consolidated Statements of Comprehensive Income for the Three and Six Months Ended December 31, 2013 and 2012</w:t>
              </w:r>
            </w:hyperlink>
          </w:p>
        </w:tc>
        <w:tc>
          <w:tcPr>
            <w:tcW w:w="380" w:type="dxa"/>
            <w:vAlign w:val="bottom"/>
            <w:gridSpan w:val="2"/>
          </w:tcPr>
          <w:p>
            <w:pPr>
              <w:jc w:val="center"/>
              <w:ind w:left="211"/>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40" w:type="dxa"/>
            <w:vAlign w:val="bottom"/>
            <w:gridSpan w:val="9"/>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 xml:space="preserve">Condensed Consolidated Balance Sheets as of December 31, 2013 and June 30, </w:t>
              </w:r>
            </w:hyperlink>
            <w:r>
              <w:rPr>
                <w:rFonts w:ascii="Arial" w:cs="Arial" w:eastAsia="Arial" w:hAnsi="Arial"/>
                <w:sz w:val="18"/>
                <w:szCs w:val="18"/>
                <w:color w:val="0000FF"/>
                <w:w w:val="88"/>
              </w:rPr>
              <w:t>2013</w:t>
            </w:r>
          </w:p>
        </w:tc>
        <w:tc>
          <w:tcPr>
            <w:tcW w:w="328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jc w:val="center"/>
              <w:ind w:left="211"/>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0" w:type="dxa"/>
            <w:vAlign w:val="bottom"/>
            <w:gridSpan w:val="11"/>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Cash Flows for the Six Months Ended December 31, 2013 and 2012</w:t>
              </w:r>
            </w:hyperlink>
          </w:p>
        </w:tc>
        <w:tc>
          <w:tcPr>
            <w:tcW w:w="1760" w:type="dxa"/>
            <w:vAlign w:val="bottom"/>
            <w:gridSpan w:val="4"/>
          </w:tcPr>
          <w:p>
            <w:pPr>
              <w:spacing w:after="0"/>
              <w:rPr>
                <w:sz w:val="24"/>
                <w:szCs w:val="24"/>
                <w:color w:val="auto"/>
              </w:rPr>
            </w:pPr>
          </w:p>
        </w:tc>
        <w:tc>
          <w:tcPr>
            <w:tcW w:w="380" w:type="dxa"/>
            <w:vAlign w:val="bottom"/>
            <w:gridSpan w:val="2"/>
          </w:tcPr>
          <w:p>
            <w:pPr>
              <w:jc w:val="center"/>
              <w:ind w:left="211"/>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20" w:type="dxa"/>
            <w:vAlign w:val="bottom"/>
            <w:gridSpan w:val="13"/>
          </w:tcPr>
          <w:p>
            <w:pPr>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Condensed Consolidated Statements of Changes in Stockholders’ Equity for the Six Months Ended December 30, 2013 and 2012</w:t>
              </w:r>
            </w:hyperlink>
          </w:p>
        </w:tc>
        <w:tc>
          <w:tcPr>
            <w:tcW w:w="240" w:type="dxa"/>
            <w:vAlign w:val="bottom"/>
            <w:gridSpan w:val="2"/>
          </w:tcPr>
          <w:p>
            <w:pPr>
              <w:spacing w:after="0"/>
              <w:rPr>
                <w:sz w:val="24"/>
                <w:szCs w:val="24"/>
                <w:color w:val="auto"/>
              </w:rPr>
            </w:pPr>
          </w:p>
        </w:tc>
        <w:tc>
          <w:tcPr>
            <w:tcW w:w="380" w:type="dxa"/>
            <w:vAlign w:val="bottom"/>
            <w:gridSpan w:val="2"/>
          </w:tcPr>
          <w:p>
            <w:pPr>
              <w:jc w:val="center"/>
              <w:ind w:left="211"/>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7"/>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Notes to Condensed Consolidated Financial Statements</w:t>
              </w:r>
            </w:hyperlink>
          </w:p>
        </w:tc>
        <w:tc>
          <w:tcPr>
            <w:tcW w:w="5320" w:type="dxa"/>
            <w:vAlign w:val="bottom"/>
            <w:gridSpan w:val="6"/>
          </w:tcPr>
          <w:p>
            <w:pPr>
              <w:spacing w:after="0"/>
              <w:rPr>
                <w:sz w:val="24"/>
                <w:szCs w:val="24"/>
                <w:color w:val="auto"/>
              </w:rPr>
            </w:pPr>
          </w:p>
        </w:tc>
        <w:tc>
          <w:tcPr>
            <w:tcW w:w="240" w:type="dxa"/>
            <w:vAlign w:val="bottom"/>
            <w:gridSpan w:val="2"/>
          </w:tcPr>
          <w:p>
            <w:pPr>
              <w:spacing w:after="0"/>
              <w:rPr>
                <w:sz w:val="24"/>
                <w:szCs w:val="24"/>
                <w:color w:val="auto"/>
              </w:rPr>
            </w:pPr>
          </w:p>
        </w:tc>
        <w:tc>
          <w:tcPr>
            <w:tcW w:w="380" w:type="dxa"/>
            <w:vAlign w:val="bottom"/>
            <w:gridSpan w:val="2"/>
          </w:tcPr>
          <w:p>
            <w:pPr>
              <w:jc w:val="center"/>
              <w:ind w:left="211"/>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8</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5"/>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Management’s Discussion and Analysis of Financial Condition and Results of Operations</w:t>
              </w:r>
            </w:hyperlink>
          </w:p>
        </w:tc>
        <w:tc>
          <w:tcPr>
            <w:tcW w:w="380" w:type="dxa"/>
            <w:vAlign w:val="bottom"/>
            <w:gridSpan w:val="2"/>
          </w:tcPr>
          <w:p>
            <w:pPr>
              <w:jc w:val="center"/>
              <w:ind w:left="111"/>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17</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Quantitative and Qualitative Disclosures About Market Risk</w:t>
              </w:r>
            </w:hyperlink>
          </w:p>
        </w:tc>
        <w:tc>
          <w:tcPr>
            <w:tcW w:w="3100" w:type="dxa"/>
            <w:vAlign w:val="bottom"/>
            <w:gridSpan w:val="5"/>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27</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8"/>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Controls and Procedures</w:t>
              </w:r>
            </w:hyperlink>
          </w:p>
        </w:tc>
        <w:tc>
          <w:tcPr>
            <w:tcW w:w="5200" w:type="dxa"/>
            <w:vAlign w:val="bottom"/>
            <w:gridSpan w:val="7"/>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27</w:t>
              </w:r>
            </w:hyperlink>
          </w:p>
        </w:tc>
        <w:tc>
          <w:tcPr>
            <w:tcW w:w="160" w:type="dxa"/>
            <w:vAlign w:val="bottom"/>
          </w:tcPr>
          <w:p>
            <w:pPr>
              <w:spacing w:after="0"/>
              <w:rPr>
                <w:sz w:val="24"/>
                <w:szCs w:val="24"/>
                <w:color w:val="auto"/>
              </w:rPr>
            </w:pPr>
          </w:p>
        </w:tc>
      </w:tr>
      <w:tr>
        <w:trPr>
          <w:trHeight w:val="574"/>
        </w:trPr>
        <w:tc>
          <w:tcPr>
            <w:tcW w:w="680" w:type="dxa"/>
            <w:vAlign w:val="bottom"/>
            <w:tcBorders>
              <w:bottom w:val="single" w:sz="8" w:color="0000FF"/>
            </w:tcBorders>
            <w:gridSpan w:val="2"/>
          </w:tcPr>
          <w:p>
            <w:pPr>
              <w:spacing w:after="0"/>
              <w:rPr>
                <w:rFonts w:ascii="Arial" w:cs="Arial" w:eastAsia="Arial" w:hAnsi="Arial"/>
                <w:sz w:val="18"/>
                <w:szCs w:val="18"/>
                <w:b w:val="1"/>
                <w:bCs w:val="1"/>
                <w:color w:val="0000FF"/>
                <w:w w:val="99"/>
              </w:rPr>
            </w:pPr>
            <w:hyperlink w:anchor="page29">
              <w:r>
                <w:rPr>
                  <w:rFonts w:ascii="Arial" w:cs="Arial" w:eastAsia="Arial" w:hAnsi="Arial"/>
                  <w:sz w:val="18"/>
                  <w:szCs w:val="18"/>
                  <w:b w:val="1"/>
                  <w:bCs w:val="1"/>
                  <w:color w:val="0000FF"/>
                  <w:w w:val="99"/>
                </w:rPr>
                <w:t>PART II</w:t>
              </w:r>
            </w:hyperlink>
          </w:p>
        </w:tc>
        <w:tc>
          <w:tcPr>
            <w:tcW w:w="3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40" w:type="dxa"/>
            <w:vAlign w:val="bottom"/>
            <w:gridSpan w:val="9"/>
          </w:tcPr>
          <w:p>
            <w:pPr>
              <w:jc w:val="center"/>
              <w:ind w:right="2480"/>
              <w:spacing w:after="0"/>
              <w:rPr>
                <w:sz w:val="20"/>
                <w:szCs w:val="20"/>
                <w:color w:val="auto"/>
              </w:rPr>
            </w:pPr>
            <w:r>
              <w:rPr>
                <w:rFonts w:ascii="Arial" w:cs="Arial" w:eastAsia="Arial" w:hAnsi="Arial"/>
                <w:sz w:val="18"/>
                <w:szCs w:val="18"/>
                <w:b w:val="1"/>
                <w:bCs w:val="1"/>
                <w:color w:val="auto"/>
              </w:rPr>
              <w:t>OTHER INFORMATION</w:t>
            </w:r>
          </w:p>
        </w:tc>
        <w:tc>
          <w:tcPr>
            <w:tcW w:w="3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3"/>
          </w:tcPr>
          <w:p>
            <w:pPr>
              <w:spacing w:after="0"/>
              <w:rPr>
                <w:rFonts w:ascii="Arial" w:cs="Arial" w:eastAsia="Arial" w:hAnsi="Arial"/>
                <w:sz w:val="18"/>
                <w:szCs w:val="18"/>
                <w:color w:val="0000FF"/>
                <w:w w:val="85"/>
              </w:rPr>
            </w:pPr>
            <w:hyperlink w:anchor="page30">
              <w:r>
                <w:rPr>
                  <w:rFonts w:ascii="Arial" w:cs="Arial" w:eastAsia="Arial" w:hAnsi="Arial"/>
                  <w:sz w:val="18"/>
                  <w:szCs w:val="18"/>
                  <w:color w:val="0000FF"/>
                  <w:w w:val="85"/>
                </w:rPr>
                <w:t>Legal Proceedings</w:t>
              </w:r>
            </w:hyperlink>
          </w:p>
        </w:tc>
        <w:tc>
          <w:tcPr>
            <w:tcW w:w="8240" w:type="dxa"/>
            <w:vAlign w:val="bottom"/>
            <w:gridSpan w:val="12"/>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28</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3"/>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Risk Factors</w:t>
              </w:r>
            </w:hyperlink>
          </w:p>
        </w:tc>
        <w:tc>
          <w:tcPr>
            <w:tcW w:w="8240" w:type="dxa"/>
            <w:vAlign w:val="bottom"/>
            <w:gridSpan w:val="12"/>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28</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8"/>
          </w:tcPr>
          <w:p>
            <w:pP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Unregistered Sales of Equity Securities and Use of Proceeds</w:t>
              </w:r>
            </w:hyperlink>
          </w:p>
        </w:tc>
        <w:tc>
          <w:tcPr>
            <w:tcW w:w="5200" w:type="dxa"/>
            <w:vAlign w:val="bottom"/>
            <w:gridSpan w:val="7"/>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29</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8"/>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Defaults Upon Senior Securities</w:t>
              </w:r>
            </w:hyperlink>
          </w:p>
        </w:tc>
        <w:tc>
          <w:tcPr>
            <w:tcW w:w="5200" w:type="dxa"/>
            <w:vAlign w:val="bottom"/>
            <w:gridSpan w:val="7"/>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30</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4"/>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Mine Safety Disclosures</w:t>
              </w:r>
            </w:hyperlink>
          </w:p>
        </w:tc>
        <w:tc>
          <w:tcPr>
            <w:tcW w:w="540" w:type="dxa"/>
            <w:vAlign w:val="bottom"/>
          </w:tcPr>
          <w:p>
            <w:pPr>
              <w:spacing w:after="0"/>
              <w:rPr>
                <w:sz w:val="24"/>
                <w:szCs w:val="24"/>
                <w:color w:val="auto"/>
              </w:rPr>
            </w:pPr>
          </w:p>
        </w:tc>
        <w:tc>
          <w:tcPr>
            <w:tcW w:w="7240" w:type="dxa"/>
            <w:vAlign w:val="bottom"/>
            <w:gridSpan w:val="10"/>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30</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3"/>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Other Information</w:t>
              </w:r>
            </w:hyperlink>
          </w:p>
        </w:tc>
        <w:tc>
          <w:tcPr>
            <w:tcW w:w="460" w:type="dxa"/>
            <w:vAlign w:val="bottom"/>
          </w:tcPr>
          <w:p>
            <w:pPr>
              <w:spacing w:after="0"/>
              <w:rPr>
                <w:sz w:val="24"/>
                <w:szCs w:val="24"/>
                <w:color w:val="auto"/>
              </w:rPr>
            </w:pPr>
          </w:p>
        </w:tc>
        <w:tc>
          <w:tcPr>
            <w:tcW w:w="7780" w:type="dxa"/>
            <w:vAlign w:val="bottom"/>
            <w:gridSpan w:val="11"/>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30</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4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3"/>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Exhibits</w:t>
              </w:r>
            </w:hyperlink>
          </w:p>
        </w:tc>
        <w:tc>
          <w:tcPr>
            <w:tcW w:w="8240" w:type="dxa"/>
            <w:vAlign w:val="bottom"/>
            <w:gridSpan w:val="12"/>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30</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372"/>
        </w:trPr>
        <w:tc>
          <w:tcPr>
            <w:tcW w:w="1020" w:type="dxa"/>
            <w:vAlign w:val="bottom"/>
            <w:gridSpan w:val="3"/>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Signature</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30</w:t>
              </w:r>
            </w:hyperlink>
          </w:p>
        </w:tc>
        <w:tc>
          <w:tcPr>
            <w:tcW w:w="160" w:type="dxa"/>
            <w:vAlign w:val="bottom"/>
          </w:tcPr>
          <w:p>
            <w:pPr>
              <w:spacing w:after="0"/>
              <w:rPr>
                <w:sz w:val="24"/>
                <w:szCs w:val="24"/>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bl>
    <w:p>
      <w:pPr>
        <w:sectPr>
          <w:pgSz w:w="11900" w:h="16838" w:orient="portrait"/>
          <w:cols w:equalWidth="0" w:num="1">
            <w:col w:w="11160"/>
          </w:cols>
          <w:pgMar w:left="240" w:top="125" w:right="4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020" w:type="dxa"/>
            <w:vAlign w:val="bottom"/>
          </w:tcPr>
          <w:p>
            <w:pPr>
              <w:jc w:val="right"/>
              <w:ind w:right="72"/>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65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310,998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221,436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537,215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431,044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276,848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199,103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477,589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386,467</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59,626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44,577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19,333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13,561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34,047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27,881</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25,579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16,696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Income before income tax expense</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14,406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8,560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24,862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16,366</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state and foreign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4,095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7,999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6,246</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10,311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5,436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16,863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10,120</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10,306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5,436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16,858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10,120</w:t>
            </w:r>
          </w:p>
        </w:tc>
      </w:tr>
      <w:tr>
        <w:trPr>
          <w:trHeight w:val="67"/>
        </w:trPr>
        <w:tc>
          <w:tcPr>
            <w:tcW w:w="65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78"/>
        </w:trPr>
        <w:tc>
          <w:tcPr>
            <w:tcW w:w="6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0.39</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26,180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25,863</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26,884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26,204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26,772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26,172</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02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65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2012</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10,311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16,863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10,120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315</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9,834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5,284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16,688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10,435</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 attributable to Matrix Service Company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9,829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5,284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16,683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10,435</w:t>
            </w: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5"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4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8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63,750</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Accounts receivable, less allowances (December 31, 2013— $82 and June 30, 2013—$795)</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161,502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140,840</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92,212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73,773</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7,458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5,657</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2,988</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Income taxes receivable</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2,709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3,032</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5,981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6,234</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346,347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296,274</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at cost: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Land and buildings</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31,075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29,649</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78,115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69,998</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Transportation equipment</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41,214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34,366</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Office equipment and software</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18,426</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11,376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9,080</w:t>
            </w:r>
          </w:p>
        </w:tc>
      </w:tr>
      <w:tr>
        <w:trPr>
          <w:trHeight w:val="27"/>
        </w:trPr>
        <w:tc>
          <w:tcPr>
            <w:tcW w:w="7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182,680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161,519</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(95,868)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(90,218)</w:t>
            </w:r>
          </w:p>
        </w:tc>
      </w:tr>
      <w:tr>
        <w:trPr>
          <w:trHeight w:val="27"/>
        </w:trPr>
        <w:tc>
          <w:tcPr>
            <w:tcW w:w="7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86,812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71,301</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67,122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30,836</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7,551</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4,016</w:t>
            </w:r>
          </w:p>
        </w:tc>
      </w:tr>
      <w:tr>
        <w:trPr>
          <w:trHeight w:val="27"/>
        </w:trPr>
        <w:tc>
          <w:tcPr>
            <w:tcW w:w="7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535,907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409,978</w:t>
            </w:r>
          </w:p>
        </w:tc>
      </w:tr>
      <w:tr>
        <w:trPr>
          <w:trHeight w:val="20"/>
        </w:trPr>
        <w:tc>
          <w:tcPr>
            <w:tcW w:w="7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0940"/>
          </w:cols>
          <w:pgMar w:left="240" w:top="125"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- 3-</w:t>
      </w:r>
    </w:p>
    <w:p>
      <w:pPr>
        <w:sectPr>
          <w:pgSz w:w="11900" w:h="16838" w:orient="portrait"/>
          <w:cols w:equalWidth="0" w:num="1">
            <w:col w:w="10940"/>
          </w:cols>
          <w:pgMar w:left="240" w:top="125" w:right="71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 except share data)</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(unaudited)</w:t>
      </w:r>
    </w:p>
    <w:p>
      <w:pPr>
        <w:spacing w:after="0" w:line="31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4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8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115,894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68,961</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95,773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62,848</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wages and benefits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21,919</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Accrued insurance</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7,751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7,599</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expenses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3,039</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246,931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164,366</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7,450</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Borrowings under senior credit facility</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23,191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277,765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171,816</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Matrix Service Company stockholders' equity:</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8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Common stock—$.01 par value; 60,000,000 shares authorized; 27,888,217 shares issued as of</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December 31, 2013, and June 30, 2013</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117,043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118,190</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158,285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141,427</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227</w:t>
            </w:r>
          </w:p>
        </w:tc>
      </w:tr>
      <w:tr>
        <w:trPr>
          <w:trHeight w:val="27"/>
        </w:trPr>
        <w:tc>
          <w:tcPr>
            <w:tcW w:w="7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275,659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260,123</w:t>
            </w:r>
          </w:p>
        </w:tc>
      </w:tr>
      <w:tr>
        <w:trPr>
          <w:trHeight w:val="229"/>
        </w:trPr>
        <w:tc>
          <w:tcPr>
            <w:tcW w:w="7820" w:type="dxa"/>
            <w:vAlign w:val="bottom"/>
          </w:tcPr>
          <w:p>
            <w:pPr>
              <w:ind w:left="380"/>
              <w:spacing w:after="0"/>
              <w:rPr>
                <w:sz w:val="20"/>
                <w:szCs w:val="20"/>
                <w:color w:val="auto"/>
              </w:rPr>
            </w:pPr>
            <w:r>
              <w:rPr>
                <w:rFonts w:ascii="Arial" w:cs="Arial" w:eastAsia="Arial" w:hAnsi="Arial"/>
                <w:sz w:val="18"/>
                <w:szCs w:val="18"/>
                <w:color w:val="auto"/>
                <w:w w:val="89"/>
              </w:rPr>
              <w:t>Less: Treasury stock, at cost— 1,549,518 shares as of December 31, 2013, and 1,779,593 shares as of</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820" w:type="dxa"/>
            <w:vAlign w:val="bottom"/>
          </w:tcPr>
          <w:p>
            <w:pPr>
              <w:ind w:left="380"/>
              <w:spacing w:after="0"/>
              <w:rPr>
                <w:sz w:val="20"/>
                <w:szCs w:val="20"/>
                <w:color w:val="auto"/>
              </w:rPr>
            </w:pPr>
            <w:r>
              <w:rPr>
                <w:rFonts w:ascii="Arial" w:cs="Arial" w:eastAsia="Arial" w:hAnsi="Arial"/>
                <w:sz w:val="18"/>
                <w:szCs w:val="18"/>
                <w:color w:val="auto"/>
              </w:rPr>
              <w:t>June 30, 2013</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(21,961)</w:t>
            </w:r>
          </w:p>
        </w:tc>
      </w:tr>
      <w:tr>
        <w:trPr>
          <w:trHeight w:val="27"/>
        </w:trPr>
        <w:tc>
          <w:tcPr>
            <w:tcW w:w="7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Matrix Service Company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257,437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238,162</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258,142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238,162</w:t>
            </w:r>
          </w:p>
        </w:tc>
      </w:tr>
      <w:tr>
        <w:trPr>
          <w:trHeight w:val="257"/>
        </w:trPr>
        <w:tc>
          <w:tcPr>
            <w:tcW w:w="78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535,907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409,978</w:t>
            </w:r>
          </w:p>
        </w:tc>
      </w:tr>
      <w:tr>
        <w:trPr>
          <w:trHeight w:val="20"/>
        </w:trPr>
        <w:tc>
          <w:tcPr>
            <w:tcW w:w="7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- 4-</w:t>
      </w:r>
    </w:p>
    <w:p>
      <w:pPr>
        <w:sectPr>
          <w:pgSz w:w="11900" w:h="16838" w:orient="portrait"/>
          <w:cols w:equalWidth="0" w:num="1">
            <w:col w:w="10940"/>
          </w:cols>
          <w:pgMar w:left="240" w:top="125" w:right="7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(unaudited)</w:t>
      </w:r>
    </w:p>
    <w:p>
      <w:pPr>
        <w:spacing w:after="0" w:line="163"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7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1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7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16,863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10,120</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(used)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7,551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5,796</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income tax</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Gain on sale of property, plant and equipment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Allowance for uncollectible accounts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w:t>
            </w: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1,812</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 benefit (deficiency) from vesting of deferred shares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97</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 increasing (decreasing) cash:</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68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11,665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(43,791)</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2,411</w:t>
            </w:r>
          </w:p>
        </w:tc>
      </w:tr>
      <w:tr>
        <w:trPr>
          <w:trHeight w:val="243"/>
        </w:trPr>
        <w:tc>
          <w:tcPr>
            <w:tcW w:w="7820" w:type="dxa"/>
            <w:vAlign w:val="bottom"/>
          </w:tcPr>
          <w:p>
            <w:pPr>
              <w:ind w:left="6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(1,201)</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r>
      <w:tr>
        <w:trPr>
          <w:trHeight w:val="243"/>
        </w:trPr>
        <w:tc>
          <w:tcPr>
            <w:tcW w:w="7820" w:type="dxa"/>
            <w:vAlign w:val="bottom"/>
          </w:tcPr>
          <w:p>
            <w:pPr>
              <w:ind w:left="68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32,712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10,879</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27,313</w:t>
            </w:r>
          </w:p>
        </w:tc>
      </w:tr>
      <w:tr>
        <w:trPr>
          <w:trHeight w:val="243"/>
        </w:trPr>
        <w:tc>
          <w:tcPr>
            <w:tcW w:w="7820" w:type="dxa"/>
            <w:vAlign w:val="bottom"/>
          </w:tcPr>
          <w:p>
            <w:pPr>
              <w:ind w:left="6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7"/>
        </w:trPr>
        <w:tc>
          <w:tcPr>
            <w:tcW w:w="7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12,098</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(12,041)</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Acquisition, net of cash acquired (Note 2)</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(51,398)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(9,394)</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asset sales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Net cash used by investing activities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(63,037)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(21,362)</w:t>
            </w:r>
          </w:p>
        </w:tc>
      </w:tr>
    </w:tbl>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- 5-</w:t>
      </w:r>
    </w:p>
    <w:p>
      <w:pPr>
        <w:sectPr>
          <w:pgSz w:w="11900" w:h="16838" w:orient="portrait"/>
          <w:cols w:equalWidth="0" w:num="1">
            <w:col w:w="10940"/>
          </w:cols>
          <w:pgMar w:left="240" w:top="125" w:right="7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7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1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Issuances of common stock</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payments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Excess tax benefit of exercised stock options and vesting of deferred shares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Advances under credit agreement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18,475</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Repayments of advances under credit agreement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(15,050)</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Treasury shares purchased by Employee Stock Purchase Plan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Other treasury share purchases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63,750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39,726</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73,292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33,209</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during the period for:</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6,812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6,559</w:t>
            </w:r>
          </w:p>
        </w:tc>
        <w:tc>
          <w:tcPr>
            <w:tcW w:w="0" w:type="dxa"/>
            <w:vAlign w:val="bottom"/>
          </w:tcPr>
          <w:p>
            <w:pPr>
              <w:spacing w:after="0"/>
              <w:rPr>
                <w:sz w:val="1"/>
                <w:szCs w:val="1"/>
                <w:color w:val="auto"/>
              </w:rPr>
            </w:pPr>
          </w:p>
        </w:tc>
      </w:tr>
      <w:tr>
        <w:trPr>
          <w:trHeight w:val="251"/>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Purchases of property, plant and equipment on account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8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0940"/>
          </w:cols>
          <w:pgMar w:left="240" w:top="125" w:right="7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4"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(In thousands, except share data)</w:t>
      </w:r>
    </w:p>
    <w:p>
      <w:pPr>
        <w:spacing w:after="0" w:line="90"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(unaudited)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Income(Loss)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June 30,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118,190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141,427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238,162</w:t>
            </w:r>
          </w:p>
        </w:tc>
        <w:tc>
          <w:tcPr>
            <w:tcW w:w="0" w:type="dxa"/>
            <w:vAlign w:val="bottom"/>
          </w:tcPr>
          <w:p>
            <w:pPr>
              <w:spacing w:after="0"/>
              <w:rPr>
                <w:sz w:val="1"/>
                <w:szCs w:val="1"/>
                <w:color w:val="auto"/>
              </w:rPr>
            </w:pPr>
          </w:p>
        </w:tc>
      </w:tr>
      <w:tr>
        <w:trPr>
          <w:trHeight w:val="237"/>
        </w:trPr>
        <w:tc>
          <w:tcPr>
            <w:tcW w:w="29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16,858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16,863</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20"/>
        </w:trPr>
        <w:tc>
          <w:tcPr>
            <w:tcW w:w="2920" w:type="dxa"/>
            <w:vAlign w:val="bottom"/>
          </w:tcPr>
          <w:p>
            <w:pPr>
              <w:ind w:left="40"/>
              <w:spacing w:after="0"/>
              <w:rPr>
                <w:sz w:val="20"/>
                <w:szCs w:val="20"/>
                <w:color w:val="auto"/>
              </w:rPr>
            </w:pPr>
            <w:r>
              <w:rPr>
                <w:rFonts w:ascii="Arial" w:cs="Arial" w:eastAsia="Arial" w:hAnsi="Arial"/>
                <w:sz w:val="16"/>
                <w:szCs w:val="16"/>
                <w:color w:val="auto"/>
              </w:rPr>
              <w:t>Purchase of consolidated joint venture</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40"/>
              <w:spacing w:after="0"/>
              <w:rPr>
                <w:sz w:val="20"/>
                <w:szCs w:val="20"/>
                <w:color w:val="auto"/>
              </w:rPr>
            </w:pPr>
            <w:r>
              <w:rPr>
                <w:rFonts w:ascii="Arial" w:cs="Arial" w:eastAsia="Arial" w:hAnsi="Arial"/>
                <w:sz w:val="16"/>
                <w:szCs w:val="16"/>
                <w:color w:val="auto"/>
              </w:rPr>
              <w:t>(Note 2)</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Exercise of stock options (55,600 shares)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20"/>
        </w:trPr>
        <w:tc>
          <w:tcPr>
            <w:tcW w:w="2920" w:type="dxa"/>
            <w:vAlign w:val="bottom"/>
          </w:tcPr>
          <w:p>
            <w:pPr>
              <w:ind w:left="40"/>
              <w:spacing w:after="0"/>
              <w:rPr>
                <w:sz w:val="20"/>
                <w:szCs w:val="20"/>
                <w:color w:val="auto"/>
              </w:rPr>
            </w:pPr>
            <w:r>
              <w:rPr>
                <w:rFonts w:ascii="Arial" w:cs="Arial" w:eastAsia="Arial" w:hAnsi="Arial"/>
                <w:sz w:val="16"/>
                <w:szCs w:val="16"/>
                <w:color w:val="auto"/>
                <w:w w:val="98"/>
              </w:rPr>
              <w:t>Tax effect of exercised stock options and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40"/>
              <w:spacing w:after="0"/>
              <w:rPr>
                <w:sz w:val="20"/>
                <w:szCs w:val="20"/>
                <w:color w:val="auto"/>
              </w:rPr>
            </w:pPr>
            <w:r>
              <w:rPr>
                <w:rFonts w:ascii="Arial" w:cs="Arial" w:eastAsia="Arial" w:hAnsi="Arial"/>
                <w:sz w:val="16"/>
                <w:szCs w:val="16"/>
                <w:color w:val="auto"/>
              </w:rPr>
              <w:t>vesting of deferred shares</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1,075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1,075</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deferred shares (247,856</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4,361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920" w:type="dxa"/>
            <w:vAlign w:val="bottom"/>
          </w:tcPr>
          <w:p>
            <w:pPr>
              <w:ind w:left="40"/>
              <w:spacing w:after="0"/>
              <w:rPr>
                <w:sz w:val="20"/>
                <w:szCs w:val="20"/>
                <w:color w:val="auto"/>
              </w:rPr>
            </w:pPr>
            <w:r>
              <w:rPr>
                <w:rFonts w:ascii="Arial" w:cs="Arial" w:eastAsia="Arial" w:hAnsi="Arial"/>
                <w:sz w:val="16"/>
                <w:szCs w:val="16"/>
                <w:color w:val="auto"/>
                <w:w w:val="99"/>
              </w:rPr>
              <w:t>Treasury shares sold to Employee Stock</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40"/>
              <w:spacing w:after="0"/>
              <w:rPr>
                <w:sz w:val="20"/>
                <w:szCs w:val="20"/>
                <w:color w:val="auto"/>
              </w:rPr>
            </w:pPr>
            <w:r>
              <w:rPr>
                <w:rFonts w:ascii="Arial" w:cs="Arial" w:eastAsia="Arial" w:hAnsi="Arial"/>
                <w:sz w:val="16"/>
                <w:szCs w:val="16"/>
                <w:color w:val="auto"/>
              </w:rPr>
              <w:t>Purchase Plan (2,152 shares)</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treasury share purchases (75,533</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0" w:type="dxa"/>
            <w:vAlign w:val="bottom"/>
          </w:tcPr>
          <w:p>
            <w:pPr>
              <w:spacing w:after="0"/>
              <w:rPr>
                <w:sz w:val="1"/>
                <w:szCs w:val="1"/>
                <w:color w:val="auto"/>
              </w:rPr>
            </w:pPr>
          </w:p>
        </w:tc>
      </w:tr>
      <w:tr>
        <w:trPr>
          <w:trHeight w:val="237"/>
        </w:trPr>
        <w:tc>
          <w:tcPr>
            <w:tcW w:w="292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2,515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2,515</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December 31, 2013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117,043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158,285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258,142</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920" w:type="dxa"/>
            <w:vAlign w:val="bottom"/>
          </w:tcPr>
          <w:p>
            <w:pPr>
              <w:ind w:left="40"/>
              <w:spacing w:after="0"/>
              <w:rPr>
                <w:sz w:val="20"/>
                <w:szCs w:val="20"/>
                <w:color w:val="auto"/>
              </w:rPr>
            </w:pPr>
            <w:r>
              <w:rPr>
                <w:rFonts w:ascii="Arial" w:cs="Arial" w:eastAsia="Arial" w:hAnsi="Arial"/>
                <w:sz w:val="16"/>
                <w:szCs w:val="16"/>
                <w:color w:val="auto"/>
              </w:rPr>
              <w:t>Balances, June 30, 2012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116,693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117,419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(24,065)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771</w:t>
            </w:r>
          </w:p>
        </w:tc>
        <w:tc>
          <w:tcPr>
            <w:tcW w:w="1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211,097</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10,120</w:t>
            </w:r>
          </w:p>
        </w:tc>
        <w:tc>
          <w:tcPr>
            <w:tcW w:w="0" w:type="dxa"/>
            <w:vAlign w:val="bottom"/>
          </w:tcPr>
          <w:p>
            <w:pPr>
              <w:spacing w:after="0"/>
              <w:rPr>
                <w:sz w:val="1"/>
                <w:szCs w:val="1"/>
                <w:color w:val="auto"/>
              </w:rPr>
            </w:pPr>
          </w:p>
        </w:tc>
      </w:tr>
      <w:tr>
        <w:trPr>
          <w:trHeight w:val="237"/>
        </w:trPr>
        <w:tc>
          <w:tcPr>
            <w:tcW w:w="292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Exercise of stock options (21,600 shares)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20"/>
        </w:trPr>
        <w:tc>
          <w:tcPr>
            <w:tcW w:w="2920" w:type="dxa"/>
            <w:vAlign w:val="bottom"/>
          </w:tcPr>
          <w:p>
            <w:pPr>
              <w:ind w:left="40"/>
              <w:spacing w:after="0"/>
              <w:rPr>
                <w:sz w:val="20"/>
                <w:szCs w:val="20"/>
                <w:color w:val="auto"/>
              </w:rPr>
            </w:pPr>
            <w:r>
              <w:rPr>
                <w:rFonts w:ascii="Arial" w:cs="Arial" w:eastAsia="Arial" w:hAnsi="Arial"/>
                <w:sz w:val="16"/>
                <w:szCs w:val="16"/>
                <w:color w:val="auto"/>
                <w:w w:val="98"/>
              </w:rPr>
              <w:t>Tax effect of exercised stock options and</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40"/>
              <w:spacing w:after="0"/>
              <w:rPr>
                <w:sz w:val="20"/>
                <w:szCs w:val="20"/>
                <w:color w:val="auto"/>
              </w:rPr>
            </w:pPr>
            <w:r>
              <w:rPr>
                <w:rFonts w:ascii="Arial" w:cs="Arial" w:eastAsia="Arial" w:hAnsi="Arial"/>
                <w:sz w:val="16"/>
                <w:szCs w:val="16"/>
                <w:color w:val="auto"/>
              </w:rPr>
              <w:t>vesting of deferred shares</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deferred shares (350,048</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920" w:type="dxa"/>
            <w:vAlign w:val="bottom"/>
          </w:tcPr>
          <w:p>
            <w:pPr>
              <w:ind w:left="40"/>
              <w:spacing w:after="0"/>
              <w:rPr>
                <w:sz w:val="20"/>
                <w:szCs w:val="20"/>
                <w:color w:val="auto"/>
              </w:rPr>
            </w:pPr>
            <w:r>
              <w:rPr>
                <w:rFonts w:ascii="Arial" w:cs="Arial" w:eastAsia="Arial" w:hAnsi="Arial"/>
                <w:sz w:val="16"/>
                <w:szCs w:val="16"/>
                <w:color w:val="auto"/>
                <w:w w:val="99"/>
              </w:rPr>
              <w:t>Treasury shares sold to Employee Stock</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40"/>
              <w:spacing w:after="0"/>
              <w:rPr>
                <w:sz w:val="20"/>
                <w:szCs w:val="20"/>
                <w:color w:val="auto"/>
              </w:rPr>
            </w:pPr>
            <w:r>
              <w:rPr>
                <w:rFonts w:ascii="Arial" w:cs="Arial" w:eastAsia="Arial" w:hAnsi="Arial"/>
                <w:sz w:val="16"/>
                <w:szCs w:val="16"/>
                <w:color w:val="auto"/>
              </w:rPr>
              <w:t>Purchase Plan (2,055 shares)</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Other treasury share purchases (101,271</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0" w:type="dxa"/>
            <w:vAlign w:val="bottom"/>
          </w:tcPr>
          <w:p>
            <w:pPr>
              <w:spacing w:after="0"/>
              <w:rPr>
                <w:sz w:val="1"/>
                <w:szCs w:val="1"/>
                <w:color w:val="auto"/>
              </w:rPr>
            </w:pPr>
          </w:p>
        </w:tc>
      </w:tr>
      <w:tr>
        <w:trPr>
          <w:trHeight w:val="237"/>
        </w:trPr>
        <w:tc>
          <w:tcPr>
            <w:tcW w:w="292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1,812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1,812</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December 31, 2012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117,059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127,539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222,380</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- 7-</w:t>
      </w:r>
    </w:p>
    <w:p>
      <w:pPr>
        <w:sectPr>
          <w:pgSz w:w="11900" w:h="16838" w:orient="portrait"/>
          <w:cols w:equalWidth="0" w:num="1">
            <w:col w:w="10820"/>
          </w:cols>
          <w:pgMar w:left="240" w:top="125" w:right="8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Matrix Service Company (“Matrix”, “we”, “our”, “us”, “its” or the “Company”) and its subsidiaries, unless otherwise indicated. Intercompany balances and transactions have been eliminated in consolidation.</w:t>
      </w:r>
    </w:p>
    <w:p>
      <w:pPr>
        <w:spacing w:after="0" w:line="11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generally accepted accounting principles for complete financial statements. However, the information furnished reflects all adjustments, consisting of normal recurring adjustments and other adjustments described herein, that are, in the opinion of management, necessary for a fair statement of the results of operations, cash flows and financial position for the interim periods presented. The accompanying condensed financial statements should be read in conjunction with the audited financial statements for the year ended June 30, 2013, included in the Company’s Annual Report on Form 10-K for the year then ended.</w:t>
      </w:r>
    </w:p>
    <w:p>
      <w:pPr>
        <w:spacing w:after="0" w:line="11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business is cyclical due to the scope and timing of projects released by our customers. Therefore, results from year to year can vary. Turnarounds and planned outages at customer facilities are typically scheduled in the spring and the fall when the demand is lower. We typically see a lower level of operating activity relating to construction projects during the winter months and early in the calendar year because many of our customers’ capital budgets have not been finalized. Our business can also be affected both positively and negatively by seasonal factors such as energy demand or weather conditions, including hurricanes, snowstorms, and abnormally low or high temperatures. As a result, quarterly operating results can exhibit seasonal fluctuations, especially in our Oil Gas &amp; Chemical segment. Accordingly, results for any interim period may not necessarily be indicative of future operating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Kvaerner North American Construction</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Effective as of December 21, 2013, the Company acquired 100% of the stock and voting rights of Kvaerner North American Construction, Ltd. and substantially all of the assets of Kvaerner North American Construction, Inc, together referenced as "KNAC". The businesses are now known as Matrix North American Construction Ltd. ("MNAC Ltd.") and Matrix North American Construction, Inc. ("MNAC, Inc."), together referenced as "Matrix NAC". Matrix NAC is a premier provider of maintenance and capital construction services to power generation, integrated iron and steel, and industrial process facilities. The acquisition expands the Company's presence in the Electrical Infrastructure, Oil Gas and Chemical and Industrial segments.</w:t>
      </w:r>
    </w:p>
    <w:p>
      <w:pPr>
        <w:spacing w:after="0" w:line="1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purchased Matrix NAC for $88.1 million. The acquisition was funded through a combination of cash-on-hand and borrowings under our senior revolving credit facility. The purchase price was allocated to the major categories of assets and liabilities based on their estimated fair value at the acquisition date. The following table summarizes the preliminary purchase price allocation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5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84,404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4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11,094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6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36,311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4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24,009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46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155,818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66,507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46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Noncontrolling interest of consolidated joint venture</w:t>
            </w:r>
          </w:p>
        </w:tc>
        <w:tc>
          <w:tcPr>
            <w:tcW w:w="4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46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88,053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acquired</w:t>
            </w:r>
          </w:p>
        </w:tc>
        <w:tc>
          <w:tcPr>
            <w:tcW w:w="4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36,655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purchase price</w:t>
            </w:r>
          </w:p>
        </w:tc>
        <w:tc>
          <w:tcPr>
            <w:tcW w:w="5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51,398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bottom w:val="single" w:sz="8" w:color="CCEEFF"/>
            </w:tcBorders>
            <w:vMerge w:val="restart"/>
          </w:tcPr>
          <w:p>
            <w:pPr>
              <w:jc w:val="right"/>
              <w:ind w:right="3430"/>
              <w:spacing w:after="0"/>
              <w:rPr>
                <w:sz w:val="20"/>
                <w:szCs w:val="20"/>
                <w:color w:val="auto"/>
              </w:rPr>
            </w:pPr>
            <w:r>
              <w:rPr>
                <w:rFonts w:ascii="Arial" w:cs="Arial" w:eastAsia="Arial" w:hAnsi="Arial"/>
                <w:sz w:val="18"/>
                <w:szCs w:val="18"/>
                <w:color w:val="auto"/>
              </w:rPr>
              <w:t>- 8-</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the underlying net tangible and intangible assets. This acquisition generated $36.3 million of goodwill, of which $28.5 million is tax deductible.</w:t>
      </w:r>
    </w:p>
    <w:p>
      <w:pPr>
        <w:spacing w:after="0" w:line="19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equity in consolidated joint venture represents the acquired equity in KVPB Power Partners ("the Joint Venture"). The Joint Venture was formed by Kvaerner North American Construction, Inc. and an engineering firm to engineer and construct a combined cycle power plant in Dover, Delaware. The Company now holds a 65% voting and economic interest in the Joint Venture. The total acquired equity of the Joint Venture was $2.0 million of which the Company's portion is approximately $1.3 million and the other party owns a non-controlling interest of $0.7 million.</w:t>
      </w:r>
    </w:p>
    <w:p>
      <w:pPr>
        <w:spacing w:after="0" w:line="117"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Total assets of the Joint Venture total $27.7 million which includes cash of $17.6 million and accounts receivable of $10.1 million. Total liabilities were $25.8 million, of which billings in excess of costs and estimated earnings total $20.9 million and accounts payable total $4.9 million. The assets of the Joint Venture are restricted and can only be used for Joint Venture operations. Total revenues and earnings of the Joint Venture were not material in the periods presented.</w:t>
      </w:r>
    </w:p>
    <w:p>
      <w:pPr>
        <w:ind w:right="100"/>
        <w:spacing w:after="0" w:line="255" w:lineRule="auto"/>
        <w:rPr>
          <w:sz w:val="20"/>
          <w:szCs w:val="20"/>
          <w:color w:val="auto"/>
        </w:rPr>
      </w:pPr>
      <w:r>
        <w:rPr>
          <w:rFonts w:ascii="Arial" w:cs="Arial" w:eastAsia="Arial" w:hAnsi="Arial"/>
          <w:sz w:val="18"/>
          <w:szCs w:val="18"/>
          <w:color w:val="auto"/>
        </w:rPr>
        <w:t>The two permitted accounting presentations of the Joint Venture are consolidation with a noncontrolling interest reported or proportionate consolidation. The Company has tentatively concluded that the Joint Venture should be consolidated with a noncontrolling interest presented; however, the final accounting determination will be made in the third fiscal quarter.</w:t>
      </w:r>
    </w:p>
    <w:p>
      <w:pPr>
        <w:spacing w:after="0" w:line="13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Matrix NAC revenues totaling $5.4 million and operating income of approximately $0.0 million are included in the Company's results for the post acquisition period of December 21, 2013 to December 31, 2013. In addition, the Company has incurred approximately $2.0 million of expenses related to the acquisition, all of which are included in our selling, general and administrative expense for the three and six months ended December 31, 2013.</w:t>
      </w:r>
    </w:p>
    <w:p>
      <w:pPr>
        <w:spacing w:after="0" w:line="11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unaudited financial information in the table below summarizes the combined results of operations of Matrix Service Company and Matrix NAC for the three and six months ended December 31, 2013 and December 31, 2012, on a pro forma basis, as though the companies had been combined as of July 1, 2012. The pro forma earnings for the three and six months ended December 31, 2013 and 2012 were adjusted to include incremental intangible amortization expense of $1.1 million and $2.1 million, respectively and depreciation expenses of $0.6 million and $1.2 million, respectively. Additionally, $0.6 million of income from a one-time KNAC tax settlement and $2.0 million of acquisition-related expenses were removed from the three and six month periods ending December 31, 2013. The $2.0 million of acquisition-related expenses were included in the six month period ending December 31, 2012 as if the acquisition occurred at July 1, 2012. The pro forma financial information is presented for informational purposes only and is not indicative of the results of operations that would have been achieved if the acquisition had taken place at July 1, 2012 nor should it be taken as indicative of our future consolidated results of operations.</w:t>
      </w:r>
    </w:p>
    <w:p>
      <w:pPr>
        <w:spacing w:after="0" w:line="364"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12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10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December 31,</w:t>
            </w: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r>
      <w:tr>
        <w:trPr>
          <w:trHeight w:val="250"/>
        </w:trPr>
        <w:tc>
          <w:tcPr>
            <w:tcW w:w="5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7"/>
            <w:shd w:val="clear" w:color="auto" w:fill="CCEEFF"/>
          </w:tcPr>
          <w:p>
            <w:pPr>
              <w:ind w:left="500"/>
              <w:spacing w:after="0"/>
              <w:rPr>
                <w:sz w:val="20"/>
                <w:szCs w:val="20"/>
                <w:color w:val="auto"/>
              </w:rPr>
            </w:pPr>
            <w:r>
              <w:rPr>
                <w:rFonts w:ascii="Arial" w:cs="Arial" w:eastAsia="Arial" w:hAnsi="Arial"/>
                <w:sz w:val="18"/>
                <w:szCs w:val="18"/>
                <w:color w:val="auto"/>
                <w:w w:val="88"/>
              </w:rPr>
              <w:t>(In thousands, except per share data)</w:t>
            </w: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w w:val="98"/>
              </w:rPr>
              <w:t>395,600</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267,159</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w w:val="98"/>
              </w:rPr>
              <w:t>671,832</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538,577</w:t>
            </w: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12,422</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19,834</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9,761</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0.47</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0.76</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0.46</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0.74</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r>
      <w:tr>
        <w:trPr>
          <w:trHeight w:val="27"/>
        </w:trPr>
        <w:tc>
          <w:tcPr>
            <w:tcW w:w="5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Pelichem Industrial Cleaning Services, LLC</w:t>
      </w:r>
    </w:p>
    <w:p>
      <w:pPr>
        <w:spacing w:after="0" w:line="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December 31, 2012, the Company acquired substantially all of the assets of Pelichem Industrial Cleaning Services, LLC (“Pelichem”). Pelichem is an industrial cleaning company based in Reserve, Louisiana that performs hydroblasting, vacuum services, chemical cleaning and industrial services. Pelichem's operating results are included in the Oil Gas &amp; Chemical Segment.</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previously issued December 31, 2012 financial statements contained certain provisional amounts that were recorded on the preliminary information that was available at the time they were issued. The provisional amounts have been retroactively adjusted in the December 31, 2012 financial statements contained in this Quarterly Report on Form 10-Q. As a result, certain reclassification adjustments to the six months ended December 31, 2012 Condensed Consolidated Statement of Cash Flows were recorded.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purchase price was allocated to the major categories of assets and liabilities based on their estimated fair value at the acquisition date. The following table summarizes the final purchase price allocation: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4,299</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deductible goodwill</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1,853</w:t>
            </w:r>
          </w:p>
        </w:tc>
      </w:tr>
      <w:tr>
        <w:trPr>
          <w:trHeight w:val="27"/>
        </w:trPr>
        <w:tc>
          <w:tcPr>
            <w:tcW w:w="9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9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9,394</w:t>
            </w:r>
          </w:p>
        </w:tc>
      </w:tr>
      <w:tr>
        <w:trPr>
          <w:trHeight w:val="20"/>
        </w:trPr>
        <w:tc>
          <w:tcPr>
            <w:tcW w:w="9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operating data related to this acquisition was not material. The acquisition was funded with cash on hand.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Uncompleted Contracts</w:t>
      </w:r>
    </w:p>
    <w:p>
      <w:pPr>
        <w:spacing w:after="0" w:line="9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recognized on uncompleted contracts is reported as a current liability. Gross and net amounts on uncompleted contracts are as follows:</w:t>
      </w:r>
    </w:p>
    <w:p>
      <w:pPr>
        <w:spacing w:after="0" w:line="261"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2"/>
        </w:trPr>
        <w:tc>
          <w:tcPr>
            <w:tcW w:w="7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7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incurred and estimated earnings recognized on uncompleted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1,224,804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802,588</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Billings on uncompleted contracts</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1,228,365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791,663</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10,925</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Shown on balance sheet as: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92,212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73,773</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95,773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62,848</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10,925</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Progress billings in accounts receivable at December 31, 2013 and June 30, 2013 included retentions to be collected within one year of $24.9 million and $19.9 million, respectively. Contract retentions collectible beyond one year totaled $3.7 million at December 31, 2013 and $3.1 million at June 30, 2013.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SME Receivables</w:t>
      </w:r>
    </w:p>
    <w:p>
      <w:pPr>
        <w:spacing w:after="0" w:line="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continues to pursue collection of a certain receivable acquired in connection with the purchase of S.M. Electric Company, Inc. in February 2009. The recorded values at December 31, 2013 include $0.7 million in claim receivables, which represents the Company’s best estimate of the amount to be collected under a claim, and an additional $2.9 million for amounts due under the related contract. Recovering the remaining receivables will require mediation or litigation and the ultimate amount realized may be significantly different than the recorded amounts, which could result in a material adjustment to future earnings.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During the second quarter of fiscal 2014, our results of operations were materially impacted by a charge resulting from a change in estimate on an aboveground storage tank project. The charge resulted in a $4.4 million and $4.0 million decrease in operating income for the three and six months ended December 31, 2013, respectively. In the same period of the prior year, we recognized a project charge due to a change in estimate that resulted in a $3.3 million and $3.0 million decrease in operating income for the three and six months ended December 31, 2012,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Including Goodwill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Electrical</w:t>
            </w:r>
          </w:p>
        </w:tc>
        <w:tc>
          <w:tcPr>
            <w:tcW w:w="2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2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18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Unallocated</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gridSpan w:val="5"/>
          </w:tcPr>
          <w:p>
            <w:pPr>
              <w:ind w:left="68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8,088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10,985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55,836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Cumulative impairment loss (A)</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June 30, 2013</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30,836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Acquisition of Matrix NAC (B)</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36,311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36,311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 (C)</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Net balance at December 31, 2013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12,013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5,088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10,038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3,672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36,311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67,122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$25.0 million impairment charge was recorded in February 2005 as a result of the Company’s operating performance in fiscal 2005.</w:t>
      </w:r>
    </w:p>
    <w:p>
      <w:pPr>
        <w:spacing w:after="0" w:line="23" w:lineRule="exact"/>
        <w:rPr>
          <w:rFonts w:ascii="Arial" w:cs="Arial" w:eastAsia="Arial" w:hAnsi="Arial"/>
          <w:sz w:val="18"/>
          <w:szCs w:val="18"/>
          <w:color w:val="auto"/>
        </w:rPr>
      </w:pPr>
    </w:p>
    <w:p>
      <w:pPr>
        <w:ind w:left="540" w:hanging="316"/>
        <w:spacing w:after="0" w:line="281"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unallocated portion of goodwill relates to the acquisition of Matrix NAC. We are currently assessing the impact of the acquisition on our reporting units and expect to have the analysis complete in the third quarter of fiscal 2014. The acquisition is discussed further in Note 2 - Acquisitions.</w:t>
      </w:r>
    </w:p>
    <w:p>
      <w:pPr>
        <w:spacing w:after="0" w:line="1" w:lineRule="exact"/>
        <w:rPr>
          <w:rFonts w:ascii="Arial" w:cs="Arial" w:eastAsia="Arial" w:hAnsi="Arial"/>
          <w:sz w:val="16"/>
          <w:szCs w:val="16"/>
          <w:color w:val="auto"/>
        </w:rPr>
      </w:pPr>
    </w:p>
    <w:p>
      <w:pPr>
        <w:ind w:left="540" w:right="700" w:hanging="316"/>
        <w:spacing w:after="0" w:line="261"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translation adjustment relates to the periodic translation of Canadian Dollar denominated goodwill recorded as a part of a prior Canadian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At December 31, 2013</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3"/>
                <w:szCs w:val="13"/>
                <w:color w:val="auto"/>
              </w:rPr>
            </w:pPr>
          </w:p>
        </w:tc>
        <w:tc>
          <w:tcPr>
            <w:tcW w:w="13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124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(Years)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(In thousands)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6 to 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 to 15</w:t>
            </w: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27,714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26,884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5</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intangibles</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29,641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540" w:type="dxa"/>
            <w:vAlign w:val="bottom"/>
            <w:gridSpan w:val="2"/>
          </w:tcPr>
          <w:p>
            <w:pPr>
              <w:ind w:left="260"/>
              <w:spacing w:after="0"/>
              <w:rPr>
                <w:sz w:val="20"/>
                <w:szCs w:val="20"/>
                <w:color w:val="auto"/>
              </w:rPr>
            </w:pPr>
            <w:r>
              <w:rPr>
                <w:rFonts w:ascii="Arial" w:cs="Arial" w:eastAsia="Arial" w:hAnsi="Arial"/>
                <w:sz w:val="18"/>
                <w:szCs w:val="18"/>
                <w:color w:val="auto"/>
              </w:rPr>
              <w:t>Indefinite</w:t>
            </w: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33,142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31,091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40" w:type="dxa"/>
            <w:vAlign w:val="bottom"/>
            <w:vMerge w:val="restart"/>
          </w:tcPr>
          <w:p>
            <w:pPr>
              <w:jc w:val="right"/>
              <w:ind w:right="254"/>
              <w:spacing w:after="0"/>
              <w:rPr>
                <w:sz w:val="20"/>
                <w:szCs w:val="20"/>
                <w:color w:val="auto"/>
              </w:rPr>
            </w:pPr>
            <w:r>
              <w:rPr>
                <w:rFonts w:ascii="Arial" w:cs="Arial" w:eastAsia="Arial" w:hAnsi="Arial"/>
                <w:sz w:val="18"/>
                <w:szCs w:val="18"/>
                <w:color w:val="auto"/>
              </w:rPr>
              <w:t>- 11-</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At June 30, 2013</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124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(Years)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(In thousands)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6 to 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 to 15</w:t>
            </w: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3,708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5</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intangibles</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540" w:type="dxa"/>
            <w:vAlign w:val="bottom"/>
            <w:gridSpan w:val="2"/>
          </w:tcPr>
          <w:p>
            <w:pPr>
              <w:ind w:left="260"/>
              <w:spacing w:after="0"/>
              <w:rPr>
                <w:sz w:val="20"/>
                <w:szCs w:val="20"/>
                <w:color w:val="auto"/>
              </w:rPr>
            </w:pPr>
            <w:r>
              <w:rPr>
                <w:rFonts w:ascii="Arial" w:cs="Arial" w:eastAsia="Arial" w:hAnsi="Arial"/>
                <w:sz w:val="18"/>
                <w:szCs w:val="18"/>
                <w:color w:val="auto"/>
              </w:rPr>
              <w:t>Indefinite</w:t>
            </w: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increase in other intangible assets at December 31, 2013 compared to June 30, 2013 is due to the acquisition of Matrix NAC. The Matrix NAC intangible assets consist of amortizing intangible assets including customer-based intangibles with a fair value of $23.5 million and useful life ranging from 1.5 to 15 years and a non-compete agreement with a fair value of $0.5 million and a useful life of 4 years. Please refer to Note 2 - Acquisitions for additional information.</w:t>
      </w:r>
    </w:p>
    <w:p>
      <w:pPr>
        <w:spacing w:after="0" w:line="13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Amortization expense totaled $0.5 million in the six months ended December 31, 2013 and $0.2 million in the six months ended December 31, 2012. Amortization expense is expected to be $2.9 million in fiscal year 2014, $4.7 million in fiscal year 2015, $2.8 million in fiscal year 2016, $2.7 million in fiscal 2017 and $2.6 million in fiscal year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9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Company has a five-year, $125.0 million senior secured revolving credit facility (the “Credit Agreement”) that expires November 7, 2016. Advances under the Credit Agreement may be used for working capital, issuance of letters of credit and other lawful corporate purposes.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Senior Leverage Ratio, as defined in the agreement, may not exceed 2.50 to 1.00 as of the end of each fiscal quarter.</w:t>
      </w:r>
    </w:p>
    <w:p>
      <w:pPr>
        <w:spacing w:after="0" w:line="171" w:lineRule="exact"/>
        <w:rPr>
          <w:rFonts w:ascii="Arial" w:cs="Arial" w:eastAsia="Arial" w:hAnsi="Arial"/>
          <w:sz w:val="18"/>
          <w:szCs w:val="18"/>
          <w:color w:val="auto"/>
        </w:rPr>
      </w:pPr>
    </w:p>
    <w:p>
      <w:pPr>
        <w:ind w:left="1300" w:right="80" w:hanging="48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 as of the end of each fiscal quarter.</w:t>
      </w:r>
    </w:p>
    <w:p>
      <w:pPr>
        <w:spacing w:after="0" w:line="116" w:lineRule="exact"/>
        <w:rPr>
          <w:rFonts w:ascii="Arial" w:cs="Arial" w:eastAsia="Arial" w:hAnsi="Arial"/>
          <w:sz w:val="18"/>
          <w:szCs w:val="18"/>
          <w:color w:val="auto"/>
        </w:rPr>
      </w:pPr>
    </w:p>
    <w:p>
      <w:pPr>
        <w:ind w:left="1300" w:right="140" w:hanging="48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$15.0 million per 12-month period.</w:t>
      </w:r>
    </w:p>
    <w:p>
      <w:pPr>
        <w:spacing w:after="0" w:line="116" w:lineRule="exact"/>
        <w:rPr>
          <w:sz w:val="20"/>
          <w:szCs w:val="20"/>
          <w:color w:val="auto"/>
        </w:rPr>
      </w:pPr>
    </w:p>
    <w:p>
      <w:pPr>
        <w:ind w:left="60" w:right="380"/>
        <w:spacing w:after="0" w:line="264"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additional margin on Alternate Base Rate and LIBOR-based loans ranges between 0.75% and 1.5% and between 1.75% and 2.5%, respectively.</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Credit Agreement also permits us to borrow in Canadian dollars with a sublimit of U.S. $15.0 million. Amounts borrowed in Canadian dollars will bear interest either at the CDOR Rate, plus an additional margin based on the Senior Leverage Ratio ranging from 1.75% to 2.5%, or at the Canadian Prime Rate, plus an additional margin based on the Senior Leverage Ratio ranging from 2.25% to 3.0%.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0.30% and 0.45% based on the Senior Leverage Ratio.</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Credit Agreement includes a Senior Leverage Ratio covenant which provides that Consolidated Funded Indebtedness, as of the end of any fiscal quarter, may not exceed 2.5 times Consolidated EBITDA, as defined in the Credit Agreement, over the previous four quarters. For the four quarters ended December 31, 2013, Consolidated EBITDA, as defined in the Credit Agreement, was $64.4 million. Accordingly, at December 31, 2013, there were no restrictions on our ability to access the full amount of the credit facility. Consolidated Funded Indebtedness at December 31, 2013 was $29.5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credit facility was as follows:</w:t>
      </w:r>
    </w:p>
    <w:p>
      <w:pPr>
        <w:spacing w:after="0" w:line="339"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4"/>
                <w:szCs w:val="14"/>
                <w:color w:val="auto"/>
              </w:rPr>
            </w:pPr>
          </w:p>
        </w:tc>
        <w:tc>
          <w:tcPr>
            <w:tcW w:w="1140" w:type="dxa"/>
            <w:vAlign w:val="bottom"/>
          </w:tcPr>
          <w:p>
            <w:pPr>
              <w:jc w:val="right"/>
              <w:ind w:right="476"/>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7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2013</w:t>
            </w:r>
          </w:p>
        </w:tc>
      </w:tr>
      <w:tr>
        <w:trPr>
          <w:trHeight w:val="196"/>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125,000</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Borrowings outstanding</w:t>
            </w:r>
          </w:p>
        </w:tc>
        <w:tc>
          <w:tcPr>
            <w:tcW w:w="22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23,191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13,120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13,372</w:t>
            </w:r>
          </w:p>
        </w:tc>
      </w:tr>
      <w:tr>
        <w:trPr>
          <w:trHeight w:val="257"/>
        </w:trPr>
        <w:tc>
          <w:tcPr>
            <w:tcW w:w="7200" w:type="dxa"/>
            <w:vAlign w:val="bottom"/>
          </w:tcPr>
          <w:p>
            <w:pPr>
              <w:ind w:left="20"/>
              <w:spacing w:after="0"/>
              <w:rPr>
                <w:sz w:val="20"/>
                <w:szCs w:val="20"/>
                <w:color w:val="auto"/>
              </w:rPr>
            </w:pPr>
            <w:r>
              <w:rPr>
                <w:rFonts w:ascii="Arial" w:cs="Arial" w:eastAsia="Arial" w:hAnsi="Arial"/>
                <w:sz w:val="18"/>
                <w:szCs w:val="18"/>
                <w:color w:val="auto"/>
              </w:rPr>
              <w:t>Availability under the senior credit facility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88,689</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111,628</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Outstanding borrowings at December 31, 2013 included advances used to assist in the funding of a recent business acquisition and Canadian dollar advances to fund our existing Canadian operations including amounts to settle intercompany cross currency billings. The acquisition is discussed further in Note 2 - Acquisitions.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compliance with all affirmative, negative, and financial covenants under the Credit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94"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Company complies with ASC 740, “Income Taxes”. Deferred income taxes are computed using the liability method whereby deferred tax assets and liabilities are recognized based on temporary differences between the financial and tax basis of assets and liabilities using presently enacted tax rates. Valuation allowances are established against deferred tax assets to the extent management believes that it is not probable the assets will be recovered.</w:t>
      </w:r>
    </w:p>
    <w:p>
      <w:pPr>
        <w:spacing w:after="0" w:line="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provides for income taxes regardless of whether it has received a tax assessment. Taxes are provided when it is considered probable that additional taxes will be due in excess of amounts included in the tax return. The Company regularly reviews exposure to additional income taxes due, and as further information is known or events occur, adjustments may be recorded.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- 13-</w:t>
      </w:r>
    </w:p>
    <w:p>
      <w:pPr>
        <w:sectPr>
          <w:pgSz w:w="11900" w:h="16838" w:orient="portrait"/>
          <w:cols w:equalWidth="0" w:num="1">
            <w:col w:w="11320"/>
          </w:cols>
          <w:pgMar w:left="24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Change Orders and Claims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and claims of $12.0 million at December 31, 2013 and $9.1 million at June 30, 2013. Generally, collection of amounts related to unapproved change orders and claims is expected within twelve months. However, since customers may not pay these amounts until final resolution of related claims, collection of these amounts may extend beyond one year.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020" w:type="dxa"/>
            <w:vAlign w:val="bottom"/>
          </w:tcPr>
          <w:p>
            <w:pPr>
              <w:jc w:val="right"/>
              <w:ind w:right="74"/>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r>
      <w:tr>
        <w:trPr>
          <w:trHeight w:val="196"/>
        </w:trPr>
        <w:tc>
          <w:tcPr>
            <w:tcW w:w="6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5"/>
          </w:tcPr>
          <w:p>
            <w:pPr>
              <w:spacing w:after="0"/>
              <w:rPr>
                <w:sz w:val="20"/>
                <w:szCs w:val="20"/>
                <w:color w:val="auto"/>
              </w:rPr>
            </w:pPr>
            <w:r>
              <w:rPr>
                <w:rFonts w:ascii="Arial" w:cs="Arial" w:eastAsia="Arial" w:hAnsi="Arial"/>
                <w:sz w:val="14"/>
                <w:szCs w:val="14"/>
                <w:color w:val="auto"/>
              </w:rPr>
              <w:t>(In thousands, except per share data)</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30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10,306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5,436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16,858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10,120</w:t>
            </w:r>
          </w:p>
        </w:tc>
      </w:tr>
      <w:tr>
        <w:trPr>
          <w:trHeight w:val="251"/>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26,245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25,939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26,180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25,863</w:t>
            </w: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1"/>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EPS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0.39</w:t>
            </w: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26,245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25,939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26,180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25,863</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Dilutive nonvested deferred shares</w:t>
            </w:r>
          </w:p>
        </w:tc>
        <w:tc>
          <w:tcPr>
            <w:tcW w:w="1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244</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1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26,884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26,204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26,772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26,172</w:t>
            </w: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652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0.39</w:t>
            </w: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securities are considered antidilutive and have been excluded from the calculation of Diluted EPS: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580" w:type="dxa"/>
            <w:vAlign w:val="bottom"/>
            <w:tcBorders>
              <w:bottom w:val="single" w:sz="8" w:color="auto"/>
            </w:tcBorders>
            <w:gridSpan w:val="3"/>
          </w:tcPr>
          <w:p>
            <w:pPr>
              <w:jc w:val="right"/>
              <w:ind w:right="61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3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December 31,</w:t>
            </w: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December 31,</w:t>
            </w: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December 31,</w:t>
            </w:r>
          </w:p>
        </w:tc>
        <w:tc>
          <w:tcPr>
            <w:tcW w:w="1240" w:type="dxa"/>
            <w:vAlign w:val="bottom"/>
          </w:tcPr>
          <w:p>
            <w:pPr>
              <w:jc w:val="right"/>
              <w:ind w:right="137"/>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3760" w:type="dxa"/>
            <w:vAlign w:val="bottom"/>
          </w:tcPr>
          <w:p>
            <w:pPr>
              <w:spacing w:after="0"/>
              <w:rPr>
                <w:sz w:val="16"/>
                <w:szCs w:val="16"/>
                <w:color w:val="auto"/>
              </w:rPr>
            </w:pPr>
          </w:p>
        </w:tc>
        <w:tc>
          <w:tcPr>
            <w:tcW w:w="3540" w:type="dxa"/>
            <w:vAlign w:val="bottom"/>
            <w:gridSpan w:val="2"/>
          </w:tcPr>
          <w:p>
            <w:pPr>
              <w:jc w:val="right"/>
              <w:ind w:right="40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240" w:type="dxa"/>
            <w:vAlign w:val="bottom"/>
          </w:tcPr>
          <w:p>
            <w:pPr>
              <w:jc w:val="right"/>
              <w:ind w:right="39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240" w:type="dxa"/>
            <w:vAlign w:val="bottom"/>
          </w:tcPr>
          <w:p>
            <w:pPr>
              <w:jc w:val="right"/>
              <w:ind w:right="397"/>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37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gridSpan w:val="4"/>
          </w:tcPr>
          <w:p>
            <w:pPr>
              <w:ind w:left="900"/>
              <w:spacing w:after="0"/>
              <w:rPr>
                <w:sz w:val="20"/>
                <w:szCs w:val="20"/>
                <w:color w:val="auto"/>
              </w:rPr>
            </w:pPr>
            <w:r>
              <w:rPr>
                <w:rFonts w:ascii="Arial" w:cs="Arial" w:eastAsia="Arial" w:hAnsi="Arial"/>
                <w:sz w:val="14"/>
                <w:szCs w:val="14"/>
                <w:color w:val="auto"/>
              </w:rPr>
              <w:t>(In thousands)</w:t>
            </w: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Nonvested deferred shares</w:t>
            </w:r>
          </w:p>
        </w:tc>
        <w:tc>
          <w:tcPr>
            <w:tcW w:w="3540" w:type="dxa"/>
            <w:vAlign w:val="bottom"/>
            <w:gridSpan w:val="2"/>
          </w:tcPr>
          <w:p>
            <w:pPr>
              <w:jc w:val="right"/>
              <w:ind w:right="4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354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jc w:val="right"/>
              <w:ind w:right="94"/>
              <w:spacing w:after="0"/>
              <w:rPr>
                <w:sz w:val="20"/>
                <w:szCs w:val="20"/>
                <w:color w:val="auto"/>
              </w:rPr>
            </w:pPr>
            <w:r>
              <w:rPr>
                <w:rFonts w:ascii="Arial" w:cs="Arial" w:eastAsia="Arial" w:hAnsi="Arial"/>
                <w:sz w:val="18"/>
                <w:szCs w:val="18"/>
                <w:color w:val="auto"/>
              </w:rPr>
              <w:t>- 14-</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6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gas fired power stations, and renewable energy installations.</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industrial and natural gas, gas processing and compression, and upstream petroleum markets.</w:t>
      </w:r>
    </w:p>
    <w:p>
      <w:pPr>
        <w:spacing w:after="0" w:line="12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Storage Solutions segment includes new construction of crude and refined products aboveground storage tanks, as well as planned and emergency maintenance services. Also included in the Storage Solutions segment is work related to specialty storage tanks including liquefied natural gas (“LNG”), liquid nitrogen/liquid oxygen (“LIN/LOX”), liquid petroleum (“LPG”) tanks and other specialty vessels including spheres. Finally, the Storage Solutions segment includes balance of plant work in storage terminals and tank farms.</w:t>
      </w:r>
    </w:p>
    <w:p>
      <w:pPr>
        <w:spacing w:after="0" w:line="133"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Industrial segment includes work in the iron and steel and mining and minerals industries, bulk material handling, fertilizer production facilities, as well as work for clients in other industrial markets.</w:t>
      </w:r>
    </w:p>
    <w:p>
      <w:pPr>
        <w:spacing w:after="0" w:line="11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evaluates performance and allocates resources based on operating income. The accounting policies of the reportable segments are the same as those described in the summary of significant accounting policies. Intersegment sales and transfers are recorded at cost; therefore, no intercompany profit or loss is recognized.</w:t>
      </w:r>
    </w:p>
    <w:p>
      <w:pPr>
        <w:spacing w:after="0" w:line="12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goodwill and other intangible assets.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60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37,180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50,123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70,057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83,393</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124,913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133,732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180,655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98,183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289,201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203,601</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53,821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12,008</w:t>
            </w:r>
          </w:p>
        </w:tc>
      </w:tr>
      <w:tr>
        <w:trPr>
          <w:trHeight w:val="297"/>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311,086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221,974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537,992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432,734</w:t>
            </w: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Less: Inter-segment revenues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1,690</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inter-segment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1,690</w:t>
            </w: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revenues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37,180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50,123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70,057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83,393</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124,606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133,732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180,577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97,645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288,731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201,911</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53,821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12,008</w:t>
            </w:r>
          </w:p>
        </w:tc>
      </w:tr>
      <w:tr>
        <w:trPr>
          <w:trHeight w:val="297"/>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consolidated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310,998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221,436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537,215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431,044</w:t>
            </w: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 (loss)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3,854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6,629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7,184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11,335</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15,912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19,788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7,748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32,625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17,717</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97"/>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34,150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22,333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59,626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44,577</w:t>
            </w: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3,696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6,015</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10,760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16,592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4,999</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r>
      <w:tr>
        <w:trPr>
          <w:trHeight w:val="297"/>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operating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14,817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8,772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25,579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16,696</w:t>
            </w: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assets (A)</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89,205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72,229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89,205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72,229</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76,044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71,086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76,044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179,666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163,906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179,666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163,906</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104,043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14,555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Unallocated assets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91,907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49,340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91,907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49,340</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segment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535,907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376,074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535,907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376,074</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540" w:right="80" w:hanging="316"/>
        <w:spacing w:after="0" w:line="256"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December 31, 2013 balances include the assets of Matrix NAC and are allocated to the Electrical Infrastructure, Oil Gas &amp; Chemical, and Industrial segments in the amounts of $38.6 million, $3.3 million and $69.6 million, respectively. Unallocated assets includes $36.3 million of Goodwill related to the acquisition. As previously noted, we are currently assessing the impact of the acquisition on our reporting units and expect to have the Goodwill analysis complete in the third quarter of fiscal 2014.</w:t>
      </w:r>
    </w:p>
    <w:p>
      <w:pPr>
        <w:sectPr>
          <w:pgSz w:w="11900" w:h="16838" w:orient="portrait"/>
          <w:cols w:equalWidth="0" w:num="1">
            <w:col w:w="11420"/>
          </w:cols>
          <w:pgMar w:left="240" w:top="125" w:right="2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- 16-</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3980"/>
        <w:spacing w:after="0" w:line="34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CRITICAL ACCOUNTING ESTIMATES</w:t>
      </w:r>
    </w:p>
    <w:p>
      <w:pPr>
        <w:spacing w:after="0" w:line="1"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There have been no material changes in our critical accounting policies from those reported in our fiscal 2013 Annual Report on Form 10-K filed with the SEC. For more information on our critical accounting policies, see Part II, Item 7 of our fiscal 2013 Annual Report on Form 10-K. The following section provides certain information with respect to our critical accounting estimates as of the close of our most recent quarterly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Unapproved Change Orders and Claims</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and claims of $12.0 million at December 31, 2013 and $9.1 million at June 30, 2013. The amounts ultimately realized may be significantly different than the recorded amounts resulting in a material adjustment to future earnings.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SME Receivables</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continues to pursue collection of certain receivables acquired in connection with the purchase of S.M. Electric Company, Inc. in February 2009. The recorded values at December 31, 2013 include $0.7 million in claim receivables, which represents the Company’s best estimate of the amount to be collected under a claim, and an additional $2.9 million for amounts due under the related contract. Recovering the remaining receivables will require mediation or litigation and the ultimate amount realized may be significantly different than the recorded amounts, which could result in an adjustment to future earnings.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maintain insurance coverage for various aspects of our operations. However, we retain exposure to potential losses through the use of deductibles, self-insured retentions and coverage limits. We establish reserves for claims using a combination of actuarially determined estimates and management judgment on a case-by-case basis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and losses that could be significant.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has five significant reporting units with goodwill representing 39%, 19%, 13%, 10% and 10% of the total goodwill balance. Our most recent annual goodwill impairment test, performed in the fourth quarter of fiscal 2013, indicated that the fair value of these reporting units exceeded their respective carrying values by 64%, 224%, 144%, 149% and 123%. The remaining 9% of total goodwill is spread between two other reporting units. Based on the excess of estimated fair value over carrying value and the absence of any indicators of impairment at December 31, 2013, the Company does not currently anticipate recording a goodwill impairment charge for any of its operating units. The Company is currently assessing the impact of the acquisition on its reporting units and expects to have the analysis complete in the third quarter of fiscal 2014.</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Intangible assets that have finite useful lives are amortized by the straight-line method over their useful lives ranging from 1 to 15 years. Intangible assets that have indefinite useful lives are not amortized but are tested at least annually for impairment. Each reporting period, we evaluate the remaining useful lives of intangible assets not being amortized to determine whether facts and circumstances continue to support an indefinite useful life and review both amortizing and non-amortizing intangible assets for impairment indicators. Based on these reviews, the Company has determined that the indefinite lives assigned to its indefinite lived intangible assets are appropriate and no impairment indicators exist at December 31, 2013.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Accounting Standards Update 2013-04, Liabilities (Topic 405): Obligations Resulting from Joint and Several Liability Arrangements for Which the Total Amount of the Obligation Is Fixed at the Reporting Date</w:t>
      </w:r>
    </w:p>
    <w:p>
      <w:pPr>
        <w:spacing w:after="0" w:line="3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February 2013, the FASB issued Accounting Standards Update No. 2013-04, "Liabilities (Topic 405): Obligations Resulting from Joint and Several Liability Arrangements for Which the Total Amount of the Obligation Is Fixed at the Reporting Date" (ASU 2013-04). ASU 2013-04 addresses the recognition, measurement and disclosure of obligations when multiple parties incur joint liabilities where the total amount of the obligation is fixed at the financial reporting date. This standard requires the recognition of the total amount of the liability that the parties are obligated to pay under an arrangement, along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with any additional amount the company might expect to pay on behalf of other parties to the liability. ASU 2013-04 is effective for periods beginning after December 15, 2013. We currently do not expect the adoption of this standard to have a material impact on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the following four segments:</w:t>
      </w:r>
    </w:p>
    <w:p>
      <w:pPr>
        <w:spacing w:after="0" w:line="225" w:lineRule="exact"/>
        <w:rPr>
          <w:sz w:val="20"/>
          <w:szCs w:val="20"/>
          <w:color w:val="auto"/>
        </w:rPr>
      </w:pPr>
    </w:p>
    <w:p>
      <w:pPr>
        <w:ind w:left="980" w:right="14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coal fired power stations, and renewable energy installations.</w:t>
      </w:r>
    </w:p>
    <w:p>
      <w:pPr>
        <w:spacing w:after="0" w:line="186" w:lineRule="exact"/>
        <w:rPr>
          <w:rFonts w:ascii="Arial" w:cs="Arial" w:eastAsia="Arial" w:hAnsi="Arial"/>
          <w:sz w:val="18"/>
          <w:szCs w:val="18"/>
          <w:color w:val="auto"/>
        </w:rPr>
      </w:pPr>
    </w:p>
    <w:p>
      <w:pPr>
        <w:jc w:val="both"/>
        <w:ind w:left="980" w:right="80" w:hanging="324"/>
        <w:spacing w:after="0" w:line="31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Oil Gas &amp; Chemical segment includes our traditional turnaround activities, plant maintenance services and construction in the downstream petroleum industry. Another key offering is industrial cleaning services, which includes hydroblasting, hydroexcavating, chemical cleaning and vacuum services. We also perform work in the industrial and natural gas, gas processing and compression, and upstream petroleum markets.</w:t>
      </w:r>
    </w:p>
    <w:p>
      <w:pPr>
        <w:spacing w:after="0" w:line="146" w:lineRule="exact"/>
        <w:rPr>
          <w:rFonts w:ascii="Arial" w:cs="Arial" w:eastAsia="Arial" w:hAnsi="Arial"/>
          <w:sz w:val="16"/>
          <w:szCs w:val="16"/>
          <w:color w:val="auto"/>
        </w:rPr>
      </w:pPr>
    </w:p>
    <w:p>
      <w:pPr>
        <w:ind w:left="980" w:hanging="324"/>
        <w:spacing w:after="0" w:line="279"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Storage Solutions segment includes new construction of crude and refined products aboveground storage tanks, as well as planned and emergency maintenance services. Also included in the Storage Solutions segment is work related to specialty storage tanks including liquefied natural gas (“LNG”), liquid nitrogen/liquid oxygen (“LIN/LOX”), liquid petroleum (“LPG”) tanks and other specialty vessels including spheres. Finally, the Storage Solutions segment includes balance of plant work in storage terminals and tank farms.</w:t>
      </w:r>
    </w:p>
    <w:p>
      <w:pPr>
        <w:spacing w:after="0" w:line="171" w:lineRule="exact"/>
        <w:rPr>
          <w:rFonts w:ascii="Arial" w:cs="Arial" w:eastAsia="Arial" w:hAnsi="Arial"/>
          <w:sz w:val="17"/>
          <w:szCs w:val="17"/>
          <w:color w:val="auto"/>
        </w:rPr>
      </w:pPr>
    </w:p>
    <w:p>
      <w:pPr>
        <w:ind w:left="980" w:right="40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Industrial segment includes work in the iron and steel and mining and minerals industries, bulk material handling, fertilizer production facilities, as well as work for clients in other industrial markets.</w:t>
      </w:r>
    </w:p>
    <w:p>
      <w:pPr>
        <w:spacing w:after="0" w:line="166" w:lineRule="exact"/>
        <w:rPr>
          <w:sz w:val="20"/>
          <w:szCs w:val="20"/>
          <w:color w:val="auto"/>
        </w:rPr>
      </w:pPr>
    </w:p>
    <w:p>
      <w:pPr>
        <w:ind w:right="3680" w:firstLine="54"/>
        <w:spacing w:after="0" w:line="346" w:lineRule="auto"/>
        <w:rPr>
          <w:sz w:val="20"/>
          <w:szCs w:val="20"/>
          <w:color w:val="auto"/>
        </w:rPr>
      </w:pPr>
      <w:r>
        <w:rPr>
          <w:rFonts w:ascii="Arial" w:cs="Arial" w:eastAsia="Arial" w:hAnsi="Arial"/>
          <w:sz w:val="18"/>
          <w:szCs w:val="18"/>
          <w:b w:val="1"/>
          <w:bCs w:val="1"/>
          <w:color w:val="auto"/>
        </w:rPr>
        <w:t>Three Months Ended December 31, 2013 Compared to the Three Months Ended December 31, 2012 Consolidated</w:t>
      </w:r>
    </w:p>
    <w:p>
      <w:pPr>
        <w:spacing w:after="0" w:line="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Consolidated revenues were $311.0 million for the three months ended December 31, 2013, an increase of $89.6 million, or 40.5%, from consolidated revenues of $221.4 million in the same period in the prior fiscal year. The increase in consolidated revenues was a result of increases in Storage Solutions and Industrial revenues, which increased $82.9 million and $24.1 million respectively, partially offset by decreases in Electrical Infrastructure and Oil Gas &amp; Chemical revenues of $12.9 million and $4.5 million, respectively. Consolidated gross profit increased from $22.3 million in the three months ended December 31, 2012 to $34.2 million in the three months ended December 31, 2013. The increase of $11.9 million was due to both higher revenues and higher gross margins which increased to 11.0% in fiscal 2014 compared to 10.1% a year earlier.</w:t>
      </w:r>
    </w:p>
    <w:p>
      <w:pPr>
        <w:spacing w:after="0" w:line="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Consolidated SG&amp;A expenses were $19.3 million in the three months ended December 31, 2013 compared to $13.6 million in the same period a year earlier. The increase of $5.7 million, or 41.9%, was primarily related to direct costs incurred in conjunction with the acquisition of Kvaerner North American Construction as discussed in Note 2, higher incentive compensation costs, increased tax related professional fees and increased support costs related to higher business volumes. SG&amp;A expense as a percentage of revenue was 6.2% in the three months ended December 31, 2013 and 6.1% for the three months ended December 31, 2012.</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was $0.3 million in the three months ended December 31, 2013 and $0.2 million in the same period a year earlier.</w:t>
      </w:r>
    </w:p>
    <w:p>
      <w:pPr>
        <w:spacing w:after="0" w:line="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Other expense in the three months ended December 31, 2013 was $0.1 million. There was no other income or expense in the three months ended December 31, 2012.</w:t>
      </w:r>
    </w:p>
    <w:p>
      <w:pPr>
        <w:spacing w:after="0" w:line="3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effective tax rate was 28.4% for the three months ended December 31, 2013 and 36.5% for the three months ended December 31, 2012. We completed a fiscal 2013 R&amp;D study in the second quarter of fiscal 2014 resulting in a significantly higher credit than previously estimated. Therefore, we recorded a benefit from the increased credit available for fiscal 2013 R&amp;D activities and increased our estimate of the benefit we expect to receive for fiscal 2014 R&amp;D activities. The fiscal 2013 tax rate was primarily affected by an increase in the estimate of certain tax credits available to the Company, partially offset by the effect of a change in deductibility limitations applying to certain items that had been previously fully deducted.</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Revenues for the Electrical Infrastructure segment decreased $12.9 million to $37.2 million in the three months ended December 31, 2013 compared to $50.1 million in the same period a year earlier. The decreased revenue volume in fiscal 2014 was primarily due to a lack of storm restoration services work and lower high voltage work due to short term delays in certain key customer spending. Gross margins were 10.4% in the three months ended December 31, 2013 compared to 13.2% in the same period a year earlier. Fiscal 2014 margins were negatively affected by the mix of work leading to lower direct margins and lower recovery of overhead costs. Fiscal 2013 margins were positively affected from higher direct margins related to storm restoration work and higher recovery of overhead costs.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Revenues for the Oil Gas &amp; Chemical segment decreased to $62.1 million in the three months ended December 31, 2013 compared to $66.6 million in the same period a year earlier. The decrease of $4.5 million, or 6.8%, was primarily due to a lower level of capital construction projects partially offset by higher turnaround and industrial cleaning work. Gross margins declined from 12.1% in fiscal 2013 to 10.8% in the three months ended December 31, 2013 primarily due to lower margins in both the industrial cleaning and capital construction businesses and an unfavorable variance in the absorption of construction overhead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9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Revenues for the Storage Solutions segment increased to $180.6 million in the three months ended December 31, 2013 compared to $97.7 million in the same period a year earlier. The increase of $82.9 million, or 84.9%, was primarily due to higher levels of domestic aboveground storage tank and significant terminal balance of plant work. The fiscal 2014 gross margin was reduced by 2.6% to 11.0% due to a project charge of $4.4 million. Gross margins in fiscal 2013 were reduced by 3.8% to 7.9% due to a project charge of $3.3 million. The overall improvement in the gross margin is due to the reduced impact of project charges and strong project execution in fiscal 2014, particularly on certain key strategic projects.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Revenues for the Industrial segment increased to $31.1 million in the three months ended December 31, 2013 compared to $7.0 million in the same period a year earlier. The increase of $24.1 million was primarily due to growth in our mining and minerals and material handling businesses, as well as ongoing work on a previously announced project for the engineering, procurement and construction of specialty tanks in a nitrogen fertilizer complex. Fiscal 2014 revenues also included $3.9 million related to the acquisition discussed in Note 2. Gross margins were 12.3% in the three months ended December 31, 2013 compared to (1.3%) in the same period a year earlier. The improvement in gross margins is due to improved execution, a higher recovery of construction overhead costs and a favorable contract settlement.</w:t>
      </w:r>
    </w:p>
    <w:p>
      <w:pPr>
        <w:spacing w:after="0" w:line="216" w:lineRule="exact"/>
        <w:rPr>
          <w:sz w:val="20"/>
          <w:szCs w:val="20"/>
          <w:color w:val="auto"/>
        </w:rPr>
      </w:pPr>
    </w:p>
    <w:p>
      <w:pPr>
        <w:ind w:right="4180"/>
        <w:spacing w:after="0" w:line="346" w:lineRule="auto"/>
        <w:rPr>
          <w:sz w:val="20"/>
          <w:szCs w:val="20"/>
          <w:color w:val="auto"/>
        </w:rPr>
      </w:pPr>
      <w:r>
        <w:rPr>
          <w:rFonts w:ascii="Arial" w:cs="Arial" w:eastAsia="Arial" w:hAnsi="Arial"/>
          <w:sz w:val="18"/>
          <w:szCs w:val="18"/>
          <w:b w:val="1"/>
          <w:bCs w:val="1"/>
          <w:color w:val="auto"/>
        </w:rPr>
        <w:t>Six Months Ended December 31, 2013 Compared to the Six Months Ended December 31, 2012 Consolidated</w:t>
      </w:r>
    </w:p>
    <w:p>
      <w:pPr>
        <w:spacing w:after="0" w:line="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Consolidated revenues were $537.2 million for the six months ended December 31, 2013, an increase of $106.2 million, or 24.6%, from consolidated revenues of $431.0 million in the same period in the prior fiscal year. The increase in consolidated revenues was a result of increases in Storage Solutions and Industrial revenues, which increased $86.8 million and $41.8 million respectively, partially offset by decreases in Electrical Infrastructure and Oil Gas &amp; Chemical revenues of $13.3 million and $9.1 million, respectively. Consolidated gross profit increased from $44.6 million in the six months ended December 31, 2012 to $59.6 million in the six months ended December 31, 2013. The increase of $15.0 million was due to both higher revenues and higher gross margins which increased to 11.1% in fiscal 2014 compared to 10.3% a year earlier.</w:t>
      </w:r>
    </w:p>
    <w:p>
      <w:pPr>
        <w:spacing w:after="0" w:line="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Consolidated SG&amp;A expenses were $34.0 million in the six months ended December 31, 2013 compared to $27.9 million in the same period a year earlier. The increase of $6.1 million, or 21.9%, was primarily related to direct costs incurred in conjunction with the acquisition of Kvaerner North American Construction as discussed in Note 2, higher incentive compensation costs, increased tax related professional fees and increased support costs related to higher business volumes. SG&amp;A expense as a percentage of revenue was 6.3% in the six months ended December 31, 2013 compared to 6.5% in the same period a year earlier.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was $0.6 million in the six months ended December 31, 2013 and $0.4 million in the same period a year earlier.</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Other expense in the six months ended December 31, 2013 was $0.2 million. Other income in the six months ended December 31, 2012 was $0.1 million.</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effective tax rate was 32.2% for the six months ended December 31, 2013 and 38.2% for the six months ended December 31, 2012. We completed a fiscal 2013 R&amp;D study in the second quarter of fiscal 2014 resulting in a significantly higher credit than previously estimated, therefore, we recorded a discrete positive adjustment of approximately $1.0 million. In addition, we increased our estimate of the fiscal 2014 R&amp;D credit resulting in an additional benefit of approximately $0.7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Revenues for the Electrical Infrastructure segment decreased $13.3 million to $70.1 million in the six months ended December 31, 2013 compared to $83.4 million in the same period a year earlier. The decline in revenues was primarily attributable to lower storm related work in fiscal 2014. Gross margins were 10.3% in the six months ended December 31, 2013 compared to 13.6% in the same period a year earlier. Fiscal 2014 margins were negatively affected by the mix of work leading to lower direct margins and higher unrecovered overhead costs. Fiscal 2013 margins were positively affected from higher direct margins related to storm restoration work.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9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Revenues for the Oil Gas &amp; Chemical segment decreased to $124.6 million in the six months ended December 31, 2013 compared to $133.7 million in the same period a year earlier. The decrease of $9.1 million, or 6.8%, was primarily due to a lower level of capital construction projects partially offset by higher turnaround and industrial cleaning work. Gross margins were 11.4% in the six months ended December 31, 2013 compared to 11.9% a year earlier.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Revenues for the Storage Solutions segment increased to $288.7 million in the six months ended December 31, 2013 compared to $201.9 million in the same period a year earlier. The increase of $86.8 million, or 43.0%, was primarily due to higher levels of domestic aboveground storage tank and significant terminal balance of plant work. The fiscal 2014 gross margin was reduced by 1.7% to 11.3% due to a project charge of $4.0 million. Gross margins in fiscal 2013 were reduced by 1.8% to 8.8% due to a project charge of $3.0 million. The overall improvement in the gross margin is due to the reduced impact of project charges and strong project execution in fiscal 2014, particularly on certain key strategic projects.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Revenues for the Industrial segment increased to $53.8 million in the six months ended December 31, 2013 compared to $12.0 million in the same period a year earlier. The increase of $41.8 million was primarily due to growth in our mining and minerals and material handling businesses, as well as ongoing work on a previously announced project for the engineering, procurement and construction of specialty tanks in a nitrogen fertilizer complex. Fiscal 2014 revenues also included $3.9 million related to the acquisition discussed in Note 2. Gross margins were 10.4% in the six months ended December 31, 2013 compared to (3.2%) in the same period a year earlier. The improvement in gross margins is due to improved execution, a higher recovery of construction overhead costs and a favorable contract settlement.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9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We define backlog as the total dollar amount of revenues that we expect to recognize as a result of performing work that has been awarded to us through a signed contract, notice to proceed or other type of assurance that we consider firm. The following arrangements are considered firm:</w:t>
      </w:r>
    </w:p>
    <w:p>
      <w:pPr>
        <w:spacing w:after="0" w:line="14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1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For long-term maintenance contracts and other established customer arrangements, we include only the amounts that we expect to recognize into revenue over the next 12 months. For all other arrangements, we calculate backlog as the estimated contract amount less revenues recognized as of the reporting date.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- 20-</w:t>
      </w:r>
    </w:p>
    <w:p>
      <w:pPr>
        <w:sectPr>
          <w:pgSz w:w="11900" w:h="16838" w:orient="portrait"/>
          <w:cols w:equalWidth="0" w:num="1">
            <w:col w:w="11360"/>
          </w:cols>
          <w:pgMar w:left="240" w:top="125"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December 31, 2013:</w:t>
      </w:r>
    </w:p>
    <w:p>
      <w:pPr>
        <w:spacing w:after="0" w:line="339"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80" w:type="dxa"/>
            <w:vAlign w:val="bottom"/>
          </w:tcPr>
          <w:p>
            <w:pPr>
              <w:spacing w:after="0"/>
              <w:rPr>
                <w:sz w:val="14"/>
                <w:szCs w:val="14"/>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 as of September 30,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97,087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118,920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382,001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74,809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672,817</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Backlog acquired</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123,492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2,825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115,723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242,040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awards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29,096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82,729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152,056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278,771</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Revenue recognized</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(37,180)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(62,111)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(180,577)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(31,130)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(310,998)</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 as of December 31, 2013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212,495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142,363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353,480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174,292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882,630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six months ended December 31, 2013:</w:t>
      </w:r>
    </w:p>
    <w:p>
      <w:pPr>
        <w:spacing w:after="0" w:line="339"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80" w:type="dxa"/>
            <w:vAlign w:val="bottom"/>
          </w:tcPr>
          <w:p>
            <w:pPr>
              <w:spacing w:after="0"/>
              <w:rPr>
                <w:sz w:val="14"/>
                <w:szCs w:val="14"/>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 as of June 30,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103,520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120,138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319,718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83,361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626,737</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Backlog acquired</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123,492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2,825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115,723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242,040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awards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55,540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144,006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322,493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551,068</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Revenue recognized</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(70,057)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(124,606)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(288,731)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(53,821)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(537,215)</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 as of December 31, 2013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212,495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142,363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353,480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174,292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882,630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EBITDA is a supplemental, non-GAAP financial measure. EBITDA is defined as earnings before interest expense, income taxes, depreciation and amortization. We have presented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necessarily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197" w:lineRule="exact"/>
        <w:rPr>
          <w:sz w:val="20"/>
          <w:szCs w:val="20"/>
          <w:color w:val="auto"/>
        </w:rPr>
      </w:pPr>
    </w:p>
    <w:p>
      <w:pPr>
        <w:ind w:left="980" w:right="180" w:hanging="324"/>
        <w:spacing w:after="0" w:line="286"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It does not include interest expense. Because we have borrowed money to finance our operations,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65" w:lineRule="exact"/>
        <w:rPr>
          <w:rFonts w:ascii="Arial" w:cs="Arial" w:eastAsia="Arial" w:hAnsi="Arial"/>
          <w:sz w:val="17"/>
          <w:szCs w:val="17"/>
          <w:color w:val="auto"/>
        </w:rPr>
      </w:pPr>
    </w:p>
    <w:p>
      <w:pPr>
        <w:ind w:left="980" w:right="3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70" w:lineRule="exact"/>
        <w:rPr>
          <w:rFonts w:ascii="Arial" w:cs="Arial" w:eastAsia="Arial" w:hAnsi="Arial"/>
          <w:sz w:val="18"/>
          <w:szCs w:val="18"/>
          <w:color w:val="auto"/>
        </w:rPr>
      </w:pPr>
    </w:p>
    <w:p>
      <w:pPr>
        <w:ind w:left="980" w:right="24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208" w:lineRule="exact"/>
        <w:rPr>
          <w:rFonts w:ascii="Arial" w:cs="Arial" w:eastAsia="Arial" w:hAnsi="Arial"/>
          <w:sz w:val="18"/>
          <w:szCs w:val="18"/>
          <w:color w:val="auto"/>
        </w:rPr>
      </w:pPr>
    </w:p>
    <w:p>
      <w:pPr>
        <w:ind w:left="5640" w:hanging="98"/>
        <w:spacing w:after="0"/>
        <w:tabs>
          <w:tab w:leader="none" w:pos="5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21-</w:t>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EBITDA to net income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35"/>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2012</w:t>
            </w:r>
          </w:p>
        </w:tc>
      </w:tr>
      <w:tr>
        <w:trPr>
          <w:trHeight w:val="196"/>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gridSpan w:val="5"/>
          </w:tcPr>
          <w:p>
            <w:pPr>
              <w:ind w:left="70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10,311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16,863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10,120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400</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6,246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3,831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7,551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5,796</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18,588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11,747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32,987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22,562</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define liquidity as the ongoing ability to pay our liabilities as they become due, fund business operations and meet all monetary contractual obligations. Our primary sources of liquidity for the six months ended December 31, 2013 were cash on hand at the beginning of the fiscal year, capacity under our senior revolving credit facility and cash generated from operations. Cash on hand at December 31, 2013 totaled $73.3 million and availability under the senior revolving credit facility totaled $88.7 million resulting in available liquidity of $162.0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225" w:lineRule="exact"/>
        <w:rPr>
          <w:sz w:val="20"/>
          <w:szCs w:val="20"/>
          <w:color w:val="auto"/>
        </w:rPr>
      </w:pPr>
    </w:p>
    <w:p>
      <w:pPr>
        <w:ind w:left="980" w:right="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70" w:lineRule="exact"/>
        <w:rPr>
          <w:rFonts w:ascii="Arial" w:cs="Arial" w:eastAsia="Arial" w:hAnsi="Arial"/>
          <w:sz w:val="18"/>
          <w:szCs w:val="18"/>
          <w:color w:val="auto"/>
        </w:rPr>
      </w:pPr>
    </w:p>
    <w:p>
      <w:pPr>
        <w:ind w:left="1620" w:right="960" w:hanging="315"/>
        <w:spacing w:after="0" w:line="277"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70" w:lineRule="exact"/>
        <w:rPr>
          <w:rFonts w:ascii="Arial" w:cs="Arial" w:eastAsia="Arial" w:hAnsi="Arial"/>
          <w:sz w:val="18"/>
          <w:szCs w:val="18"/>
          <w:color w:val="auto"/>
        </w:rPr>
      </w:pPr>
    </w:p>
    <w:p>
      <w:pPr>
        <w:ind w:left="1620" w:right="280" w:hanging="315"/>
        <w:spacing w:after="0" w:line="277"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significant retentions or security in the form of letters of credit.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of new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Contract disputes or collection issues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Capacity constraints under our senior revolving credit facility and remaining in compliance with all covenants contained in the credit agreement</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acquisition discussed in Note 2 of the Notes to Condensed Consolidated Financial Statements included in Part 1, Item 1 of this Quarterly Report on Form 10-Q was funded with cash on hand and $15.0 million of borrowings under the senior credit facility. Although the acquisition did result in a reduction to our liquidity, the Company believes that the remaining availability under the credit facility along with cash on hand and cash generated from operations will provide sufficient liquidity to achieve both our short and long-term business objectives.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We have an effective shelf registration statement on file with the SEC under which we may issue, from time to time, up to $400 million of senior debt securities, subordinated debt securities, common stock, preferred stock and warrants. This shelf registration statement gives us additional flexibility, when capital market conditions are favorable, to grow our business, finance acquisitions or to optimize our balance sheet in order to improve or maintain our financial flexibility. We may also elect to issue term debt or increase the amount of our revolving credit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for the Six Months Ended December 31, 2013</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Cash flows provided by operating activities for the six months ended December 31, 2013 totaled $50.5 million. The various components of cash flows from operating activities are as follows: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w:t>
      </w:r>
    </w:p>
    <w:p>
      <w:pPr>
        <w:spacing w:after="0" w:line="333" w:lineRule="exact"/>
        <w:rPr>
          <w:sz w:val="20"/>
          <w:szCs w:val="20"/>
          <w:color w:val="auto"/>
        </w:rPr>
      </w:pPr>
    </w:p>
    <w:tbl>
      <w:tblPr>
        <w:tblLayout w:type="fixed"/>
        <w:tblInd w:w="500" w:type="dxa"/>
        <w:tblCellMar>
          <w:top w:w="0" w:type="dxa"/>
          <w:left w:w="0" w:type="dxa"/>
          <w:bottom w:w="0" w:type="dxa"/>
          <w:right w:w="0" w:type="dxa"/>
        </w:tblCellMar>
      </w:tblPr>
      <w:tr>
        <w:trPr>
          <w:trHeight w:val="270"/>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16,863</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Non-cash expenses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10,130</w:t>
            </w:r>
          </w:p>
        </w:tc>
      </w:tr>
      <w:tr>
        <w:trPr>
          <w:trHeight w:val="27"/>
        </w:trPr>
        <w:tc>
          <w:tcPr>
            <w:tcW w:w="9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Tax benefit from vesting of deferred shares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1,069</w:t>
            </w:r>
          </w:p>
        </w:tc>
      </w:tr>
      <w:tr>
        <w:trPr>
          <w:trHeight w:val="27"/>
        </w:trPr>
        <w:tc>
          <w:tcPr>
            <w:tcW w:w="9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effect of changes in operating assets and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24,561</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90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50,464</w:t>
            </w:r>
          </w:p>
        </w:tc>
      </w:tr>
      <w:tr>
        <w:trPr>
          <w:trHeight w:val="20"/>
        </w:trPr>
        <w:tc>
          <w:tcPr>
            <w:tcW w:w="9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cash effect of significant changes in operating assets and liabilities include the following:</w:t>
      </w:r>
    </w:p>
    <w:p>
      <w:pPr>
        <w:spacing w:after="0" w:line="225" w:lineRule="exact"/>
        <w:rPr>
          <w:sz w:val="20"/>
          <w:szCs w:val="20"/>
          <w:color w:val="auto"/>
        </w:rPr>
      </w:pPr>
    </w:p>
    <w:p>
      <w:pPr>
        <w:ind w:left="980" w:right="3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Accounts receivable increased by $11.7 million. The accounts receivable increase is due to the timing of billings particularly in the Storage Solutions segment. We view this as a normal short-term fluctuation.</w:t>
      </w:r>
    </w:p>
    <w:p>
      <w:pPr>
        <w:spacing w:after="0" w:line="170" w:lineRule="exact"/>
        <w:rPr>
          <w:rFonts w:ascii="Arial" w:cs="Arial" w:eastAsia="Arial" w:hAnsi="Arial"/>
          <w:sz w:val="18"/>
          <w:szCs w:val="18"/>
          <w:color w:val="auto"/>
        </w:rPr>
      </w:pPr>
    </w:p>
    <w:p>
      <w:pPr>
        <w:ind w:left="980" w:right="100" w:hanging="324"/>
        <w:spacing w:after="0" w:line="286"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net change in the combined balance of costs and estimated earnings in excess of billings on uncompleted contracts and billings on uncompleted contracts in excess of costs and estimated earnings caused a decrease to cash of $14.4 million at December 31, 2013. This change was primarily attributable to an increase in costs in excess of billings in the Storage Solutions segment in the current period.</w:t>
      </w:r>
    </w:p>
    <w:p>
      <w:pPr>
        <w:spacing w:after="0" w:line="165" w:lineRule="exact"/>
        <w:rPr>
          <w:rFonts w:ascii="Arial" w:cs="Arial" w:eastAsia="Arial" w:hAnsi="Arial"/>
          <w:sz w:val="17"/>
          <w:szCs w:val="17"/>
          <w:color w:val="auto"/>
        </w:rPr>
      </w:pPr>
    </w:p>
    <w:p>
      <w:pPr>
        <w:ind w:left="980" w:right="14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Accounts payable increased by $32.7 million. The increase was primarily due to the timing of subcontractor payments on a significant Storage Solutions project.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for Investing Activities</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Investing activities used $63.0 million of cash in the first six months of fiscal 2014. This was primarily due to the purchase of Matrix NAC in the amount of $51.4 million, net of cash acquired. The acquisition is discussed in Note 2 of the Notes to Condensed Consolidated Financial Statements included in Part 1, Item 1 of this Quarterly Report on Form 10-Q. Capital expenditures used $12.0 million of cash and proceeds from asset dispositions generated cash of $0.3 million. Capital expenditures consisted of $8.1 million for the purchase of construction equipment, $2.1 million for transportation equipment, $1.3 million for office equipment and software and $0.5 million for land and buildings.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Financing activities provided $22.2 million of cash in the first six months of fiscal 2014 primarily due to net cash borrowings of $23.2 million and stock issuances of $0.6 million, partially offset by treasury shares purchases of $1.6 million. Cash borrowings included a $15.0 million borrowing used to assist in the funding of a recent business acquisition and Canadian dollar advances to fund our existing Canadian operations including amounts to settle intercompany cross currency billings. The acquisition is discussed in Note 2 of the Notes to Condensed Consolidated Financial Statements included in Part 1, Item 1 of this Quarterly Report on Form 10-Q.</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Revolving Credit Facility</w:t>
      </w:r>
    </w:p>
    <w:p>
      <w:pPr>
        <w:spacing w:after="0" w:line="9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Company has a five-year, $125.0 million senior secured revolving credit facility (the “Credit Agreement”) that expires November 7, 2016. Advances under the Credit Agreement may be used for working capital, issuance of letters of credit and other lawful corporate purposes.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Senior Leverage Ratio, as defined in the agreement, may not exceed 2.50 to 1.00 as of the end of each fiscal quarter.</w:t>
      </w:r>
    </w:p>
    <w:p>
      <w:pPr>
        <w:spacing w:after="0" w:line="225"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 as of the end of each fiscal quarter.</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$15.0 million per 12-month period.</w:t>
      </w:r>
    </w:p>
    <w:p>
      <w:pPr>
        <w:spacing w:after="0" w:line="11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additional margin on Alternate Base Rate and LIBOR-based loans ranges between 0.75% and 1.5% and between 1.75% and 2.5%, respectively.</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Credit Agreement also permits us to borrow in Canadian dollars with a sublimit of U.S. $15.0 million. Amounts borrowed in Canadian dollars will bear interest either at the CDOR Rate, plus an additional margin based on the Senior Leverage Ratio ranging from 1.75% to 2.5%, or at the Canadian Prime Rate, plus an additional margin based on the Senior Leverage Ratio ranging from 2.25% to 3.0%.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0.30% and 0.45% based on the Senior Leverage Ratio.</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noted previously, the Credit Agreement includes a Senior Leverage Ratio covenant which provides that Consolidated Funded Indebtedness may not exceed 2.5 times Consolidated EBITDA, as defined in the agreement, over the previous four quarters. For the four quarters ended December 31, 2013, Consolidated EBITDA was $64.4 million. Accordingly, at December 31, 2013, there were no restrictions on our ability to access the full amount of the credit facility. Consolidated Funded Indebtedness at December 31, 2013 was $29.5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credit facility at December 31, 2013 and June 30, 2013 was as follows:</w:t>
      </w:r>
    </w:p>
    <w:p>
      <w:pPr>
        <w:spacing w:after="0" w:line="339"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4"/>
                <w:szCs w:val="14"/>
                <w:color w:val="auto"/>
              </w:rPr>
            </w:pPr>
          </w:p>
        </w:tc>
        <w:tc>
          <w:tcPr>
            <w:tcW w:w="1120" w:type="dxa"/>
            <w:vAlign w:val="bottom"/>
          </w:tcPr>
          <w:p>
            <w:pPr>
              <w:jc w:val="right"/>
              <w:ind w:right="456"/>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7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2013</w:t>
            </w:r>
          </w:p>
        </w:tc>
      </w:tr>
      <w:tr>
        <w:trPr>
          <w:trHeight w:val="196"/>
        </w:trPr>
        <w:tc>
          <w:tcPr>
            <w:tcW w:w="7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20" w:type="dxa"/>
            <w:vAlign w:val="bottom"/>
          </w:tcPr>
          <w:p>
            <w:pPr>
              <w:spacing w:after="0"/>
              <w:rPr>
                <w:sz w:val="17"/>
                <w:szCs w:val="17"/>
                <w:color w:val="auto"/>
              </w:rPr>
            </w:pPr>
          </w:p>
        </w:tc>
      </w:tr>
      <w:tr>
        <w:trPr>
          <w:trHeight w:val="25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125,000</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Borrowings outstanding</w:t>
            </w:r>
          </w:p>
        </w:tc>
        <w:tc>
          <w:tcPr>
            <w:tcW w:w="24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23,191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13,120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13,372</w:t>
            </w:r>
          </w:p>
        </w:tc>
      </w:tr>
      <w:tr>
        <w:trPr>
          <w:trHeight w:val="257"/>
        </w:trPr>
        <w:tc>
          <w:tcPr>
            <w:tcW w:w="7200" w:type="dxa"/>
            <w:vAlign w:val="bottom"/>
          </w:tcPr>
          <w:p>
            <w:pPr>
              <w:ind w:left="20"/>
              <w:spacing w:after="0"/>
              <w:rPr>
                <w:sz w:val="20"/>
                <w:szCs w:val="20"/>
                <w:color w:val="auto"/>
              </w:rPr>
            </w:pPr>
            <w:r>
              <w:rPr>
                <w:rFonts w:ascii="Arial" w:cs="Arial" w:eastAsia="Arial" w:hAnsi="Arial"/>
                <w:sz w:val="18"/>
                <w:szCs w:val="18"/>
                <w:color w:val="auto"/>
              </w:rPr>
              <w:t>Availability under the senior credit facility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88,689</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111,628</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Outstanding borrowings at December 31, 2013 included advances used to assist in the funding of a recent business acquisition and Canadian dollar advances to fund our existing Canadian operations including amounts to settle intercompany cross currency billings.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compliance with all affirmative, negative, and financial covenants under the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9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- 24-</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November 6, 2012, our Board of Directors approved an extension of a stock buyback program through calendar year 2014. The program allows the Company to purchase up to 2,113,497 shares provided that such purchases do not exceed $25.0 million in any calendar year if sufficient liquidity exists and we believe that it is in the best interest of the stockholders. The Company has not purchased any shares under this program since the Board of Directors approved the extension.</w:t>
      </w:r>
    </w:p>
    <w:p>
      <w:pPr>
        <w:spacing w:after="0" w:line="13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to the stock buyback program, the Company may withhold shares of common stock to satisfy the tax withholding obligations upon vesting of an employee’s deferred shares. Matrix withheld 75,533 shares in the first six months of fiscal 2014 to satisfy these obligations. These shares were returned to the Company’s pool of treasury shares.</w:t>
      </w:r>
    </w:p>
    <w:p>
      <w:pPr>
        <w:spacing w:after="0" w:line="1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has 1,549,518 treasury shares as of December 31, 2013 and intends to utilize these treasury shares solely in connection with equity awards under the Company’s stock incentive plans.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generate sufficient cash from operations or to raise cash in order to meet our short and long-term capital requirements;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171"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47" w:lineRule="exact"/>
        <w:rPr>
          <w:sz w:val="20"/>
          <w:szCs w:val="20"/>
          <w:color w:val="auto"/>
        </w:rPr>
      </w:pPr>
    </w:p>
    <w:p>
      <w:pPr>
        <w:ind w:left="980" w:right="6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2013 and listed from time to time in our filings with the Securities and Exchange Commission;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adequacy of our reserves for contingencies;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gas, power and mining and minerals industries in particular;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640" w:hanging="98"/>
        <w:spacing w:after="0"/>
        <w:tabs>
          <w:tab w:leader="none" w:pos="5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- 26-</w:t>
      </w:r>
    </w:p>
    <w:p>
      <w:pPr>
        <w:sectPr>
          <w:pgSz w:w="11900" w:h="16838" w:orient="portrait"/>
          <w:cols w:equalWidth="0" w:num="1">
            <w:col w:w="11340"/>
          </w:cols>
          <w:pgMar w:left="240" w:top="125" w:right="3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2013, filed with the Securities and Exchange Commission. For more information on market risk, see Part II, Item 7A in our fiscal 2013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December 31, 2013. Based on the foregoing, our Chief Executive Officer and Chief Financial Officer concluded that our disclosure controls and procedures were effective at the reasonable assurance level at December 31, 2013.</w:t>
      </w:r>
    </w:p>
    <w:p>
      <w:pPr>
        <w:spacing w:after="0" w:line="1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completed the acquisition of Matrix NAC effective December 21, 2013. We are in the process of assessing and, to the extent necessary, making changes to the internal control over financial reporting of Matrix NAC to conform such internal control to that used on our other operations. However, we are not yet required to evaluate, and have not yet fully evaluated, changes in Matrix NAC's internal control over financial reporting. Subject to the foregoing, there have been no changes in our internal controls over financial reporting that have materially affected, or are reasonably likely to materially affect our internal controls over financial reporting during the quarter ended December 31, 2013.</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Except as set forth below, there were no material changes in our Risk Factors from those reported in Item 1A of Part I of our Annual Report on Form 10-K for the fiscal year ended June 30,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ACQUISITION OF KVAERNER NORTH AMERICAN CONSTRUCTION (“KNAC”)</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We may not be able to successfully integrate our acquisition of KNAC, which could cause our business to suffer.</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acquisition of KNAC is significant. KNAC’s total assets account for approximately 27.6% of our total assets as of December 31, 2013. We may not be able to combine successfully the operations, personnel and technology of KNAC. Because of the size and complexity of KNAC’s business, if integration is not managed successfully by our management, we may experience interruptions in our business activities, a decrease in the quality of our services, a deterioration in our employee and customer relationships, increased costs of integration and harm to our reputation, all of which could have a material adverse effect on our business, financial condition and results of operations. The integration of KNAC with our operations will require significant attention from management, which may decrease the time that management will have to serve existing customers, attract new customers and develop new services and strategies. We may also experience difficulties in combining corporate cultures, maintaining employee morale and retaining key employees. The integration with KNAC may also impose substantial demands on our operations or other projects. We will have to actively strive to demonstrate to our existing customers that the acquisition will not result in adverse changes in our standards or business focus. The integration of KNAC will also involve a significant capital commitment, and the return that we achieve on any capital invested may be less than the return achieved on our other projects or investments. There will be challenges in consolidating and rationalizing information technology platforms and administrative infrastructures. In addition, any delays or increased costs of integrating the companies could adversely affect our operations, financial results and liquidity.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growth opportunities, operating margins and synergies that are anticipated from our acquisition of KNAC.</w:t>
      </w:r>
    </w:p>
    <w:p>
      <w:pPr>
        <w:spacing w:after="0" w:line="10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benefits we expect to achieve as a result of our acquisition of KNAC will depend, in part, on our ability to realize the anticipated growth opportunities, operating margins and synergies. Our success in realizing these growth opportunities, operating margins and synergies, and the timing of this realization, depends on the successful integration of KNAC’s business and operations with our business and operations. Even if we are able to integrate our business with KNAC’s business successfully, this integration may not result in the realization of the full benefits of the growth opportunities, operating margins and synergies we currently expect from this integration within the anticipated time frame or at all. For example, we anticipate that we will incur substantial expenses in connection with the integration of KNAC’s information systems. While we anticipate that certain expenses will be incurred, such expenses are difficult to estimate accurately, and may exceed current estimates. Accordingly, the benefits from the proposed acquisition may be offset by costs incurred or delays in integrating the companies, which could cause our revenue assumptions and operating margin to be inaccurate.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acquisition may expose us to unindemnified liabilities.</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a result of the proposed acquisition, we will acquire KNAC subject to certain of its liabilities. If there are unknown KNAC obligations, our business could be materially and adversely affected. We may learn additional information about KNAC’s business that adversely affects us, such as unknown liabilities, issues that could affect our ability to comply with the Sarbanes-Oxley Act or issues that could affect our ability to comply with other applicable laws. As a result, we cannot assure you that the acquisition of KNAC will be successful or will not, in fact, harm our business. Among other things, if KNAC’s liabilities are greater than expected, or if there are material obligations of which we were not aware at the time of completion of the acquisition, our business could be materially and adversely affected. If we become responsible for liabilities not covered by indemnification rights or substantially in excess of amounts covered through any indemnification rights, we could suffer severe consequences that would substantially reduce our revenues, earnings and cash flows.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steel industry is cyclical and sensitive to general economic conditions, which could have a material adverse effect on our operating results and financial condition.</w:t>
      </w:r>
    </w:p>
    <w:p>
      <w:pPr>
        <w:spacing w:after="0" w:line="3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 significant percentage of KNAC’s revenues are derived from steel industry customers. Demand for most of our steel industry customers’ products is cyclical in nature and sensitive to general economic conditions. The timing and magnitude of the cycles in the markets in which our customers’ products are used, including automobiles and residential construction, are difficult to predict. The cyclical nature of our customers’ operations tends to reflect and be amplified by changes in economic conditions, both domestically and internationally, supply/demand imbalances and foreign currency exchange fluctuations. Economic downturns or a prolonged period of slow growth in the U.S. and foreign markets or any of the industries in which our steel industry customers operate could have a material adverse effect on our results of operations, financial condition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imports of foreign steel into the U.S. may reduce domestic demand for our customers’ products.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Economic expansion in China and other foreign countries has affected the availability, and increased the price volatility, of steel products. Expansions and contractions in these economies can significantly affect the price of steel and of finished steel products. Additionally, in a number of foreign countries, such as China, steel producers are generally government-owned and may therefore make production decisions based on political or other factors that do not reflect market conditions. Disruptions in foreign markets from excess steel production may encourage importers to target the U.S. with excess capacity at aggressive prices, and existing trade laws and regulations may be inadequate to prevent unfair trade practices, which could have a material adverse effect on our steel industry customers. Although trade regulations restrict the importation of certain products, if foreign steel production significantly exceeds consumption in those countries, imports of steel products into the U.S. could increase, resulting in lower volumes and selling prices for our customers’ steel products, which could result in a decline in the maintenance and construction work we provide to these customers.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information with respect to purchases made by the Company of its common stock during the second quarter of fiscal year 2014.</w:t>
      </w:r>
    </w:p>
    <w:p>
      <w:pPr>
        <w:spacing w:after="0" w:line="36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 Number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Average Price</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Announced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Shares</w:t>
            </w:r>
          </w:p>
        </w:tc>
        <w:tc>
          <w:tcPr>
            <w:tcW w:w="1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Paid</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Plans or</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 Share</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Programs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50"/>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October 1 to October 31, 2013</w:t>
            </w: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2,113,497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Employee Transactions (B)</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12,681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$21.41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November 1 to November 30, 2013</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2,113,497</w:t>
            </w: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Employee Transactions (B)</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43,046</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$21.74</w:t>
            </w:r>
          </w:p>
        </w:tc>
        <w:tc>
          <w:tcPr>
            <w:tcW w:w="10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1 to December 31, 2013</w:t>
            </w: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2,113,497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Transactions (B)</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19,569</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$21.78</w:t>
            </w: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40" w:right="120" w:hanging="316"/>
        <w:spacing w:after="0" w:line="261"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jc w:val="both"/>
        <w:ind w:left="1940" w:right="360" w:hanging="1903"/>
        <w:spacing w:after="0" w:line="259" w:lineRule="auto"/>
        <w:tabs>
          <w:tab w:leader="none" w:pos="1920" w:val="left"/>
        </w:tabs>
        <w:rPr>
          <w:sz w:val="20"/>
          <w:szCs w:val="20"/>
          <w:color w:val="auto"/>
        </w:rPr>
      </w:pPr>
      <w:r>
        <w:rPr>
          <w:rFonts w:ascii="Arial" w:cs="Arial" w:eastAsia="Arial" w:hAnsi="Arial"/>
          <w:sz w:val="18"/>
          <w:szCs w:val="18"/>
          <w:color w:val="auto"/>
        </w:rPr>
        <w:t>Exhibit 2.1:</w:t>
      </w:r>
      <w:r>
        <w:rPr>
          <w:sz w:val="20"/>
          <w:szCs w:val="20"/>
          <w:color w:val="auto"/>
        </w:rPr>
        <w:tab/>
      </w:r>
      <w:r>
        <w:rPr>
          <w:rFonts w:ascii="Arial" w:cs="Arial" w:eastAsia="Arial" w:hAnsi="Arial"/>
          <w:sz w:val="18"/>
          <w:szCs w:val="18"/>
          <w:color w:val="auto"/>
        </w:rPr>
        <w:t>Purchase Agreement dated December 8, 2013 by and among Matrix Service Company, Matrix North American Construction, Inc., Matrix Canadian Holdings, Inc., Kvaerner AS, Kvaerner North American Construction Inc. and Kvaerner ASA (Exhibit 2.1 to the Company's Current Report on Form 8-K (File No. 1-15461) filed on December 27, 2013 is hereby incorporated by reference).</w:t>
      </w:r>
    </w:p>
    <w:p>
      <w:pPr>
        <w:spacing w:after="0" w:line="146"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6"/>
          <w:szCs w:val="16"/>
          <w:color w:val="auto"/>
        </w:rPr>
        <w:t>Certification Pursuant to Section 302 of Sarbanes-Oxley Act of 2002 – CEO.</w:t>
      </w:r>
    </w:p>
    <w:p>
      <w:pPr>
        <w:spacing w:after="0" w:line="185"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6"/>
          <w:szCs w:val="16"/>
          <w:color w:val="auto"/>
        </w:rPr>
        <w:t>Certification Pursuant to Section 302 of Sarbanes-Oxley Act of 2002 – CFO.</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Exhibit 32.1:</w:t>
            </w:r>
          </w:p>
        </w:tc>
        <w:tc>
          <w:tcPr>
            <w:tcW w:w="2320" w:type="dxa"/>
            <w:vAlign w:val="bottom"/>
          </w:tcPr>
          <w:p>
            <w:pPr>
              <w:ind w:left="300"/>
              <w:spacing w:after="0"/>
              <w:rPr>
                <w:sz w:val="20"/>
                <w:szCs w:val="20"/>
                <w:color w:val="auto"/>
              </w:rPr>
            </w:pPr>
            <w:r>
              <w:rPr>
                <w:rFonts w:ascii="Arial" w:cs="Arial" w:eastAsia="Arial" w:hAnsi="Arial"/>
                <w:sz w:val="18"/>
                <w:szCs w:val="18"/>
                <w:color w:val="auto"/>
                <w:w w:val="92"/>
              </w:rPr>
              <w:t>Certification Pursuant to 18</w:t>
            </w:r>
          </w:p>
        </w:tc>
        <w:tc>
          <w:tcPr>
            <w:tcW w:w="940" w:type="dxa"/>
            <w:vAlign w:val="bottom"/>
          </w:tcPr>
          <w:p>
            <w:pPr>
              <w:ind w:left="20"/>
              <w:spacing w:after="0"/>
              <w:rPr>
                <w:sz w:val="20"/>
                <w:szCs w:val="20"/>
                <w:color w:val="auto"/>
              </w:rPr>
            </w:pPr>
            <w:r>
              <w:rPr>
                <w:rFonts w:ascii="Arial" w:cs="Arial" w:eastAsia="Arial" w:hAnsi="Arial"/>
                <w:sz w:val="18"/>
                <w:szCs w:val="18"/>
                <w:color w:val="auto"/>
                <w:w w:val="91"/>
              </w:rPr>
              <w:t>U.S.C. 1350</w:t>
            </w:r>
          </w:p>
        </w:tc>
        <w:tc>
          <w:tcPr>
            <w:tcW w:w="3840" w:type="dxa"/>
            <w:vAlign w:val="bottom"/>
          </w:tcPr>
          <w:p>
            <w:pPr>
              <w:ind w:left="20"/>
              <w:spacing w:after="0"/>
              <w:rPr>
                <w:sz w:val="20"/>
                <w:szCs w:val="20"/>
                <w:color w:val="auto"/>
              </w:rPr>
            </w:pPr>
            <w:r>
              <w:rPr>
                <w:rFonts w:ascii="Arial" w:cs="Arial" w:eastAsia="Arial" w:hAnsi="Arial"/>
                <w:sz w:val="18"/>
                <w:szCs w:val="18"/>
                <w:color w:val="auto"/>
                <w:w w:val="90"/>
              </w:rPr>
              <w:t>(section 906 of Sarbanes-Oxley Act of 2002) – CEO.</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32.2:</w:t>
            </w:r>
          </w:p>
        </w:tc>
        <w:tc>
          <w:tcPr>
            <w:tcW w:w="2320" w:type="dxa"/>
            <w:vAlign w:val="bottom"/>
          </w:tcPr>
          <w:p>
            <w:pPr>
              <w:ind w:left="300"/>
              <w:spacing w:after="0"/>
              <w:rPr>
                <w:sz w:val="20"/>
                <w:szCs w:val="20"/>
                <w:color w:val="auto"/>
              </w:rPr>
            </w:pPr>
            <w:r>
              <w:rPr>
                <w:rFonts w:ascii="Arial" w:cs="Arial" w:eastAsia="Arial" w:hAnsi="Arial"/>
                <w:sz w:val="18"/>
                <w:szCs w:val="18"/>
                <w:color w:val="auto"/>
                <w:w w:val="92"/>
              </w:rPr>
              <w:t>Certification Pursuant to 18</w:t>
            </w:r>
          </w:p>
        </w:tc>
        <w:tc>
          <w:tcPr>
            <w:tcW w:w="940" w:type="dxa"/>
            <w:vAlign w:val="bottom"/>
          </w:tcPr>
          <w:p>
            <w:pPr>
              <w:ind w:left="20"/>
              <w:spacing w:after="0"/>
              <w:rPr>
                <w:sz w:val="20"/>
                <w:szCs w:val="20"/>
                <w:color w:val="auto"/>
              </w:rPr>
            </w:pPr>
            <w:r>
              <w:rPr>
                <w:rFonts w:ascii="Arial" w:cs="Arial" w:eastAsia="Arial" w:hAnsi="Arial"/>
                <w:sz w:val="18"/>
                <w:szCs w:val="18"/>
                <w:color w:val="auto"/>
                <w:w w:val="91"/>
              </w:rPr>
              <w:t>U.S.C. 1350</w:t>
            </w:r>
          </w:p>
        </w:tc>
        <w:tc>
          <w:tcPr>
            <w:tcW w:w="3840" w:type="dxa"/>
            <w:vAlign w:val="bottom"/>
          </w:tcPr>
          <w:p>
            <w:pPr>
              <w:ind w:left="20"/>
              <w:spacing w:after="0"/>
              <w:rPr>
                <w:sz w:val="20"/>
                <w:szCs w:val="20"/>
                <w:color w:val="auto"/>
              </w:rPr>
            </w:pPr>
            <w:r>
              <w:rPr>
                <w:rFonts w:ascii="Arial" w:cs="Arial" w:eastAsia="Arial" w:hAnsi="Arial"/>
                <w:sz w:val="18"/>
                <w:szCs w:val="18"/>
                <w:color w:val="auto"/>
                <w:w w:val="91"/>
              </w:rPr>
              <w:t>(section 906 of Sarbanes-Oxley Act of 2002) – CFO.</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95:</w:t>
            </w:r>
          </w:p>
        </w:tc>
        <w:tc>
          <w:tcPr>
            <w:tcW w:w="2320" w:type="dxa"/>
            <w:vAlign w:val="bottom"/>
          </w:tcPr>
          <w:p>
            <w:pPr>
              <w:ind w:left="300"/>
              <w:spacing w:after="0"/>
              <w:rPr>
                <w:sz w:val="20"/>
                <w:szCs w:val="20"/>
                <w:color w:val="auto"/>
              </w:rPr>
            </w:pPr>
            <w:r>
              <w:rPr>
                <w:rFonts w:ascii="Arial" w:cs="Arial" w:eastAsia="Arial" w:hAnsi="Arial"/>
                <w:sz w:val="18"/>
                <w:szCs w:val="18"/>
                <w:color w:val="auto"/>
              </w:rPr>
              <w:t>Mine Safety Disclosure.</w:t>
            </w:r>
          </w:p>
        </w:tc>
        <w:tc>
          <w:tcPr>
            <w:tcW w:w="9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101.INS:</w:t>
            </w:r>
          </w:p>
        </w:tc>
        <w:tc>
          <w:tcPr>
            <w:tcW w:w="2320" w:type="dxa"/>
            <w:vAlign w:val="bottom"/>
          </w:tcPr>
          <w:p>
            <w:pPr>
              <w:ind w:left="300"/>
              <w:spacing w:after="0"/>
              <w:rPr>
                <w:sz w:val="20"/>
                <w:szCs w:val="20"/>
                <w:color w:val="auto"/>
              </w:rPr>
            </w:pPr>
            <w:r>
              <w:rPr>
                <w:rFonts w:ascii="Arial" w:cs="Arial" w:eastAsia="Arial" w:hAnsi="Arial"/>
                <w:sz w:val="18"/>
                <w:szCs w:val="18"/>
                <w:color w:val="auto"/>
                <w:w w:val="94"/>
              </w:rPr>
              <w:t>XBRL Instance Document.</w:t>
            </w:r>
          </w:p>
        </w:tc>
        <w:tc>
          <w:tcPr>
            <w:tcW w:w="9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101.SCH:</w:t>
            </w:r>
          </w:p>
        </w:tc>
        <w:tc>
          <w:tcPr>
            <w:tcW w:w="3260" w:type="dxa"/>
            <w:vAlign w:val="bottom"/>
            <w:gridSpan w:val="2"/>
          </w:tcPr>
          <w:p>
            <w:pPr>
              <w:ind w:left="300"/>
              <w:spacing w:after="0"/>
              <w:rPr>
                <w:sz w:val="20"/>
                <w:szCs w:val="20"/>
                <w:color w:val="auto"/>
              </w:rPr>
            </w:pPr>
            <w:r>
              <w:rPr>
                <w:rFonts w:ascii="Arial" w:cs="Arial" w:eastAsia="Arial" w:hAnsi="Arial"/>
                <w:sz w:val="18"/>
                <w:szCs w:val="18"/>
                <w:color w:val="auto"/>
                <w:w w:val="98"/>
              </w:rPr>
              <w:t>XBRL Taxonomy Schema Document.</w:t>
            </w:r>
          </w:p>
        </w:tc>
        <w:tc>
          <w:tcPr>
            <w:tcW w:w="3840" w:type="dxa"/>
            <w:vAlign w:val="bottom"/>
          </w:tcPr>
          <w:p>
            <w:pPr>
              <w:spacing w:after="0"/>
              <w:rPr>
                <w:sz w:val="24"/>
                <w:szCs w:val="24"/>
                <w:color w:val="auto"/>
              </w:rPr>
            </w:pP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101.CAL:</w:t>
            </w:r>
          </w:p>
        </w:tc>
        <w:tc>
          <w:tcPr>
            <w:tcW w:w="710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101.DEF:</w:t>
            </w:r>
          </w:p>
        </w:tc>
        <w:tc>
          <w:tcPr>
            <w:tcW w:w="710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101.LAB:</w:t>
            </w:r>
          </w:p>
        </w:tc>
        <w:tc>
          <w:tcPr>
            <w:tcW w:w="710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1600" w:type="dxa"/>
            <w:vAlign w:val="bottom"/>
          </w:tcPr>
          <w:p>
            <w:pPr>
              <w:spacing w:after="0"/>
              <w:rPr>
                <w:sz w:val="20"/>
                <w:szCs w:val="20"/>
                <w:color w:val="auto"/>
              </w:rPr>
            </w:pPr>
            <w:r>
              <w:rPr>
                <w:rFonts w:ascii="Arial" w:cs="Arial" w:eastAsia="Arial" w:hAnsi="Arial"/>
                <w:sz w:val="18"/>
                <w:szCs w:val="18"/>
                <w:color w:val="auto"/>
              </w:rPr>
              <w:t>Exhibit 101.PRE:</w:t>
            </w:r>
          </w:p>
        </w:tc>
        <w:tc>
          <w:tcPr>
            <w:tcW w:w="710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MATRIX SERVICE COMPANY</w:t>
      </w:r>
    </w:p>
    <w:p>
      <w:pPr>
        <w:spacing w:after="0" w:line="189" w:lineRule="exact"/>
        <w:rPr>
          <w:sz w:val="20"/>
          <w:szCs w:val="20"/>
          <w:color w:val="auto"/>
        </w:rPr>
      </w:pPr>
    </w:p>
    <w:p>
      <w:pPr>
        <w:ind w:left="40"/>
        <w:spacing w:after="0"/>
        <w:tabs>
          <w:tab w:leader="none" w:pos="700" w:val="left"/>
          <w:tab w:leader="none" w:pos="4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7, 2014</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4820" w:right="340"/>
        <w:spacing w:after="0" w:line="277"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- 30-</w:t>
      </w:r>
    </w:p>
    <w:p>
      <w:pPr>
        <w:sectPr>
          <w:pgSz w:w="11900" w:h="16838" w:orient="portrait"/>
          <w:cols w:equalWidth="0" w:num="1">
            <w:col w:w="11340"/>
          </w:cols>
          <w:pgMar w:left="240" w:top="125"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6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439"/>
        </w:trPr>
        <w:tc>
          <w:tcPr>
            <w:tcW w:w="1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4960" w:type="dxa"/>
            <w:vAlign w:val="bottom"/>
          </w:tcPr>
          <w:p>
            <w:pPr>
              <w:spacing w:after="0"/>
              <w:rPr>
                <w:sz w:val="24"/>
                <w:szCs w:val="24"/>
                <w:color w:val="auto"/>
              </w:rPr>
            </w:pPr>
          </w:p>
        </w:tc>
      </w:tr>
      <w:tr>
        <w:trPr>
          <w:trHeight w:val="57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2.1:</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w w:val="90"/>
              </w:rPr>
              <w:t>Purchase Agreement dated December 8, 2013 by and among Matrix Service Company, Matrix North American Construction, Inc.,</w:t>
            </w:r>
          </w:p>
        </w:tc>
      </w:tr>
      <w:tr>
        <w:trPr>
          <w:trHeight w:val="216"/>
        </w:trPr>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w w:val="92"/>
              </w:rPr>
              <w:t>Matrix Canadian Holdings, Inc., Kvaerner AS, Kvaerner North American Construction Inc. and Kvaerner ASA (Exhibit 2.1 to the</w:t>
            </w:r>
          </w:p>
        </w:tc>
      </w:tr>
      <w:tr>
        <w:trPr>
          <w:trHeight w:val="230"/>
        </w:trPr>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w w:val="94"/>
              </w:rPr>
              <w:t>Company's Current Report on Form 8-K (File No. 1-15461) filed on December 27, 2013 is hereby incorporated by reference.</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31.1:</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CEO.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31.2:</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CFO.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32.1:</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18 U.S.C. 1350 (section 906 of Sarbanes-Oxley Act of 2002) – CEO.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32.2:</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18 U.S.C. 1350 (section 906 of Sarbanes-Oxley Act of 2002) – CFO.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95:</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Mine Safety Disclosure.</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101.INS:</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XBRL Instance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101.SCH:</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101.CAL:</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101.DEF:</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101.LAB:</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101.PRE:</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60" w:type="dxa"/>
            <w:vAlign w:val="bottom"/>
            <w:gridSpan w:val="2"/>
          </w:tcPr>
          <w:p>
            <w:pPr>
              <w:ind w:left="3880"/>
              <w:spacing w:after="0"/>
              <w:rPr>
                <w:sz w:val="20"/>
                <w:szCs w:val="20"/>
                <w:color w:val="auto"/>
              </w:rPr>
            </w:pPr>
            <w:r>
              <w:rPr>
                <w:rFonts w:ascii="Arial" w:cs="Arial" w:eastAsia="Arial" w:hAnsi="Arial"/>
                <w:sz w:val="18"/>
                <w:szCs w:val="18"/>
                <w:color w:val="auto"/>
              </w:rPr>
              <w:t>- 31-</w:t>
            </w:r>
          </w:p>
        </w:tc>
        <w:tc>
          <w:tcPr>
            <w:tcW w:w="4960" w:type="dxa"/>
            <w:vAlign w:val="bottom"/>
          </w:tcPr>
          <w:p>
            <w:pPr>
              <w:spacing w:after="0"/>
              <w:rPr>
                <w:sz w:val="24"/>
                <w:szCs w:val="24"/>
                <w:color w:val="auto"/>
              </w:rPr>
            </w:pPr>
          </w:p>
        </w:tc>
      </w:tr>
    </w:tbl>
    <w:p>
      <w:pPr>
        <w:sectPr>
          <w:pgSz w:w="11900" w:h="16838" w:orient="portrait"/>
          <w:cols w:equalWidth="0" w:num="1">
            <w:col w:w="11380"/>
          </w:cols>
          <w:pgMar w:left="240" w:top="108" w:right="2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February 7, 2014</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7, 2014</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December 31, 2013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February 7, 2014</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December 31, 2013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7, 2014</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37" w:name="page38"/>
    <w:bookmarkEnd w:id="37"/>
    <w:p>
      <w:pPr>
        <w:ind w:left="10620"/>
        <w:spacing w:after="0"/>
        <w:rPr>
          <w:sz w:val="20"/>
          <w:szCs w:val="20"/>
          <w:color w:val="auto"/>
        </w:rPr>
      </w:pPr>
      <w:r>
        <w:rPr>
          <w:rFonts w:ascii="Arial" w:cs="Arial" w:eastAsia="Arial" w:hAnsi="Arial"/>
          <w:sz w:val="17"/>
          <w:szCs w:val="17"/>
          <w:b w:val="1"/>
          <w:bCs w:val="1"/>
          <w:color w:val="auto"/>
        </w:rPr>
        <w:t>Exhibit 95</w:t>
      </w:r>
    </w:p>
    <w:p>
      <w:pPr>
        <w:spacing w:after="0" w:line="200" w:lineRule="exact"/>
        <w:rPr>
          <w:sz w:val="20"/>
          <w:szCs w:val="20"/>
          <w:color w:val="auto"/>
        </w:rPr>
      </w:pPr>
    </w:p>
    <w:p>
      <w:pPr>
        <w:spacing w:after="0" w:line="20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December 31, 2013:</w:t>
      </w:r>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920" w:type="dxa"/>
            <w:vAlign w:val="bottom"/>
            <w:tcBorders>
              <w:top w:val="single" w:sz="8" w:color="auto"/>
              <w:left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106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Received</w:t>
            </w:r>
          </w:p>
        </w:tc>
        <w:tc>
          <w:tcPr>
            <w:tcW w:w="8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r>
      <w:tr>
        <w:trPr>
          <w:trHeight w:val="149"/>
        </w:trPr>
        <w:tc>
          <w:tcPr>
            <w:tcW w:w="920" w:type="dxa"/>
            <w:vAlign w:val="bottom"/>
            <w:tcBorders>
              <w:left w:val="single" w:sz="8" w:color="auto"/>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r>
      <w:tr>
        <w:trPr>
          <w:trHeight w:val="149"/>
        </w:trPr>
        <w:tc>
          <w:tcPr>
            <w:tcW w:w="920" w:type="dxa"/>
            <w:vAlign w:val="bottom"/>
            <w:tcBorders>
              <w:left w:val="single" w:sz="8" w:color="auto"/>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r>
      <w:tr>
        <w:trPr>
          <w:trHeight w:val="149"/>
        </w:trPr>
        <w:tc>
          <w:tcPr>
            <w:tcW w:w="920" w:type="dxa"/>
            <w:vAlign w:val="bottom"/>
            <w:tcBorders>
              <w:left w:val="single" w:sz="8" w:color="auto"/>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Number of</w:t>
            </w:r>
          </w:p>
        </w:tc>
      </w:tr>
      <w:tr>
        <w:trPr>
          <w:trHeight w:val="149"/>
        </w:trPr>
        <w:tc>
          <w:tcPr>
            <w:tcW w:w="92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Mine or</w:t>
            </w:r>
          </w:p>
        </w:tc>
        <w:tc>
          <w:tcPr>
            <w:tcW w:w="9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10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Received Notice</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Violations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r>
      <w:tr>
        <w:trPr>
          <w:trHeight w:val="149"/>
        </w:trPr>
        <w:tc>
          <w:tcPr>
            <w:tcW w:w="92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Operating</w:t>
            </w:r>
          </w:p>
        </w:tc>
        <w:tc>
          <w:tcPr>
            <w:tcW w:w="9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10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Total Number</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of Pattern of</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Under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r>
      <w:tr>
        <w:trPr>
          <w:trHeight w:val="149"/>
        </w:trPr>
        <w:tc>
          <w:tcPr>
            <w:tcW w:w="92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10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of Mining</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Violations Under</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92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Identification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S&amp;S</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and</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 110(b)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 104(e)</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104(e)</w:t>
            </w:r>
            <w:r>
              <w:rPr>
                <w:rFonts w:ascii="Arial" w:cs="Arial" w:eastAsia="Arial" w:hAnsi="Arial"/>
                <w:sz w:val="8"/>
                <w:szCs w:val="8"/>
                <w:color w:val="auto"/>
                <w:w w:val="95"/>
              </w:rPr>
              <w:t>(7)</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During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During</w:t>
            </w:r>
          </w:p>
        </w:tc>
      </w:tr>
      <w:tr>
        <w:trPr>
          <w:trHeight w:val="188"/>
        </w:trPr>
        <w:tc>
          <w:tcPr>
            <w:tcW w:w="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Number</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Citations</w:t>
            </w:r>
            <w:r>
              <w:rPr>
                <w:rFonts w:ascii="Arial" w:cs="Arial" w:eastAsia="Arial" w:hAnsi="Arial"/>
                <w:sz w:val="8"/>
                <w:szCs w:val="8"/>
                <w:color w:val="auto"/>
                <w:w w:val="96"/>
              </w:rPr>
              <w:t>(1)</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(2)</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(2) Violations</w:t>
            </w:r>
            <w:r>
              <w:rPr>
                <w:rFonts w:ascii="Arial" w:cs="Arial" w:eastAsia="Arial" w:hAnsi="Arial"/>
                <w:sz w:val="8"/>
                <w:szCs w:val="8"/>
                <w:color w:val="auto"/>
                <w:w w:val="98"/>
              </w:rPr>
              <w:t>(4)</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Fatalities</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9"/>
                <w:szCs w:val="9"/>
                <w:color w:val="auto"/>
                <w:w w:val="96"/>
              </w:rPr>
              <w:t xml:space="preserve">(6) </w:t>
            </w:r>
            <w:r>
              <w:rPr>
                <w:rFonts w:ascii="Arial" w:cs="Arial" w:eastAsia="Arial" w:hAnsi="Arial"/>
                <w:sz w:val="14"/>
                <w:szCs w:val="14"/>
                <w:color w:val="auto"/>
                <w:w w:val="96"/>
              </w:rPr>
              <w:t>(yes/no)</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of Period</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r>
      <w:tr>
        <w:trPr>
          <w:trHeight w:val="156"/>
        </w:trPr>
        <w:tc>
          <w:tcPr>
            <w:tcW w:w="920" w:type="dxa"/>
            <w:vAlign w:val="bottom"/>
          </w:tcPr>
          <w:p>
            <w:pPr>
              <w:ind w:left="40"/>
              <w:spacing w:after="0" w:line="157" w:lineRule="exact"/>
              <w:rPr>
                <w:sz w:val="20"/>
                <w:szCs w:val="20"/>
                <w:color w:val="auto"/>
              </w:rPr>
            </w:pPr>
            <w:r>
              <w:rPr>
                <w:rFonts w:ascii="Arial" w:cs="Arial" w:eastAsia="Arial" w:hAnsi="Arial"/>
                <w:sz w:val="14"/>
                <w:szCs w:val="14"/>
                <w:color w:val="auto"/>
              </w:rPr>
              <w:t>Freeport-</w:t>
            </w: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920" w:type="dxa"/>
            <w:vAlign w:val="bottom"/>
          </w:tcPr>
          <w:p>
            <w:pPr>
              <w:ind w:left="40"/>
              <w:spacing w:after="0" w:line="149" w:lineRule="exact"/>
              <w:rPr>
                <w:sz w:val="20"/>
                <w:szCs w:val="20"/>
                <w:color w:val="auto"/>
              </w:rPr>
            </w:pPr>
            <w:r>
              <w:rPr>
                <w:rFonts w:ascii="Arial" w:cs="Arial" w:eastAsia="Arial" w:hAnsi="Arial"/>
                <w:sz w:val="14"/>
                <w:szCs w:val="14"/>
                <w:color w:val="auto"/>
              </w:rPr>
              <w:t>McMoran</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920" w:type="dxa"/>
            <w:vAlign w:val="bottom"/>
          </w:tcPr>
          <w:p>
            <w:pPr>
              <w:ind w:left="40"/>
              <w:spacing w:after="0" w:line="149" w:lineRule="exact"/>
              <w:rPr>
                <w:sz w:val="20"/>
                <w:szCs w:val="20"/>
                <w:color w:val="auto"/>
              </w:rPr>
            </w:pPr>
            <w:r>
              <w:rPr>
                <w:rFonts w:ascii="Arial" w:cs="Arial" w:eastAsia="Arial" w:hAnsi="Arial"/>
                <w:sz w:val="14"/>
                <w:szCs w:val="14"/>
                <w:color w:val="auto"/>
              </w:rPr>
              <w:t>Morenci</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920" w:type="dxa"/>
            <w:vAlign w:val="bottom"/>
          </w:tcPr>
          <w:p>
            <w:pPr>
              <w:ind w:left="40"/>
              <w:spacing w:after="0" w:line="149" w:lineRule="exact"/>
              <w:rPr>
                <w:sz w:val="20"/>
                <w:szCs w:val="20"/>
                <w:color w:val="auto"/>
              </w:rPr>
            </w:pPr>
            <w:r>
              <w:rPr>
                <w:rFonts w:ascii="Arial" w:cs="Arial" w:eastAsia="Arial" w:hAnsi="Arial"/>
                <w:sz w:val="14"/>
                <w:szCs w:val="14"/>
                <w:color w:val="auto"/>
              </w:rPr>
              <w:t>Inc./Mine ID:</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2"/>
        </w:trPr>
        <w:tc>
          <w:tcPr>
            <w:tcW w:w="920" w:type="dxa"/>
            <w:vAlign w:val="bottom"/>
          </w:tcPr>
          <w:p>
            <w:pPr>
              <w:jc w:val="center"/>
              <w:spacing w:after="0"/>
              <w:rPr>
                <w:sz w:val="20"/>
                <w:szCs w:val="20"/>
                <w:color w:val="auto"/>
              </w:rPr>
            </w:pPr>
            <w:r>
              <w:rPr>
                <w:rFonts w:ascii="Arial" w:cs="Arial" w:eastAsia="Arial" w:hAnsi="Arial"/>
                <w:sz w:val="14"/>
                <w:szCs w:val="14"/>
                <w:color w:val="auto"/>
                <w:w w:val="92"/>
              </w:rPr>
              <w:t>02-00024 5CP</w:t>
            </w:r>
          </w:p>
        </w:tc>
        <w:tc>
          <w:tcPr>
            <w:tcW w:w="900" w:type="dxa"/>
            <w:vAlign w:val="bottom"/>
          </w:tcPr>
          <w:p>
            <w:pPr>
              <w:jc w:val="center"/>
              <w:spacing w:after="0"/>
              <w:rPr>
                <w:sz w:val="20"/>
                <w:szCs w:val="20"/>
                <w:color w:val="auto"/>
              </w:rPr>
            </w:pPr>
            <w:r>
              <w:rPr>
                <w:rFonts w:ascii="Arial" w:cs="Arial" w:eastAsia="Arial" w:hAnsi="Arial"/>
                <w:sz w:val="14"/>
                <w:szCs w:val="14"/>
                <w:color w:val="auto"/>
              </w:rPr>
              <w:t>3</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No</w:t>
            </w:r>
          </w:p>
        </w:tc>
        <w:tc>
          <w:tcPr>
            <w:tcW w:w="880" w:type="dxa"/>
            <w:vAlign w:val="bottom"/>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r>
    </w:tbl>
    <w:p>
      <w:pPr>
        <w:ind w:left="260" w:right="360" w:hanging="252"/>
        <w:spacing w:after="0" w:line="256" w:lineRule="auto"/>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ind w:left="220" w:hanging="212"/>
        <w:spacing w:after="0"/>
        <w:tabs>
          <w:tab w:leader="none" w:pos="2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represents a failure to abate a citation under section 104(a) within the period of time prescribed by MSHA.</w:t>
      </w:r>
    </w:p>
    <w:p>
      <w:pPr>
        <w:spacing w:after="0" w:line="39" w:lineRule="exact"/>
        <w:rPr>
          <w:rFonts w:ascii="Arial" w:cs="Arial" w:eastAsia="Arial" w:hAnsi="Arial"/>
          <w:sz w:val="13"/>
          <w:szCs w:val="13"/>
          <w:color w:val="auto"/>
        </w:rPr>
      </w:pPr>
    </w:p>
    <w:p>
      <w:pPr>
        <w:ind w:left="220" w:hanging="212"/>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440"/>
      </w:cols>
      <w:pgMar w:left="240" w:top="58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upperLetter"/>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upperLetter"/>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lvl w:ilvl="1">
      <w:lvlJc w:val="left"/>
      <w:lvlText w:val="-"/>
      <w:numFmt w:val="bullet"/>
      <w:start w:val="1"/>
    </w:lvl>
  </w:abstractNum>
  <w:abstractNum w:abstractNumId="8">
    <w:nsid w:val="1BEFD79F"/>
    <w:multiLevelType w:val="hybridMultilevel"/>
    <w:lvl w:ilvl="0">
      <w:lvlJc w:val="left"/>
      <w:lvlText w:val="•"/>
      <w:numFmt w:val="bullet"/>
      <w:start w:val="1"/>
    </w:lvl>
    <w:lvl w:ilvl="1">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lvl w:ilvl="1">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upperLetter"/>
      <w:start w:val="1"/>
    </w:lvl>
  </w:abstractNum>
  <w:abstractNum w:abstractNumId="16">
    <w:nsid w:val="7C83E458"/>
    <w:multiLevelType w:val="hybridMultilevel"/>
    <w:lvl w:ilvl="0">
      <w:lvlJc w:val="left"/>
      <w:lvlText w:val="%1."/>
      <w:numFmt w:val="decimal"/>
      <w:start w:val="1"/>
    </w:lvl>
    <w:lvl w:ilvl="1">
      <w:lvlJc w:val="left"/>
      <w:lvlText w:val="%2."/>
      <w:numFmt w:val="lowerLetter"/>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2019-12-06T03:14:42Z</dcterms:created>
  <dcterms:modified xsi:type="dcterms:W3CDTF">2019-12-06T03:14:42Z</dcterms:modified>
</cp:coreProperties>
</file>