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jc w:val="center"/>
        <w:ind w:right="-119"/>
        <w:spacing w:after="0"/>
        <w:rPr>
          <w:sz w:val="20"/>
          <w:szCs w:val="20"/>
          <w:color w:val="auto"/>
        </w:rPr>
      </w:pPr>
      <w:r>
        <w:rPr>
          <w:rFonts w:ascii="Arial" w:cs="Arial" w:eastAsia="Arial" w:hAnsi="Arial"/>
          <w:sz w:val="14"/>
          <w:szCs w:val="14"/>
          <w:color w:val="auto"/>
        </w:rPr>
        <w:t>(Mark One)</w:t>
      </w:r>
    </w:p>
    <w:p>
      <w:pPr>
        <w:spacing w:after="0" w:line="34" w:lineRule="exact"/>
        <w:rPr>
          <w:sz w:val="24"/>
          <w:szCs w:val="24"/>
          <w:color w:val="auto"/>
        </w:rPr>
      </w:pPr>
    </w:p>
    <w:p>
      <w:pPr>
        <w:ind w:left="1820" w:hanging="449"/>
        <w:spacing w:after="0"/>
        <w:tabs>
          <w:tab w:leader="none" w:pos="18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1820" w:hanging="449"/>
        <w:spacing w:after="0"/>
        <w:tabs>
          <w:tab w:leader="none" w:pos="18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5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MATRIX SERVICE COMPANY</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120"/>
          </w:cols>
          <w:pgMar w:left="320" w:top="476" w:right="459" w:bottom="1440" w:gutter="0" w:footer="0" w:header="0"/>
        </w:sectPr>
      </w:pPr>
    </w:p>
    <w:p>
      <w:pPr>
        <w:spacing w:after="0" w:line="149"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50" w:lineRule="exact"/>
        <w:rPr>
          <w:sz w:val="24"/>
          <w:szCs w:val="24"/>
          <w:color w:val="auto"/>
        </w:rPr>
      </w:pPr>
    </w:p>
    <w:p>
      <w:pPr>
        <w:sectPr>
          <w:pgSz w:w="11900" w:h="16838" w:orient="portrait"/>
          <w:cols w:equalWidth="0" w:num="2">
            <w:col w:w="7260" w:space="720"/>
            <w:col w:w="3140"/>
          </w:cols>
          <w:pgMar w:left="320" w:top="476" w:right="45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600" w:space="720"/>
            <w:col w:w="3800"/>
          </w:cols>
          <w:pgMar w:left="320" w:top="476"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Arial" w:cs="Arial" w:eastAsia="Arial" w:hAnsi="Arial"/>
                <w:sz w:val="18"/>
                <w:szCs w:val="18"/>
                <w:color w:val="auto"/>
                <w:w w:val="89"/>
              </w:rPr>
              <w:t>Common Stock, par value $0.01 per share</w:t>
            </w: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color w:val="auto"/>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48" w:lineRule="exact"/>
        <w:rPr>
          <w:sz w:val="24"/>
          <w:szCs w:val="24"/>
          <w:color w:val="auto"/>
        </w:rPr>
      </w:pPr>
    </w:p>
    <w:p>
      <w:pPr>
        <w:ind w:right="18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48" w:lineRule="exact"/>
        <w:rPr>
          <w:sz w:val="24"/>
          <w:szCs w:val="24"/>
          <w:color w:val="auto"/>
        </w:rPr>
      </w:pPr>
    </w:p>
    <w:p>
      <w:pPr>
        <w:ind w:right="240"/>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4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27" w:lineRule="exact"/>
        <w:rPr>
          <w:sz w:val="24"/>
          <w:szCs w:val="24"/>
          <w:color w:val="auto"/>
        </w:rPr>
      </w:pPr>
    </w:p>
    <w:p>
      <w:pPr>
        <w:ind w:right="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right="154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November 7, 2022 there were 27,027,323 shares of the Company's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8"/>
              </w:rPr>
              <w:t>PART I</w:t>
            </w:r>
          </w:p>
        </w:tc>
        <w:tc>
          <w:tcPr>
            <w:tcW w:w="38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00" w:type="dxa"/>
            <w:vAlign w:val="bottom"/>
            <w:gridSpan w:val="9"/>
          </w:tcPr>
          <w:p>
            <w:pPr>
              <w:jc w:val="center"/>
              <w:ind w:right="244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Financial Statements (Unaudited)</w:t>
            </w:r>
          </w:p>
        </w:tc>
        <w:tc>
          <w:tcPr>
            <w:tcW w:w="6900" w:type="dxa"/>
            <w:vAlign w:val="bottom"/>
            <w:gridSpan w:val="9"/>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Income for the Three Months Ended September 30, 2022 and 2021</w:t>
            </w:r>
          </w:p>
        </w:tc>
        <w:tc>
          <w:tcPr>
            <w:tcW w:w="460" w:type="dxa"/>
            <w:vAlign w:val="bottom"/>
            <w:gridSpan w:val="2"/>
          </w:tcPr>
          <w:p>
            <w:pPr>
              <w:jc w:val="center"/>
              <w:ind w:left="271"/>
              <w:spacing w:after="0"/>
              <w:rPr>
                <w:sz w:val="20"/>
                <w:szCs w:val="20"/>
                <w:color w:val="auto"/>
              </w:rPr>
            </w:pPr>
            <w:r>
              <w:rPr>
                <w:rFonts w:ascii="Arial" w:cs="Arial" w:eastAsia="Arial" w:hAnsi="Arial"/>
                <w:sz w:val="18"/>
                <w:szCs w:val="18"/>
                <w:color w:val="0000FF"/>
                <w:w w:val="99"/>
              </w:rPr>
              <w:t>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w w:val="93"/>
              </w:rPr>
              <w:t>Condensed Consolidated Statements of Comprehensive Income for the Three Months Ended September 30, 2022 and 2021</w:t>
            </w:r>
          </w:p>
        </w:tc>
        <w:tc>
          <w:tcPr>
            <w:tcW w:w="460" w:type="dxa"/>
            <w:vAlign w:val="bottom"/>
            <w:gridSpan w:val="2"/>
          </w:tcPr>
          <w:p>
            <w:pPr>
              <w:jc w:val="center"/>
              <w:ind w:left="271"/>
              <w:spacing w:after="0"/>
              <w:rPr>
                <w:sz w:val="20"/>
                <w:szCs w:val="20"/>
                <w:color w:val="auto"/>
              </w:rPr>
            </w:pPr>
            <w:r>
              <w:rPr>
                <w:rFonts w:ascii="Arial" w:cs="Arial" w:eastAsia="Arial" w:hAnsi="Arial"/>
                <w:sz w:val="18"/>
                <w:szCs w:val="18"/>
                <w:color w:val="0000FF"/>
                <w:w w:val="99"/>
              </w:rPr>
              <w:t>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6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Condensed Consolidated Balance Sheets as of September 30, 2022 and June 30, 2022</w:t>
            </w:r>
          </w:p>
        </w:tc>
        <w:tc>
          <w:tcPr>
            <w:tcW w:w="46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Condensed Consolidated Statements of Cash Flows for the Three Months Ended September 30, 2022 and 2021</w:t>
            </w:r>
          </w:p>
        </w:tc>
        <w:tc>
          <w:tcPr>
            <w:tcW w:w="1320" w:type="dxa"/>
            <w:vAlign w:val="bottom"/>
            <w:gridSpan w:val="3"/>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w w:val="91"/>
              </w:rPr>
              <w:t>Condensed Consolidated Statements of Changes in Stockholders’ Equity for the Three Months Ended September 30, 2022 and</w:t>
            </w:r>
          </w:p>
        </w:tc>
        <w:tc>
          <w:tcPr>
            <w:tcW w:w="360" w:type="dxa"/>
            <w:vAlign w:val="bottom"/>
            <w:vMerge w:val="restart"/>
          </w:tcPr>
          <w:p>
            <w:pPr>
              <w:spacing w:after="0"/>
              <w:rPr>
                <w:sz w:val="22"/>
                <w:szCs w:val="22"/>
                <w:color w:val="auto"/>
              </w:rPr>
            </w:pPr>
          </w:p>
        </w:tc>
        <w:tc>
          <w:tcPr>
            <w:tcW w:w="100" w:type="dxa"/>
            <w:vAlign w:val="bottom"/>
            <w:vMerge w:val="restart"/>
          </w:tcPr>
          <w:p>
            <w:pPr>
              <w:jc w:val="center"/>
              <w:spacing w:after="0"/>
              <w:rPr>
                <w:sz w:val="20"/>
                <w:szCs w:val="20"/>
                <w:color w:val="auto"/>
              </w:rPr>
            </w:pPr>
            <w:r>
              <w:rPr>
                <w:rFonts w:ascii="Arial" w:cs="Arial" w:eastAsia="Arial" w:hAnsi="Arial"/>
                <w:sz w:val="18"/>
                <w:szCs w:val="18"/>
                <w:color w:val="0000FF"/>
                <w:w w:val="99"/>
              </w:rPr>
              <w:t>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5"/>
              </w:rPr>
              <w:t>2021</w:t>
            </w:r>
          </w:p>
        </w:tc>
        <w:tc>
          <w:tcPr>
            <w:tcW w:w="240" w:type="dxa"/>
            <w:vAlign w:val="bottom"/>
            <w:tcBorders>
              <w:top w:val="single" w:sz="8" w:color="0000FF"/>
              <w:bottom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320" w:type="dxa"/>
            <w:vAlign w:val="bottom"/>
            <w:gridSpan w:val="8"/>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8</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60" w:type="dxa"/>
            <w:vAlign w:val="bottom"/>
            <w:gridSpan w:val="5"/>
          </w:tcPr>
          <w:p>
            <w:pPr>
              <w:spacing w:after="0"/>
              <w:rPr>
                <w:sz w:val="22"/>
                <w:szCs w:val="22"/>
                <w:color w:val="auto"/>
              </w:rPr>
            </w:pP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19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9"/>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20" w:type="dxa"/>
            <w:vAlign w:val="bottom"/>
            <w:gridSpan w:val="2"/>
          </w:tcPr>
          <w:p>
            <w:pPr>
              <w:spacing w:after="0"/>
              <w:rPr>
                <w:sz w:val="22"/>
                <w:szCs w:val="22"/>
                <w:color w:val="auto"/>
              </w:rPr>
            </w:pPr>
          </w:p>
        </w:tc>
        <w:tc>
          <w:tcPr>
            <w:tcW w:w="2860" w:type="dxa"/>
            <w:vAlign w:val="bottom"/>
            <w:gridSpan w:val="5"/>
          </w:tcPr>
          <w:p>
            <w:pPr>
              <w:spacing w:after="0"/>
              <w:rPr>
                <w:sz w:val="22"/>
                <w:szCs w:val="22"/>
                <w:color w:val="auto"/>
              </w:rPr>
            </w:pP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32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4980" w:type="dxa"/>
            <w:vAlign w:val="bottom"/>
            <w:gridSpan w:val="7"/>
          </w:tcPr>
          <w:p>
            <w:pPr>
              <w:spacing w:after="0"/>
              <w:rPr>
                <w:sz w:val="22"/>
                <w:szCs w:val="22"/>
                <w:color w:val="auto"/>
              </w:rPr>
            </w:pP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33</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8"/>
                <w:szCs w:val="18"/>
                <w:b w:val="1"/>
                <w:bCs w:val="1"/>
                <w:color w:val="0000FF"/>
              </w:rPr>
              <w:t>PART II</w:t>
            </w: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9"/>
          </w:tcPr>
          <w:p>
            <w:pPr>
              <w:jc w:val="center"/>
              <w:ind w:right="2440"/>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320" w:type="dxa"/>
            <w:vAlign w:val="bottom"/>
            <w:gridSpan w:val="2"/>
          </w:tcPr>
          <w:p>
            <w:pPr>
              <w:spacing w:after="0"/>
              <w:rPr>
                <w:sz w:val="22"/>
                <w:szCs w:val="22"/>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w w:val="85"/>
              </w:rPr>
              <w:t>Legal Proceedings</w:t>
            </w:r>
          </w:p>
        </w:tc>
        <w:tc>
          <w:tcPr>
            <w:tcW w:w="8000" w:type="dxa"/>
            <w:vAlign w:val="bottom"/>
            <w:gridSpan w:val="12"/>
          </w:tcPr>
          <w:p>
            <w:pPr>
              <w:spacing w:after="0"/>
              <w:rPr>
                <w:sz w:val="22"/>
                <w:szCs w:val="22"/>
                <w:color w:val="auto"/>
              </w:rPr>
            </w:pP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34</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8000" w:type="dxa"/>
            <w:vAlign w:val="bottom"/>
            <w:gridSpan w:val="12"/>
          </w:tcPr>
          <w:p>
            <w:pPr>
              <w:spacing w:after="0"/>
              <w:rPr>
                <w:sz w:val="22"/>
                <w:szCs w:val="22"/>
                <w:color w:val="auto"/>
              </w:rPr>
            </w:pP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34</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34</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9"/>
          </w:tcPr>
          <w:p>
            <w:pPr>
              <w:spacing w:after="0"/>
              <w:rPr>
                <w:sz w:val="20"/>
                <w:szCs w:val="20"/>
                <w:color w:val="auto"/>
              </w:rPr>
            </w:pPr>
            <w:r>
              <w:rPr>
                <w:rFonts w:ascii="Arial" w:cs="Arial" w:eastAsia="Arial" w:hAnsi="Arial"/>
                <w:sz w:val="18"/>
                <w:szCs w:val="18"/>
                <w:color w:val="0000FF"/>
              </w:rPr>
              <w:t>Defaults Upon Senior Securities</w:t>
            </w:r>
          </w:p>
        </w:tc>
        <w:tc>
          <w:tcPr>
            <w:tcW w:w="4980" w:type="dxa"/>
            <w:vAlign w:val="bottom"/>
            <w:gridSpan w:val="7"/>
          </w:tcPr>
          <w:p>
            <w:pPr>
              <w:spacing w:after="0"/>
              <w:rPr>
                <w:sz w:val="22"/>
                <w:szCs w:val="22"/>
                <w:color w:val="auto"/>
              </w:rPr>
            </w:pP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34</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rPr>
                <w:sz w:val="20"/>
                <w:szCs w:val="20"/>
                <w:color w:val="auto"/>
              </w:rPr>
            </w:pPr>
            <w:r>
              <w:rPr>
                <w:rFonts w:ascii="Arial" w:cs="Arial" w:eastAsia="Arial" w:hAnsi="Arial"/>
                <w:sz w:val="18"/>
                <w:szCs w:val="18"/>
                <w:color w:val="0000FF"/>
              </w:rPr>
              <w:t>Mine Safety Disclosures</w:t>
            </w:r>
          </w:p>
        </w:tc>
        <w:tc>
          <w:tcPr>
            <w:tcW w:w="7000" w:type="dxa"/>
            <w:vAlign w:val="bottom"/>
            <w:gridSpan w:val="10"/>
          </w:tcPr>
          <w:p>
            <w:pPr>
              <w:spacing w:after="0"/>
              <w:rPr>
                <w:sz w:val="22"/>
                <w:szCs w:val="22"/>
                <w:color w:val="auto"/>
              </w:rPr>
            </w:pP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35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440" w:type="dxa"/>
            <w:vAlign w:val="bottom"/>
          </w:tcPr>
          <w:p>
            <w:pPr>
              <w:spacing w:after="0"/>
              <w:rPr>
                <w:sz w:val="22"/>
                <w:szCs w:val="22"/>
                <w:color w:val="auto"/>
              </w:rPr>
            </w:pPr>
          </w:p>
        </w:tc>
        <w:tc>
          <w:tcPr>
            <w:tcW w:w="7560" w:type="dxa"/>
            <w:vAlign w:val="bottom"/>
            <w:gridSpan w:val="11"/>
          </w:tcPr>
          <w:p>
            <w:pPr>
              <w:spacing w:after="0"/>
              <w:rPr>
                <w:sz w:val="22"/>
                <w:szCs w:val="22"/>
                <w:color w:val="auto"/>
              </w:rPr>
            </w:pP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35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gridSpan w:val="2"/>
          </w:tcPr>
          <w:p>
            <w:pPr>
              <w:spacing w:after="0"/>
              <w:rPr>
                <w:sz w:val="22"/>
                <w:szCs w:val="22"/>
                <w:color w:val="auto"/>
              </w:rPr>
            </w:pPr>
          </w:p>
        </w:tc>
        <w:tc>
          <w:tcPr>
            <w:tcW w:w="8000" w:type="dxa"/>
            <w:vAlign w:val="bottom"/>
            <w:gridSpan w:val="12"/>
          </w:tcPr>
          <w:p>
            <w:pPr>
              <w:spacing w:after="0"/>
              <w:rPr>
                <w:sz w:val="22"/>
                <w:szCs w:val="22"/>
                <w:color w:val="auto"/>
              </w:rPr>
            </w:pP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35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0000FF"/>
              </w:rPr>
              <w:t>Signature</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center"/>
              <w:ind w:left="191"/>
              <w:spacing w:after="0"/>
              <w:rPr>
                <w:sz w:val="20"/>
                <w:szCs w:val="20"/>
                <w:color w:val="auto"/>
              </w:rPr>
            </w:pPr>
            <w:r>
              <w:rPr>
                <w:rFonts w:ascii="Arial" w:cs="Arial" w:eastAsia="Arial" w:hAnsi="Arial"/>
                <w:sz w:val="18"/>
                <w:szCs w:val="18"/>
                <w:color w:val="0000FF"/>
                <w:w w:val="89"/>
              </w:rPr>
              <w:t>36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8"/>
        </w:trPr>
        <w:tc>
          <w:tcPr>
            <w:tcW w:w="8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w w:val="96"/>
              </w:rPr>
              <w:t>September 30,</w:t>
            </w:r>
          </w:p>
        </w:tc>
      </w:tr>
      <w:tr>
        <w:trPr>
          <w:trHeight w:val="196"/>
        </w:trPr>
        <w:tc>
          <w:tcPr>
            <w:tcW w:w="84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168,093</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171,601</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16,629</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(20,742)</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4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Benefit for federal, state and foreign income taxes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(5,265)</w:t>
            </w:r>
          </w:p>
        </w:tc>
      </w:tr>
      <w:tr>
        <w:trPr>
          <w:trHeight w:val="248"/>
        </w:trPr>
        <w:tc>
          <w:tcPr>
            <w:tcW w:w="8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Diluted loss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26,611</w:t>
            </w:r>
          </w:p>
        </w:tc>
      </w:tr>
      <w:tr>
        <w:trPr>
          <w:trHeight w:val="229"/>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26,611</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right"/>
              <w:ind w:right="637"/>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3"/>
        </w:trPr>
        <w:tc>
          <w:tcPr>
            <w:tcW w:w="8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(17,538)</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8"/>
        </w:trPr>
        <w:tc>
          <w:tcPr>
            <w:tcW w:w="846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w w:val="92"/>
              </w:rPr>
              <w:t>Foreign currency translation loss (net of tax expense of $0 and $54 for the three months ended September 30,</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 and 2021, respectively)</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(18,333)</w:t>
            </w:r>
          </w:p>
        </w:tc>
      </w:tr>
      <w:tr>
        <w:trPr>
          <w:trHeight w:val="21"/>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96"/>
        </w:trPr>
        <w:tc>
          <w:tcPr>
            <w:tcW w:w="8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215"/>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(Note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52,371</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Accounts receivable, less allowances (September 30, 2022—$1,222 and June 30, 2022—$1,320)</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149,345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153,879</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44,752</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9,974</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4,024</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260,604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287,412</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(Note 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53,869</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22,067</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42,135</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accumulated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r>
      <w:tr>
        <w:trPr>
          <w:trHeight w:val="229"/>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non-current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440,793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215"/>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74,886</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65,106</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wages and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21,526</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6,125</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177,785</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19,904</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Borrowings under asset-backed credit facility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 non-current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189,661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213,087</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5"/>
        </w:trPr>
        <w:tc>
          <w:tcPr>
            <w:tcW w:w="85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Common stock—$.01 par value; 60,000,000 shares authorized; 27,888,217 shares issued as of September 30,</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8"/>
        </w:trPr>
        <w:tc>
          <w:tcPr>
            <w:tcW w:w="856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w w:val="90"/>
              </w:rPr>
              <w:t>2022 and June 30, 2022; 26,955,510 and 26,790,514 shares outstanding as of September 30, 2022 and June 30,</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 respectively</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137,651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139,854</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111,278</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w:t>
            </w:r>
          </w:p>
        </w:tc>
      </w:tr>
      <w:tr>
        <w:trPr>
          <w:trHeight w:val="223"/>
        </w:trPr>
        <w:tc>
          <w:tcPr>
            <w:tcW w:w="8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243,236</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1"/>
              </w:rPr>
              <w:t>Treasury stock, at cost — 932,707 shares as of September 30, 2022, and 1,097,703 shares as of June 30, 2022</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(15,530)</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227,706</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440,793</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3"/>
        </w:trPr>
        <w:tc>
          <w:tcPr>
            <w:tcW w:w="8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120" w:type="dxa"/>
            <w:vAlign w:val="bottom"/>
          </w:tcPr>
          <w:p>
            <w:pPr>
              <w:jc w:val="right"/>
              <w:ind w:right="112"/>
              <w:spacing w:after="0" w:line="13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(17,538)</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by operating activities: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Deferred income tax</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(5,343)</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sale of property, plant and equipment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Provision for uncollectible accounts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Accelerated amortization of deferred debt amendment fees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4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3,134</w:t>
            </w:r>
          </w:p>
        </w:tc>
      </w:tr>
      <w:tr>
        <w:trPr>
          <w:trHeight w:val="229"/>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29"/>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assets and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5,108</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r>
      <w:tr>
        <w:trPr>
          <w:trHeight w:val="229"/>
        </w:trPr>
        <w:tc>
          <w:tcPr>
            <w:tcW w:w="85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operating activities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r>
      <w:tr>
        <w:trPr>
          <w:trHeight w:val="229"/>
        </w:trPr>
        <w:tc>
          <w:tcPr>
            <w:tcW w:w="85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asset sales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
        </w:trPr>
        <w:tc>
          <w:tcPr>
            <w:tcW w:w="8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120" w:type="dxa"/>
            <w:vAlign w:val="bottom"/>
          </w:tcPr>
          <w:p>
            <w:pPr>
              <w:jc w:val="right"/>
              <w:ind w:right="113"/>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8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Payment of debt amendment fees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cash used by financing activities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(21,600)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 (Note 1)</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83,878</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 (Note 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62,278</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54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including payment of debt amendment fees</w:t>
            </w: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 on account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0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033"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June 30, 2022</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139,854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111,278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227,706</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Issuance of deferred shares (204,827 shares)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(13,033 shares)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3"/>
        </w:trPr>
        <w:tc>
          <w:tcPr>
            <w:tcW w:w="4620" w:type="dxa"/>
            <w:vAlign w:val="bottom"/>
          </w:tcPr>
          <w:p>
            <w:pPr>
              <w:ind w:left="20"/>
              <w:spacing w:after="0" w:line="143" w:lineRule="exact"/>
              <w:rPr>
                <w:sz w:val="20"/>
                <w:szCs w:val="20"/>
                <w:color w:val="auto"/>
              </w:rPr>
            </w:pPr>
            <w:r>
              <w:rPr>
                <w:rFonts w:ascii="Arial" w:cs="Arial" w:eastAsia="Arial" w:hAnsi="Arial"/>
                <w:sz w:val="14"/>
                <w:szCs w:val="14"/>
                <w:color w:val="auto"/>
              </w:rPr>
              <w:t>Treasury shares purchased to satisfy tax withholding obligations (52,864</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8"/>
        </w:trPr>
        <w:tc>
          <w:tcPr>
            <w:tcW w:w="462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Balances, September 30, 2022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137,651</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104,766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(9,928)</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(11,517)</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221,251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Balances, June 30,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137,575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175,178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(6,749)</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(20,744)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285,539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(17,538)</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deferred shares (217,084 shares)</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(7,209 shares)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Treasury shares purchased to satisfy tax withholding obligations (76,703</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1,869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September 30,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135,308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157,640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(7,544)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(17,385)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268,298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0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074"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2022, included in our Annual Report on Form 10-K for the year then ended. The results of operations for the three months ended September 30, 2022 may not necessarily be indicative of the results of operations for the full year ending June 30, 2023.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asset-backed credit agreement (the "ABL Facility") requires us to maintain a minimum of $25.0 million of restricted cash at all times (See Note 6 - Debt for more information about the ABL Facility). Since this cash must be restricted through the maturity date of the ABL Facility, which is beyond one year, we have classified this restricted cash as non-current in our Condensed Consolidated Balance Sheets.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in the Condensed Consolidated Balance Sheets to the total cash, cash equivalents and restricted cash shown in the Condensed Consolidated Statements of Cash Flows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r>
      <w:tr>
        <w:trPr>
          <w:trHeight w:val="196"/>
        </w:trPr>
        <w:tc>
          <w:tcPr>
            <w:tcW w:w="8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52,371</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Total cash, cash equivalents and restricted cash shown in the Condensed Consolidated Statements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significant accounting policies are detailed in “Note 1 - Summary of Significant Accounting Policies” of our Annual Report on Form 10-K for the year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$438.6 million of remaining performance obligations yet to be satisfied as of September 30, 2022. We expect to recognize $367.2 million of our remaining performance obligations as revenue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0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90"/>
              </w:rPr>
              <w:t>44,752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14,857</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79"/>
              <w:spacing w:after="0"/>
              <w:rPr>
                <w:sz w:val="20"/>
                <w:szCs w:val="20"/>
                <w:color w:val="auto"/>
              </w:rPr>
            </w:pPr>
            <w:r>
              <w:rPr>
                <w:rFonts w:ascii="Arial" w:cs="Arial" w:eastAsia="Arial" w:hAnsi="Arial"/>
                <w:sz w:val="18"/>
                <w:szCs w:val="18"/>
                <w:color w:val="auto"/>
                <w:w w:val="92"/>
              </w:rPr>
              <w:t>(65,106)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8"/>
                <w:szCs w:val="18"/>
                <w:color w:val="auto"/>
                <w:w w:val="92"/>
              </w:rPr>
              <w:t>(20,354)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difference between the beginning and ending balances of our CIE and BIE primarily results from the timing of revenue recognized relative to its billings. The amount of revenue recognized during the three months ended September 30, 2022 that was included in the June 30, 2022 BIE balance was $37.6 million. This revenue consists primarily of work performed during the period on contracts with customers that had advance billings.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Progress billings in accounts receivable at September 30, 2022 and June 30, 2022 included retentions to be collected within one year of $19.1 million and $16.1 million, respectively. Contract retentions collectible beyond one year are included in other assets, non-current in the Condensed Consolidated Balance Sheets and totaled $4.9 million as of September 30, 2022 and $4.0 million as of June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disaggregated by reportable segment is presented in Note 10 - Segment Information. The following tables presents revenue disaggregated by geographic area where the work was performed and by contract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4"/>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1"/>
                <w:szCs w:val="11"/>
                <w:color w:val="auto"/>
              </w:rPr>
            </w:pPr>
          </w:p>
        </w:tc>
        <w:tc>
          <w:tcPr>
            <w:tcW w:w="112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7"/>
          </w:tcPr>
          <w:p>
            <w:pPr>
              <w:jc w:val="center"/>
              <w:ind w:right="140"/>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international</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208,431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rPr>
              <w:t>Contract Type Disaggregation:</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86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4"/>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center"/>
              <w:ind w:right="57"/>
              <w:spacing w:after="0"/>
              <w:rPr>
                <w:sz w:val="20"/>
                <w:szCs w:val="20"/>
                <w:color w:val="auto"/>
              </w:rPr>
            </w:pPr>
            <w:r>
              <w:rPr>
                <w:rFonts w:ascii="Arial" w:cs="Arial" w:eastAsia="Arial" w:hAnsi="Arial"/>
                <w:sz w:val="14"/>
                <w:szCs w:val="14"/>
                <w:color w:val="auto"/>
                <w:w w:val="91"/>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Fixed-price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rPr>
              <w:t>Time and materials and other cost reimbursable contracts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98,958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Typically, we assume more risk with fixed-price contracts since increases in costs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Plant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property, plant and equipment - net at September 30, 2022 and June 30, 2022:</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100" w:type="dxa"/>
            <w:vAlign w:val="bottom"/>
          </w:tcPr>
          <w:p>
            <w:pPr>
              <w:jc w:val="right"/>
              <w:ind w:right="43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186"/>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6"/>
                <w:szCs w:val="16"/>
                <w:color w:val="auto"/>
              </w:rPr>
            </w:pPr>
          </w:p>
        </w:tc>
      </w:tr>
      <w:tr>
        <w:trPr>
          <w:trHeight w:val="246"/>
        </w:trPr>
        <w:tc>
          <w:tcPr>
            <w:tcW w:w="8020" w:type="dxa"/>
            <w:vAlign w:val="bottom"/>
          </w:tcPr>
          <w:p>
            <w:pPr>
              <w:ind w:left="20"/>
              <w:spacing w:after="0"/>
              <w:rPr>
                <w:sz w:val="20"/>
                <w:szCs w:val="20"/>
                <w:color w:val="auto"/>
              </w:rPr>
            </w:pPr>
            <w:r>
              <w:rPr>
                <w:rFonts w:ascii="Arial" w:cs="Arial" w:eastAsia="Arial" w:hAnsi="Arial"/>
                <w:sz w:val="18"/>
                <w:szCs w:val="18"/>
                <w:color w:val="auto"/>
              </w:rPr>
              <w:t>Property, plant and equipment - at cost:</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and buildings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34,788</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Construction equipment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91,546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93,036</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Transportation equipment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48,999</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Office equipment and software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41,387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43,823</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property, plant and equipment - at cost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217,756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222,292</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(168,423)</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Property, plant and equipment -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53,869</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lease arrangements for real estate, construction equipment and information technology equipment in the normal course of business. Real estate leases accounted for approximately 98% of all right-of-use assets as of September 30, 2022. Most real estate and information technology equipment leases generally have fixed payments that follow an agreed upon payment schedule and have remaining lease terms ranging from less than one year to 13 years. Construction equipment leases generally have "month-to-month" lease terms that automatically renew as long as the equipment remains in use.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in the Condensed Consolidated Statements of Income are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3"/>
          </w:tcPr>
          <w:p>
            <w:pPr>
              <w:jc w:val="center"/>
              <w:ind w:left="97"/>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6"/>
                <w:szCs w:val="16"/>
                <w:color w:val="auto"/>
              </w:rPr>
            </w:pPr>
          </w:p>
        </w:tc>
      </w:tr>
      <w:tr>
        <w:trPr>
          <w:trHeight w:val="25"/>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190"/>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2022</w:t>
            </w: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2021</w:t>
            </w:r>
          </w:p>
        </w:tc>
      </w:tr>
      <w:tr>
        <w:trPr>
          <w:trHeight w:val="216"/>
        </w:trPr>
        <w:tc>
          <w:tcPr>
            <w:tcW w:w="264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expense</w:t>
            </w:r>
          </w:p>
        </w:tc>
        <w:tc>
          <w:tcPr>
            <w:tcW w:w="5920" w:type="dxa"/>
            <w:vAlign w:val="bottom"/>
          </w:tcPr>
          <w:p>
            <w:pPr>
              <w:ind w:left="2180"/>
              <w:spacing w:after="0"/>
              <w:rPr>
                <w:sz w:val="20"/>
                <w:szCs w:val="20"/>
                <w:color w:val="auto"/>
              </w:rPr>
            </w:pPr>
            <w:r>
              <w:rPr>
                <w:rFonts w:ascii="Arial" w:cs="Arial" w:eastAsia="Arial" w:hAnsi="Arial"/>
                <w:sz w:val="18"/>
                <w:szCs w:val="18"/>
                <w:b w:val="1"/>
                <w:bCs w:val="1"/>
                <w:color w:val="auto"/>
              </w:rPr>
              <w:t>Location of Expense</w:t>
            </w:r>
          </w:p>
        </w:tc>
        <w:tc>
          <w:tcPr>
            <w:tcW w:w="380" w:type="dxa"/>
            <w:vAlign w:val="bottom"/>
          </w:tcPr>
          <w:p>
            <w:pPr>
              <w:spacing w:after="0"/>
              <w:rPr>
                <w:sz w:val="18"/>
                <w:szCs w:val="18"/>
                <w:color w:val="auto"/>
              </w:rPr>
            </w:pPr>
          </w:p>
        </w:tc>
        <w:tc>
          <w:tcPr>
            <w:tcW w:w="1700" w:type="dxa"/>
            <w:vAlign w:val="bottom"/>
            <w:gridSpan w:val="3"/>
          </w:tcPr>
          <w:p>
            <w:pPr>
              <w:jc w:val="center"/>
              <w:ind w:left="117"/>
              <w:spacing w:after="0"/>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8"/>
                <w:szCs w:val="18"/>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00" w:type="dxa"/>
            <w:vAlign w:val="bottom"/>
            <w:tcBorders>
              <w:top w:val="single" w:sz="8" w:color="CCEEFF"/>
            </w:tcBorders>
            <w:shd w:val="clear" w:color="auto" w:fill="CCEEFF"/>
          </w:tcPr>
          <w:p>
            <w:pPr>
              <w:spacing w:after="0"/>
              <w:rPr>
                <w:sz w:val="19"/>
                <w:szCs w:val="19"/>
                <w:color w:val="auto"/>
              </w:rPr>
            </w:pPr>
          </w:p>
        </w:tc>
        <w:tc>
          <w:tcPr>
            <w:tcW w:w="5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revenue and Selling, general and administrative expenses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29"/>
        </w:trPr>
        <w:tc>
          <w:tcPr>
            <w:tcW w:w="26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3"/>
                <w:szCs w:val="23"/>
                <w:color w:val="auto"/>
                <w:vertAlign w:val="superscript"/>
              </w:rPr>
              <w:t>(1)</w:t>
            </w:r>
          </w:p>
        </w:tc>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r>
      <w:tr>
        <w:trPr>
          <w:trHeight w:val="248"/>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5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Primarily represents the lease expense of construction equipment that is subject to month-to-month rental agreements with expected rental durations of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right="520"/>
        <w:spacing w:after="0" w:line="269"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presented in our Condensed Consolidated Balance Sheets, were as follows:</w:t>
      </w: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September 30, 2022</w:t>
            </w:r>
          </w:p>
        </w:tc>
        <w:tc>
          <w:tcPr>
            <w:tcW w:w="0" w:type="dxa"/>
            <w:vAlign w:val="bottom"/>
          </w:tcPr>
          <w:p>
            <w:pPr>
              <w:spacing w:after="0"/>
              <w:rPr>
                <w:sz w:val="1"/>
                <w:szCs w:val="1"/>
                <w:color w:val="auto"/>
              </w:rPr>
            </w:pPr>
          </w:p>
        </w:tc>
      </w:tr>
      <w:tr>
        <w:trPr>
          <w:trHeight w:val="26"/>
        </w:trPr>
        <w:tc>
          <w:tcPr>
            <w:tcW w:w="9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Maturity Analysis:</w:t>
            </w: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393"/>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31,085</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present value of future lease payments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24,593</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19,698</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weighted average remaining operating lease term and weighted average discount rate as of September 30,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years</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566"/>
        </w:trPr>
        <w:tc>
          <w:tcPr>
            <w:tcW w:w="948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4"/>
        </w:trPr>
        <w:tc>
          <w:tcPr>
            <w:tcW w:w="9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Three Months Ended</w:t>
            </w:r>
          </w:p>
        </w:tc>
      </w:tr>
      <w:tr>
        <w:trPr>
          <w:trHeight w:val="203"/>
        </w:trPr>
        <w:tc>
          <w:tcPr>
            <w:tcW w:w="9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September 30, 2022</w:t>
            </w:r>
          </w:p>
        </w:tc>
      </w:tr>
      <w:tr>
        <w:trPr>
          <w:trHeight w:val="25"/>
        </w:trPr>
        <w:tc>
          <w:tcPr>
            <w:tcW w:w="9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76"/>
        </w:trPr>
        <w:tc>
          <w:tcPr>
            <w:tcW w:w="9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98"/>
              <w:spacing w:after="0"/>
              <w:rPr>
                <w:sz w:val="20"/>
                <w:szCs w:val="20"/>
                <w:color w:val="auto"/>
              </w:rPr>
            </w:pPr>
            <w:r>
              <w:rPr>
                <w:rFonts w:ascii="Arial" w:cs="Arial" w:eastAsia="Arial" w:hAnsi="Arial"/>
                <w:sz w:val="14"/>
                <w:szCs w:val="14"/>
                <w:color w:val="auto"/>
                <w:w w:val="92"/>
              </w:rPr>
              <w:t>(in thousands)</w:t>
            </w:r>
          </w:p>
        </w:tc>
      </w:tr>
      <w:tr>
        <w:trPr>
          <w:trHeight w:val="20"/>
        </w:trPr>
        <w:tc>
          <w:tcPr>
            <w:tcW w:w="9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9480" w:type="dxa"/>
            <w:vAlign w:val="bottom"/>
          </w:tcPr>
          <w:p>
            <w:pPr>
              <w:ind w:left="360"/>
              <w:spacing w:after="0"/>
              <w:rPr>
                <w:sz w:val="20"/>
                <w:szCs w:val="20"/>
                <w:color w:val="auto"/>
              </w:rPr>
            </w:pPr>
            <w:r>
              <w:rPr>
                <w:rFonts w:ascii="Arial" w:cs="Arial" w:eastAsia="Arial" w:hAnsi="Arial"/>
                <w:sz w:val="18"/>
                <w:szCs w:val="18"/>
                <w:color w:val="auto"/>
              </w:rPr>
              <w:t>Operating lease payments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94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1,089</w:t>
            </w: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Utility and Power</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Process and Industrial</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Storage and Terminal</w:t>
            </w:r>
          </w:p>
        </w:tc>
        <w:tc>
          <w:tcPr>
            <w:tcW w:w="340" w:type="dxa"/>
            <w:vAlign w:val="bottom"/>
          </w:tcPr>
          <w:p>
            <w:pPr>
              <w:spacing w:after="0"/>
              <w:rPr>
                <w:sz w:val="14"/>
                <w:szCs w:val="14"/>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balance at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80" w:hanging="329"/>
        <w:spacing w:after="0" w:line="273" w:lineRule="auto"/>
        <w:tabs>
          <w:tab w:leader="none" w:pos="57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performed our annual goodwill impairment test as of May 31, 2022, which resulted in no impairment. The fiscal 2022 test indicated that four reporting units with a combined total of $33.8 million of goodwill as of June 30, 2022 were at higher risk of future impairment. We concluded, that based on the totality of both positive and negative factors, no impairment indicators existed at September 30, 2022. However, if our view of project opportunities or gross margins deteriorates, particularly for the higher risk reporting units, then we may need to perform an interim goodwill impairment test, which could result in an impairment.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At September 30, 2022</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Customer-based</w:t>
            </w:r>
            <w:r>
              <w:rPr>
                <w:rFonts w:ascii="Arial" w:cs="Arial" w:eastAsia="Arial" w:hAnsi="Arial"/>
                <w:sz w:val="23"/>
                <w:szCs w:val="23"/>
                <w:color w:val="auto"/>
                <w:vertAlign w:val="superscript"/>
              </w:rPr>
              <w:t>(1)</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Customer-based intangible assets have been adjusted in fiscal 2023 to remove $4.2 million of customer relationships that have been fully amortized.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At June 30, 2022</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right"/>
              <w:ind w:right="217"/>
              <w:spacing w:after="0" w:line="129"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7"/>
                <w:szCs w:val="17"/>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totaled $0.4 million and $0.5 million during the three months ended September 30, 2022 and 2021,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September 30, 2022 amortizing intangible assets will be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2023</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Fiscal 2026</w:t>
            </w: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estimated remaining amortization expense at September 30, 2022</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5, 2022, our primary U.S. and Canada operating subsidiaries entered into the First Amendment and Waiver to Credit Agreement (the “Amendment”), which amended our asset-backed credit agreement (the "ABL Facility"), dated as of September 9, 2021 with Bank of Montreal, as Administrative Agent, Swing Line Lender and a Letter of Credit Issuer, and the lenders named therein. The Amendment (i) waived an event of default resulting from our failure to deliver the Administrative Agent and the lenders our audited financial statements for the fiscal year ended June 30, 2022 by September 28, 2022 (the “Audited Financial Statements”), provided we deliver the Audited Financial Statements by October 14, 2022, (ii) reduced the maximum amount of loans under the ABL Facility to $90.0 million from $100.0 million and (iii) replaced the London interbank offered rate with the forward term rate based on the secured overnight financing rate (the “SOFR”) as the interest rate benchmark. We subsequently delivered the Audited Financial Statements on October 11, 2022.</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ABL Facility is guaranteed by substantially all of our remaining U.S. and Canadian subsidiaries. The ABL Facility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September 30, 2022, our borrowing base was $79.0 million, we had $15.0 million of outstanding borrowings, and $21.7 million in letters of credit outstanding, which resulted in availability of $42.3 million under the ABL Facility.</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Borrowings under the ABL Facility bear interest through maturity at a variable rate based upon, at our option, an annual rate of either a base rate (“Base Rate”), an Adjusted Term SOFR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September 30, 2022, including applicable margin, was 7.50%.</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lesser of (1) the current borrowing base and (2) the commitments under the ABL Facility then in effect, a consolidated Fixed Charge Coverage Ratio of at least 1.00 to 1.00 must be maintained. Except for the covenant to deliver Audited Financial Statements by September 28, 2022, which was waived in the Amendment, we were in compliance with all covenants of the ABL Facility as of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effective tax rates were 0.0% and 23.1% for the three months ended September 30, 2022 and 2021, respectively. The effective tax rate during the first quarter of fiscal 2023 was impacted by a $1.4 million valuation allowance placed on deferred tax assets generated during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Valuation Allowance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placed a full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or cumulative losses are no longer present and our future projections for growth or tax planning strategies are demonstrated.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Carryback Refund</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Through provisions in the Coronavirus Aid, Relief, and Economic Security (CARES) Act (the "CARES Act"), we had an income tax benefit from the ability to carryback the fiscal 2021 federal net operating loss to a period with a higher statutory federal income tax rate. We estimate that we will receive a $12.6 million tax refund in connection with this carryback, which is included in income taxes receivable in the Condensed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Payroll Taxes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we have a balance of $5.6 million remaining for U.S. payroll taxes we deferred through provisions of CARES Act. We must repay this balance by December 31, 2022. The remaining balance of deferred payroll taxes is included within accrued wages and benefits in the Condensed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Costs and estimated earnings in excess of billings on uncompleted contracts included revenues for unpriced change orders and claims of $13.7 million at September 30, 2022 and $8.9 million at June 30, 2022. The amounts ultimately realized may be significantly different than the recorded amounts resulting in a material adjustment to future earnings. The determination of our legal basis for a claim requires significant judgment.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fiscal 2020, we commenced litigation in an effort to collect accounts receivable from an iron and steel customer following the deterioration of the relationship in the second quarter of fiscal 2020. The unpaid account receivable balance at September 30, 2022 was $17.0 million. Litigation is unpredictable, however, based on the terms of the contract with this customer, we believe we are entitled to collect the full amount owed under the contract.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participants in various legal actions. It is the opinion of management that none of the other known legal actions will have a material impact on our financial position, results of operations or liquidity.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Common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 and nonvested deferred shares are not included since they are anti-dilutive.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8"/>
        </w:trPr>
        <w:tc>
          <w:tcPr>
            <w:tcW w:w="8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w w:val="96"/>
              </w:rPr>
              <w:t>September 30,</w:t>
            </w:r>
          </w:p>
        </w:tc>
      </w:tr>
      <w:tr>
        <w:trPr>
          <w:trHeight w:val="196"/>
        </w:trPr>
        <w:tc>
          <w:tcPr>
            <w:tcW w:w="8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181"/>
        </w:trPr>
        <w:tc>
          <w:tcPr>
            <w:tcW w:w="8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4"/>
          </w:tcPr>
          <w:p>
            <w:pPr>
              <w:jc w:val="right"/>
              <w:ind w:right="355"/>
              <w:spacing w:after="0"/>
              <w:rPr>
                <w:sz w:val="20"/>
                <w:szCs w:val="20"/>
                <w:color w:val="auto"/>
              </w:rPr>
            </w:pPr>
            <w:r>
              <w:rPr>
                <w:rFonts w:ascii="Arial" w:cs="Arial" w:eastAsia="Arial" w:hAnsi="Arial"/>
                <w:sz w:val="13"/>
                <w:szCs w:val="13"/>
                <w:color w:val="auto"/>
                <w:w w:val="98"/>
              </w:rPr>
              <w:t>(In thousands, except per share data)</w:t>
            </w:r>
          </w:p>
        </w:tc>
      </w:tr>
      <w:tr>
        <w:trPr>
          <w:trHeight w:val="237"/>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(17,538)</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60" w:type="dxa"/>
            <w:vAlign w:val="bottom"/>
          </w:tcPr>
          <w:p>
            <w:pPr>
              <w:ind w:left="20"/>
              <w:spacing w:after="0" w:line="203" w:lineRule="exact"/>
              <w:rPr>
                <w:sz w:val="20"/>
                <w:szCs w:val="20"/>
                <w:color w:val="auto"/>
              </w:rPr>
            </w:pPr>
            <w:r>
              <w:rPr>
                <w:rFonts w:ascii="Arial" w:cs="Arial" w:eastAsia="Arial" w:hAnsi="Arial"/>
                <w:sz w:val="18"/>
                <w:szCs w:val="18"/>
                <w:color w:val="auto"/>
              </w:rPr>
              <w:t>Basic loss per share</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8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EPS: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84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(6,512)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(17,538)</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60" w:type="dxa"/>
            <w:vAlign w:val="bottom"/>
          </w:tcPr>
          <w:p>
            <w:pPr>
              <w:ind w:left="20"/>
              <w:spacing w:after="0" w:line="203" w:lineRule="exact"/>
              <w:rPr>
                <w:sz w:val="20"/>
                <w:szCs w:val="20"/>
                <w:color w:val="auto"/>
              </w:rPr>
            </w:pPr>
            <w:r>
              <w:rPr>
                <w:rFonts w:ascii="Arial" w:cs="Arial" w:eastAsia="Arial" w:hAnsi="Arial"/>
                <w:sz w:val="18"/>
                <w:szCs w:val="18"/>
                <w:color w:val="auto"/>
              </w:rPr>
              <w:t>Diluted loss per share</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r>
      <w:tr>
        <w:trPr>
          <w:trHeight w:val="21"/>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our results of operations through three reportable segments: Utility and Power Infrastructure, Process and Industrial Facilities, and Storage and Terminal Solutions.</w:t>
      </w:r>
    </w:p>
    <w:p>
      <w:pPr>
        <w:spacing w:after="0" w:line="112" w:lineRule="exact"/>
        <w:rPr>
          <w:sz w:val="20"/>
          <w:szCs w:val="20"/>
          <w:color w:val="auto"/>
        </w:rPr>
      </w:pPr>
    </w:p>
    <w:p>
      <w:pPr>
        <w:jc w:val="both"/>
        <w:ind w:left="66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We also provide engineering, fabrication, and construction services for LNG utility peak shaving facilities, and provide construction and maintenance services to a variety of power generation facilities, including natural gas fired facilities in simple or combined cycle configuration.</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74"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crude oil and refined product storage tanks and terminals. We also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work related to cryogenic 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evaluate performance and allocate resources based on operating income. We eliminate intersegment sales; therefore, no intercompany profit or loss is recognized. Corporate selling, general and administrative expenses are excluded from our three reportable segments in order to better align controllable costs with the responsibility of segment management, and to be consistent with how our chief operating decision-maker assesses segment performance and allocates resources. Segment assets consist primarily of accounts receivable, costs and estimated earnings in excess of billings on uncompleted contracts, property, plant and equipment, right-of-use lease assets, goodwill and other intangible assets.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1"/>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revenue</w:t>
            </w: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44,870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37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gross revenue</w:t>
            </w:r>
          </w:p>
        </w:tc>
        <w:tc>
          <w:tcPr>
            <w:tcW w:w="3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Less: Inter-segment revenue</w:t>
            </w: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37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inter-segment revenue</w:t>
            </w:r>
          </w:p>
        </w:tc>
        <w:tc>
          <w:tcPr>
            <w:tcW w:w="3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revenue</w:t>
            </w: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37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Total consolidated revenue</w:t>
            </w:r>
          </w:p>
        </w:tc>
        <w:tc>
          <w:tcPr>
            <w:tcW w:w="37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Gross profit (loss)</w:t>
            </w:r>
          </w:p>
        </w:tc>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Total gross profit (loss)</w:t>
            </w:r>
          </w:p>
        </w:tc>
        <w:tc>
          <w:tcPr>
            <w:tcW w:w="37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Total selling, general and administrative expenses</w:t>
            </w:r>
          </w:p>
        </w:tc>
        <w:tc>
          <w:tcPr>
            <w:tcW w:w="37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Restructuring costs</w:t>
            </w:r>
          </w:p>
        </w:tc>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Total restructuring costs</w:t>
            </w:r>
          </w:p>
        </w:tc>
        <w:tc>
          <w:tcPr>
            <w:tcW w:w="37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Total operating loss</w:t>
            </w:r>
          </w:p>
        </w:tc>
        <w:tc>
          <w:tcPr>
            <w:tcW w:w="37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760" w:type="dxa"/>
            <w:vAlign w:val="bottom"/>
            <w:vMerge w:val="restart"/>
          </w:tcPr>
          <w:p>
            <w:pPr>
              <w:jc w:val="right"/>
              <w:ind w:right="261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94,059</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130,461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104,078</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141,084</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101,572</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440,793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Restructuring Costs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business improvement plan consists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We expect to complete these restructuring efforts in fiscal 2023 or early fiscal 2024. The restructuring costs consist primarily of severance costs, facility closure costs, consulting fees and other liabilities.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under our business improvement plan are classified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2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2"/>
              </w:rPr>
              <w:t>Since Inception of</w:t>
            </w:r>
          </w:p>
        </w:tc>
        <w:tc>
          <w:tcPr>
            <w:tcW w:w="0" w:type="dxa"/>
            <w:vAlign w:val="bottom"/>
          </w:tcPr>
          <w:p>
            <w:pPr>
              <w:spacing w:after="0"/>
              <w:rPr>
                <w:sz w:val="1"/>
                <w:szCs w:val="1"/>
                <w:color w:val="auto"/>
              </w:rPr>
            </w:pPr>
          </w:p>
        </w:tc>
      </w:tr>
      <w:tr>
        <w:trPr>
          <w:trHeight w:val="37"/>
        </w:trPr>
        <w:tc>
          <w:tcPr>
            <w:tcW w:w="43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 2022</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2"/>
                <w:szCs w:val="12"/>
                <w:color w:val="auto"/>
              </w:rPr>
            </w:pPr>
          </w:p>
        </w:tc>
        <w:tc>
          <w:tcPr>
            <w:tcW w:w="1220" w:type="dxa"/>
            <w:vAlign w:val="bottom"/>
          </w:tcPr>
          <w:p>
            <w:pPr>
              <w:jc w:val="center"/>
              <w:ind w:right="11"/>
              <w:spacing w:after="0" w:line="145" w:lineRule="exact"/>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Improvement Plan</w:t>
            </w: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Utility and Power Infrastructure</w:t>
            </w:r>
          </w:p>
        </w:tc>
        <w:tc>
          <w:tcPr>
            <w:tcW w:w="2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318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2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2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2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320" w:type="dxa"/>
            <w:vAlign w:val="bottom"/>
          </w:tcPr>
          <w:p>
            <w:pPr>
              <w:ind w:left="240"/>
              <w:spacing w:after="0"/>
              <w:rPr>
                <w:sz w:val="20"/>
                <w:szCs w:val="20"/>
                <w:color w:val="auto"/>
              </w:rPr>
            </w:pPr>
            <w:r>
              <w:rPr>
                <w:rFonts w:ascii="Arial" w:cs="Arial" w:eastAsia="Arial" w:hAnsi="Arial"/>
                <w:sz w:val="18"/>
                <w:szCs w:val="18"/>
                <w:color w:val="auto"/>
              </w:rPr>
              <w:t>Total Utility and Power Infrastructure</w:t>
            </w:r>
          </w:p>
        </w:tc>
        <w:tc>
          <w:tcPr>
            <w:tcW w:w="27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Process and Industrial Facilities</w:t>
            </w:r>
          </w:p>
        </w:tc>
        <w:tc>
          <w:tcPr>
            <w:tcW w:w="2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318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9,408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2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2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2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23"/>
        </w:trPr>
        <w:tc>
          <w:tcPr>
            <w:tcW w:w="4320" w:type="dxa"/>
            <w:vAlign w:val="bottom"/>
          </w:tcPr>
          <w:p>
            <w:pPr>
              <w:ind w:left="240"/>
              <w:spacing w:after="0"/>
              <w:rPr>
                <w:sz w:val="20"/>
                <w:szCs w:val="20"/>
                <w:color w:val="auto"/>
              </w:rPr>
            </w:pPr>
            <w:r>
              <w:rPr>
                <w:rFonts w:ascii="Arial" w:cs="Arial" w:eastAsia="Arial" w:hAnsi="Arial"/>
                <w:sz w:val="18"/>
                <w:szCs w:val="18"/>
                <w:color w:val="auto"/>
              </w:rPr>
              <w:t>Total Process and Industrial Facilities</w:t>
            </w:r>
          </w:p>
        </w:tc>
        <w:tc>
          <w:tcPr>
            <w:tcW w:w="27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Storage and Terminal Solutions</w:t>
            </w:r>
          </w:p>
        </w:tc>
        <w:tc>
          <w:tcPr>
            <w:tcW w:w="2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318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2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Other costs</w:t>
            </w:r>
          </w:p>
        </w:tc>
        <w:tc>
          <w:tcPr>
            <w:tcW w:w="2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Storage and Terminal Solutions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Corporate</w:t>
            </w:r>
          </w:p>
        </w:tc>
        <w:tc>
          <w:tcPr>
            <w:tcW w:w="2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31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2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27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23"/>
        </w:trPr>
        <w:tc>
          <w:tcPr>
            <w:tcW w:w="4320" w:type="dxa"/>
            <w:vAlign w:val="bottom"/>
          </w:tcPr>
          <w:p>
            <w:pPr>
              <w:ind w:left="240"/>
              <w:spacing w:after="0"/>
              <w:rPr>
                <w:sz w:val="20"/>
                <w:szCs w:val="20"/>
                <w:color w:val="auto"/>
              </w:rPr>
            </w:pPr>
            <w:r>
              <w:rPr>
                <w:rFonts w:ascii="Arial" w:cs="Arial" w:eastAsia="Arial" w:hAnsi="Arial"/>
                <w:sz w:val="18"/>
                <w:szCs w:val="18"/>
                <w:color w:val="auto"/>
              </w:rPr>
              <w:t>Total Corporate</w:t>
            </w:r>
          </w:p>
        </w:tc>
        <w:tc>
          <w:tcPr>
            <w:tcW w:w="2760" w:type="dxa"/>
            <w:vAlign w:val="bottom"/>
          </w:tcPr>
          <w:p>
            <w:pPr>
              <w:spacing w:after="0"/>
              <w:rPr>
                <w:sz w:val="19"/>
                <w:szCs w:val="19"/>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Restructuring Costs by Type:</w:t>
            </w:r>
          </w:p>
        </w:tc>
        <w:tc>
          <w:tcPr>
            <w:tcW w:w="2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31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2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 impairments</w:t>
            </w:r>
          </w:p>
        </w:tc>
        <w:tc>
          <w:tcPr>
            <w:tcW w:w="2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w:t>
            </w:r>
          </w:p>
        </w:tc>
        <w:tc>
          <w:tcPr>
            <w:tcW w:w="2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restructuring costs</w:t>
            </w:r>
          </w:p>
        </w:tc>
        <w:tc>
          <w:tcPr>
            <w:tcW w:w="2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-18-</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right="382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and nature of future project awards, revenue and margins from each of our segments;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to our business from economic, market or business conditions in general and in the oil, natural gas, power, petrochemical, agricultural and mining industries in particular;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inflation on our operating expenses and our business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to our business from disruptions to supply chains, inflation and availability of materials and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14" w:lineRule="exact"/>
        <w:rPr>
          <w:sz w:val="20"/>
          <w:szCs w:val="20"/>
          <w:color w:val="auto"/>
        </w:rPr>
      </w:pPr>
    </w:p>
    <w:p>
      <w:pPr>
        <w:ind w:left="660" w:right="2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risk factors discussed in this Form 10-Q, Form 10-K for the fiscal year ended June 30, 2022, and in our other filings with the Securities and Exchange Commission;</w:t>
      </w:r>
    </w:p>
    <w:p>
      <w:pPr>
        <w:spacing w:after="0" w:line="116"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natural gas, power, petrochemical, agricultural and mining industries in particular;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transition to renewable energy sources and its impact on our current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 or over-utilization of our work force;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commencement or progression of major projects, whether due to permitting issues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report our results of operations through three reportable segments: Utility and Power Infrastructure, Process and Industrial Facilities, and Storage and Terminal Solutions.</w:t>
      </w:r>
    </w:p>
    <w:p>
      <w:pPr>
        <w:spacing w:after="0" w:line="112" w:lineRule="exact"/>
        <w:rPr>
          <w:sz w:val="20"/>
          <w:szCs w:val="20"/>
          <w:color w:val="auto"/>
        </w:rPr>
      </w:pPr>
    </w:p>
    <w:p>
      <w:pPr>
        <w:jc w:val="both"/>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We also provide engineering, fabrication, and construction services for LNG utility peak shaving facilities, and provide construction and maintenance services to a variety of power generation facilities, including natural gas fired facilities in simple or combined cycle configuration.</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74"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crude oil and refined product storage tanks and terminals. We also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work related to cryogenic 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Bidding activity, project award volumes, and revenue volumes all continued to improve from the two year period impacted by the pandemic and we are now beginning to see these trends positively affect our operating results. Repair and maintenance activities have increased significantly and returned to near pre-pandemic levels. In addition, capital project award opportunities have strengthened during the past year, which has resulted in more project awards and is beginning to drive higher revenue volumes. We expect these trends to continue and expect significant project awards in the second quarter of fiscal 2023. Gross margins are also improving as lower margin projects bid competitively during the pandemic continue to be completed and are being replaced by projects with an improved margin profile. Higher revenue volumes have also resulted in improved overhead cost recovery, which is critical to improved gross margin and operating income performance. We have still not reached the level of revenue that allows us to fully recover construction overhead costs and to adequately leverage SG&amp;A costs, but we expect to see significant progress towards those objectives as we progress through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order to more clearly depict our core profitability, the following tables present our operating results after certain adjustments: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to Adjusted Net Loss</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ind w:left="26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6"/>
                <w:szCs w:val="16"/>
                <w:color w:val="auto"/>
              </w:rPr>
            </w:pPr>
          </w:p>
        </w:tc>
      </w:tr>
      <w:tr>
        <w:trPr>
          <w:trHeight w:val="26"/>
        </w:trPr>
        <w:tc>
          <w:tcPr>
            <w:tcW w:w="860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189"/>
        </w:trPr>
        <w:tc>
          <w:tcPr>
            <w:tcW w:w="860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2022</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30, 2021</w:t>
            </w:r>
          </w:p>
        </w:tc>
      </w:tr>
      <w:tr>
        <w:trPr>
          <w:trHeight w:val="230"/>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(17,538)</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Restructuring costs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29"/>
        </w:trPr>
        <w:tc>
          <w:tcPr>
            <w:tcW w:w="86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Accelerated amortization of deferred debt amendment fees</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Tax impact of above adjustments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86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Deferred tax asset valuation allowance</w:t>
            </w:r>
            <w:r>
              <w:rPr>
                <w:rFonts w:ascii="Arial" w:cs="Arial" w:eastAsia="Arial" w:hAnsi="Arial"/>
                <w:sz w:val="23"/>
                <w:szCs w:val="23"/>
                <w:color w:val="auto"/>
                <w:vertAlign w:val="superscript"/>
              </w:rPr>
              <w:t>(3)</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Adjusted net loss</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(15,961)</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Loss per share, as reported</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loss per share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111760</wp:posOffset>
            </wp:positionV>
            <wp:extent cx="7969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1" w:lineRule="exact"/>
        <w:rPr>
          <w:sz w:val="20"/>
          <w:szCs w:val="20"/>
          <w:color w:val="auto"/>
        </w:rPr>
      </w:pPr>
    </w:p>
    <w:p>
      <w:pPr>
        <w:jc w:val="both"/>
        <w:ind w:left="580" w:hanging="329"/>
        <w:spacing w:after="0" w:line="281" w:lineRule="auto"/>
        <w:tabs>
          <w:tab w:leader="none" w:pos="572"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This table presents non-GAAP financial measures of our adjusted net loss and adjusted loss per share for the three months ended September 30, 2022 and 2021. The most directly comparable financial measures are net loss and loss per share, respectively, presented in the Condensed Consolidated Statements of Income. We have presented these non-GAAP financial measures because we believe they more clearly depict our core operating results during the periods presented and provide a more comparable measure of our operating results to other companies considered to be in similar businesses. Since adjusted net loss and adjusted loss per share are not measures of performance calculated in accordance with GAAP, they should be considered in addition to, rather than as a substitute for, the most directly comparable GAAP financial measures.</w:t>
      </w:r>
    </w:p>
    <w:p>
      <w:pPr>
        <w:ind w:left="560" w:hanging="309"/>
        <w:spacing w:after="0"/>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expense in fiscal 2022 included $1.5 million of accelerated amortization of deferred debt amendment fees.</w:t>
      </w:r>
    </w:p>
    <w:p>
      <w:pPr>
        <w:spacing w:after="0" w:line="9" w:lineRule="exact"/>
        <w:rPr>
          <w:rFonts w:ascii="Arial" w:cs="Arial" w:eastAsia="Arial" w:hAnsi="Arial"/>
          <w:sz w:val="14"/>
          <w:szCs w:val="14"/>
          <w:color w:val="auto"/>
        </w:rPr>
      </w:pPr>
    </w:p>
    <w:p>
      <w:pPr>
        <w:ind w:left="560" w:hanging="309"/>
        <w:spacing w:after="0"/>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Item 1. Financial Statements, Note 7 - Income Taxes, for more information about the deferred tax asset valuation allowance.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presented Adjusted EBITDA, which we define as net loss before restructuring costs, stock-based compensation, interest expense, income taxes, and depreciation and amortization, because it is used by the financial community as a method of measuring our performance and of evaluating the market value of companies considered to be in similar businesses. We believe that the line item on our Condensed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27" w:lineRule="exact"/>
        <w:rPr>
          <w:sz w:val="20"/>
          <w:szCs w:val="20"/>
          <w:color w:val="auto"/>
        </w:rPr>
      </w:pPr>
    </w:p>
    <w:p>
      <w:pPr>
        <w:ind w:left="980" w:right="5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does not include restructuring costs. Restructuring costs represent material costs that were incurred and are oftentimes cash expenses. Therefore, any measure that excludes restructuring costs has material limitations.</w:t>
      </w:r>
    </w:p>
    <w:p>
      <w:pPr>
        <w:spacing w:after="0" w:line="116" w:lineRule="exact"/>
        <w:rPr>
          <w:rFonts w:ascii="Arial" w:cs="Arial" w:eastAsia="Arial" w:hAnsi="Arial"/>
          <w:sz w:val="18"/>
          <w:szCs w:val="18"/>
          <w:color w:val="auto"/>
        </w:rPr>
      </w:pPr>
    </w:p>
    <w:p>
      <w:pPr>
        <w:ind w:left="980" w:right="220" w:hanging="324"/>
        <w:spacing w:after="0" w:line="259"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does not include stock-based compensation. Stock-based compensation represents material amounts of equity that are awarded to our employees and directors for services rendered. While the expense is non-cash, we release vested shares out of our treasury stock, which has historically been replenished by using cash to periodically repurchase our stock. Therefore, any measure that excludes stock-based compensation has material limitations.</w:t>
      </w:r>
    </w:p>
    <w:p>
      <w:pPr>
        <w:spacing w:after="0" w:line="132" w:lineRule="exact"/>
        <w:rPr>
          <w:rFonts w:ascii="Arial" w:cs="Arial" w:eastAsia="Arial" w:hAnsi="Arial"/>
          <w:sz w:val="18"/>
          <w:szCs w:val="18"/>
          <w:color w:val="auto"/>
        </w:rPr>
      </w:pPr>
    </w:p>
    <w:p>
      <w:pPr>
        <w:ind w:left="980" w:right="80" w:hanging="324"/>
        <w:spacing w:after="0" w:line="311" w:lineRule="auto"/>
        <w:tabs>
          <w:tab w:leader="none" w:pos="9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94" w:lineRule="exact"/>
        <w:rPr>
          <w:rFonts w:ascii="Arial" w:cs="Arial" w:eastAsia="Arial" w:hAnsi="Arial"/>
          <w:sz w:val="16"/>
          <w:szCs w:val="16"/>
          <w:color w:val="auto"/>
        </w:rPr>
      </w:pPr>
    </w:p>
    <w:p>
      <w:pPr>
        <w:ind w:left="980" w:right="26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980" w:right="100" w:hanging="324"/>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loss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3"/>
        </w:trPr>
        <w:tc>
          <w:tcPr>
            <w:tcW w:w="8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4"/>
              <w:spacing w:after="0" w:line="13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196"/>
        </w:trPr>
        <w:tc>
          <w:tcPr>
            <w:tcW w:w="84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(17,538)</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federal, state and foreign income taxes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480"/>
        <w:spacing w:after="0" w:line="440" w:lineRule="auto"/>
        <w:rPr>
          <w:sz w:val="20"/>
          <w:szCs w:val="20"/>
          <w:color w:val="auto"/>
        </w:rPr>
      </w:pPr>
      <w:r>
        <w:rPr>
          <w:rFonts w:ascii="Arial" w:cs="Arial" w:eastAsia="Arial" w:hAnsi="Arial"/>
          <w:sz w:val="18"/>
          <w:szCs w:val="18"/>
          <w:b w:val="1"/>
          <w:bCs w:val="1"/>
          <w:color w:val="auto"/>
        </w:rPr>
        <w:t xml:space="preserve">Three Months Ended September 30, 2022 Compared to the Three Months Ended September 30, 2021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Consolidated revenue was $208.4 million for the three months ended September 30, 2022, compared to $168.1 million in the same period last year. On a segment basis, revenue increased in the Process and Industrial Facilities and Storage and Terminal Solutions segments by $42.7 million and $9.9 million, respectively. The increases were partially offset by a decrease in revenue of $12.3 million in the Utility and Power Infrastructure segment.</w:t>
      </w:r>
    </w:p>
    <w:p>
      <w:pPr>
        <w:spacing w:after="0" w:line="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Consolidated gross profit increased to $13.0 million in the three months ended September 30, 2022 compared to a gross loss of $3.5 million in the same period last year. Gross margin (loss) increased to 6.2% in the three months ended September 30, 2022 compared to (2.1%) in the same period last year. Gross margins in the first quarter of fiscal 2023 improved significantly from recent quarters, but were still negatively impacted by the under recovery of construction overhead costs. Gross margins in the first quarter of fiscal 2022 were negatively impacted by a lower than previously forecasted margin on a large capital project and an unfavorable settlement of a claim with a customer, both in the Utility and Power Infrastructure segment, and by lower than previously forecasted margins on a limited number of projects in the Storage and Terminal Solutions segment. In addition, gross margins in the first quarter of fiscal 2022 were also negatively impacted by lower than forecasted volumes, which led to under recovery of construction overhead costs.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$16.8 million in the three months ended September 30, 2022 compared to $16.6 million in the same period last year.</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restructuring costs of $1.3 million in the three months ended September 30, 2022 compared to $0.6 million in the same period last year. See Item 1. Financial Statements, Note 11 - Restructuring Costs, for more information about our business improvement plan.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$0.4 million in the three months ended September 30, 2022 compared to $2.0 million in the three months ended September 30, 2021. Interest expense in the three months ended September 30, 2022 consisted primarily of interest on debt outstanding, unused capacity fees, amortization of deferred debt issuance costs, and letter of credit fees. Interest expense in fiscal 2022 included $1.5 million of accelerated amortization of deferred debt amendment fees associated with terminating our prior credit facility.</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tax rates for the three months ended September 30, 2022 and September 30, 2021 were 0.0% and 23.1%, respectively. The effective tax rate during the first quarter of fiscal 2023 was impacted by a $1.4 million valuation allowance placed on deferred tax assets generated during the quarter. We placed a full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or cumulative losses are no longer present and our future projections for growth or tax planning strategies are demonstrated.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2022, we had a net loss of $6.5 million, or $0.24 per fully diluted share, compared to a net loss of $17.5 million, or $0.66 per fully diluted share, in the three months ended September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Utility and Power Infrastructure segment was $44.9 million in the three months ended September 30, 2022 compared to $57.2 million in the same period last year. The decrease is primarily due to lower volumes of LNG peak shaving work, partially offset by higher volumes of power delivery and power generation work.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segment gross margin (loss) was 3.8% in fiscal 2023 compared to (10.7%) in fiscal 2022. The segment gross margin for the first quarter of fiscal 2023 was negatively impacted by low revenue volume, which led to the under recovery of construction overhead costs, and work on a large capital project with a previously reduced gross margin.</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fiscal 2022 segment gross margin was negatively impacted by an increase in the forecasted costs to complete a large capital project, which resulted in a decrease in gross profit of $5.9 million. The change in estimate was principally due to unexpected equipment repairs during commissioning that delayed the scheduled completion and increased the estimated costs to complete. In addition, segment gross margin was negatively impacted by an unfavorable settlement of a claim with a customer, and low volumes, which led to the under recovery of construction overhead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for the Process and Industrial Facilities segment was $86.6 million in the three months ended September 30, 2022 compared to $43.9 million in the same period last year. This 97.3% increase reflects the improved market environment and was primarily due to higher volumes of refinery maintenance and turnaround work, work on a capital project at a biodiesel facility, and higher volumes of midstream gas processing capital work.</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segment gross margin was 5.0% for the three months ended September 30, 2022 compared to 6.5% in the same period last year. The segment gross margin in the first quarter of fiscal 2023 was negatively impacted by work on a midstream gas processing project that experienced increases in forecasted costs to complete in the prior year, which reduced the remaining margin realized on the project. In addition, revenue volumes were still too low to fully recover construction overhead costs, which negatively impacted segment gross margin.</w:t>
      </w:r>
    </w:p>
    <w:p>
      <w:pPr>
        <w:spacing w:after="0" w:line="133" w:lineRule="exact"/>
        <w:rPr>
          <w:sz w:val="20"/>
          <w:szCs w:val="20"/>
          <w:color w:val="auto"/>
        </w:rPr>
      </w:pPr>
    </w:p>
    <w:p>
      <w:pPr>
        <w:ind w:right="80"/>
        <w:spacing w:after="0" w:line="438" w:lineRule="auto"/>
        <w:rPr>
          <w:sz w:val="20"/>
          <w:szCs w:val="20"/>
          <w:color w:val="auto"/>
        </w:rPr>
      </w:pPr>
      <w:r>
        <w:rPr>
          <w:rFonts w:ascii="Arial" w:cs="Arial" w:eastAsia="Arial" w:hAnsi="Arial"/>
          <w:sz w:val="18"/>
          <w:szCs w:val="18"/>
          <w:color w:val="auto"/>
        </w:rPr>
        <w:t xml:space="preserve">The segment gross margin in fiscal 2022 was negatively impacted by low revenue volume, which led to the under recovery of construction overhead costs. </w:t>
      </w:r>
      <w:r>
        <w:rPr>
          <w:rFonts w:ascii="Arial" w:cs="Arial" w:eastAsia="Arial" w:hAnsi="Arial"/>
          <w:sz w:val="18"/>
          <w:szCs w:val="18"/>
          <w:b w:val="1"/>
          <w:bCs w:val="1"/>
          <w:i w:val="1"/>
          <w:iCs w:val="1"/>
          <w:color w:val="auto"/>
        </w:rPr>
        <w:t>Storage and Terminal Solutions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Storage and Terminal Solutions segment was $76.9 million in the three months ended September 30, 2022 compared to $67.0 million in the same period last year. The increase in segment revenue is primarily a result of higher volumes of LNG and specialty vessel tank and terminal capital work.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segment gross margin was 9.8% for the three months ended September 30, 2022 compared to 0.6% in the same period last year. The fiscal 2023 segment gross margin was positively impacted by strong project execution, partially offset by low revenue volume, which led to under recovery of construction overhead costs.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fiscal 2022 segment gross margin was negatively impacted by lower than previously forecasted margins on a limited number of projects and a higher percentage of lower margin maintenance work. Segment gross margin in fiscal 2022 was also negatively impacted by low revenue volume, which led to under recovery of construction overhead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Unallocated corporate expenses were $7.9 million during the three months ended September 30, 2022 compared to $7.6 million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7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("LNTP"),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2022:</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589,460</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234,628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(208,431)</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Backlog as of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99,807</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615,657</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145415</wp:posOffset>
            </wp:positionV>
            <wp:extent cx="7969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12" w:lineRule="exact"/>
        <w:rPr>
          <w:sz w:val="20"/>
          <w:szCs w:val="20"/>
          <w:color w:val="auto"/>
        </w:rPr>
      </w:pPr>
    </w:p>
    <w:p>
      <w:pPr>
        <w:ind w:left="560" w:hanging="309"/>
        <w:spacing w:after="0"/>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Backlog increased $26.2 million or 4.4% in the first quarter of fiscal 2023 on project awards of $234.6 million and a book-to-bill ratio of 1.1.</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Utility and Power Infrastructure segment, backlog decreased by 2.2% as we booked $42.6 million of project awards during the first quarter of fiscal 2023, primarily related to power delivery work. Our opportunity pipeline for LNG peak shaving projects continues to be promising, however those awards, while significant, can be less frequent. While we did not book any LNG peak shaver projects in the first quarter of fiscal 2023, early in the second quarter, the Company was awarded the engineering, procurement, and construction of upgrades being made to an existing LNG peak shaving facility that include a new gas liquefaction system and vaporization system. Project opportunities and bidding activity are strong for both the power delivery portion of the business and LNG peak shaving.</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Process and Industrial Facilities segment, backlog decreased by 9.1% as we booked $60.0 million of project awards during the first quarter of fiscal 2023. Client spending related to refinery maintenance and turnaround operations has returned to near-normal pre-pandemic levels. We continue to see strong demand for thermal vacuum chambers in the coming quarters, as well as increasing opportunities in mining and minerals, and chemicals. In addition, we are seeing more opportunities for midstream gas work, including some larger scale projects.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Storage and Terminal Solutions segment, backlog increased by 28.2% as we booked $132.0 million of project awards during the first quarter of fiscal 2023. We received an LNTP on a significant ethane/ethylene tank EPC project during the quarter and booked several other storage projects related to a variety of other refined products. We were also awarded a large-scale specialty vessel project early in the second quarter of fiscal 2023. This segment includes significant opportunities for storage infrastructure projects related to natural gas, LNG, ammonia, hydrogen, NGLs and other forms of renewable energy. We believe LNG and hydrogen projects in particular will be key growth drivers for this segment. Bidding activity on LNG projects has been strong and we have been positioning ourselves for growth in hydrogen by entering into key relationships, such as the signing of a memorandum of understanding ("MOU") with Korea Gas Corporation in August 2022 to support South</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Korea’s development of a hydrogen economy as it transforms itself from natural gas and the signing of a MOU with Chart Industries, Inc. in January of 2021 to support the development of hydrogen solutions. Oil and natural gas producers have remained cautious with capital spending, which has limited opportunities in crude oil tanks and terminals. However, the price of crude oil and natural gas increased significantly since the world emerged from the COVID-19 pandemic, which, if sustained, may lead to higher production volumes and more opportunities for crude oil tanks, terminals and export facilities in the coming quarters.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can also be affected, both positively and negatively, by seasonal factors such as energy demand or weather conditions including hurricanes, snowstorms, wildfires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overhead cost structure is generally fixed. Significant fluctuations in revenue usually leads to over or under recovery of fixed overhead costs, which can have a material impact on our gross margin and profitability.</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at September 30, 2022 were unrestricted cash and cash equivalents on hand, capacity under our ABL Facility, and cash generated from operations. Unrestricted cash and cash equivalents at September 30, 2022 totaled $14.3 million and availability under the ABL Facility totaled $42.3 million, resulting in total liquidity of $56.6 million.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in the Condensed Consolidated Balance Sheets to the total cash, cash equivalents and restricted cash shown in the Condensed Consolidated Statements of Cash Flows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52,371</w:t>
            </w:r>
          </w:p>
        </w:tc>
        <w:tc>
          <w:tcPr>
            <w:tcW w:w="40" w:type="dxa"/>
            <w:vAlign w:val="bottom"/>
            <w:shd w:val="clear" w:color="auto" w:fill="CCEEFF"/>
          </w:tcPr>
          <w:p>
            <w:pPr>
              <w:spacing w:after="0"/>
              <w:rPr>
                <w:sz w:val="19"/>
                <w:szCs w:val="19"/>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40" w:type="dxa"/>
            <w:vAlign w:val="bottom"/>
            <w:tcBorders>
              <w:bottom w:val="single" w:sz="8" w:color="auto"/>
            </w:tcBorders>
          </w:tcPr>
          <w:p>
            <w:pPr>
              <w:spacing w:after="0"/>
              <w:rPr>
                <w:sz w:val="19"/>
                <w:szCs w:val="19"/>
                <w:color w:val="auto"/>
              </w:rPr>
            </w:pP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Total cash, cash equivalents and restricted cash shown in the Condensed Consolidated Statements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77,371</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9920" w:type="dxa"/>
            <w:vAlign w:val="bottom"/>
            <w:gridSpan w:val="5"/>
          </w:tcPr>
          <w:p>
            <w:pPr>
              <w:spacing w:after="0"/>
              <w:rPr>
                <w:sz w:val="20"/>
                <w:szCs w:val="20"/>
                <w:color w:val="auto"/>
              </w:rPr>
            </w:pPr>
            <w:r>
              <w:rPr>
                <w:rFonts w:ascii="Arial" w:cs="Arial" w:eastAsia="Arial" w:hAnsi="Arial"/>
                <w:sz w:val="18"/>
                <w:szCs w:val="18"/>
                <w:color w:val="auto"/>
                <w:w w:val="95"/>
              </w:rPr>
              <w:t>The following table provides a summary of changes in our liquidity for the three months ended September 30, 2022 (in thousands):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9"/>
        </w:trPr>
        <w:tc>
          <w:tcPr>
            <w:tcW w:w="8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Liquidity at June 30, 2022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94,831</w:t>
            </w:r>
          </w:p>
        </w:tc>
        <w:tc>
          <w:tcPr>
            <w:tcW w:w="40" w:type="dxa"/>
            <w:vAlign w:val="bottom"/>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Cash used by operating activities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(35,229)</w:t>
            </w:r>
          </w:p>
        </w:tc>
        <w:tc>
          <w:tcPr>
            <w:tcW w:w="40" w:type="dxa"/>
            <w:vAlign w:val="bottom"/>
          </w:tcPr>
          <w:p>
            <w:pPr>
              <w:spacing w:after="0"/>
              <w:rPr>
                <w:sz w:val="19"/>
                <w:szCs w:val="19"/>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0" w:type="dxa"/>
            <w:vAlign w:val="bottom"/>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Decrease in availability under ABL Facility</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9"/>
                <w:szCs w:val="19"/>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by financing activities</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 w:type="dxa"/>
            <w:vAlign w:val="bottom"/>
          </w:tcPr>
          <w:p>
            <w:pPr>
              <w:spacing w:after="0"/>
              <w:rPr>
                <w:sz w:val="19"/>
                <w:szCs w:val="19"/>
                <w:color w:val="auto"/>
              </w:rPr>
            </w:pP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40" w:type="dxa"/>
            <w:vAlign w:val="bottom"/>
          </w:tcPr>
          <w:p>
            <w:pPr>
              <w:spacing w:after="0"/>
              <w:rPr>
                <w:sz w:val="19"/>
                <w:szCs w:val="19"/>
                <w:color w:val="auto"/>
              </w:rPr>
            </w:pP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Liquidity at September 30, 2022</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56,616</w:t>
            </w:r>
          </w:p>
        </w:tc>
        <w:tc>
          <w:tcPr>
            <w:tcW w:w="40" w:type="dxa"/>
            <w:vAlign w:val="bottom"/>
          </w:tcPr>
          <w:p>
            <w:pPr>
              <w:spacing w:after="0"/>
              <w:rPr>
                <w:sz w:val="21"/>
                <w:szCs w:val="2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rising revenue volumes, especially for cost-reimbursable and maintenance-type work, we have invested heavily into working capital during the first quarter of fiscal 2023, which is the primary driver of the decrease in liquidity since June 30, 2022. While bidding activity, project award volumes, and revenue volumes all continued to improve as we moved into fiscal 2023, the market environment is still uncertain. As a result, we continue to cautiously manage our liquidity, which is adequate to support our needs. We are continuing to take the following actions:</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strategically reviewing business processes and organizational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proactively managing our the cost structure and working capital;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52" w:lineRule="exact"/>
        <w:rPr>
          <w:sz w:val="20"/>
          <w:szCs w:val="20"/>
          <w:color w:val="auto"/>
        </w:rPr>
      </w:pPr>
    </w:p>
    <w:p>
      <w:pPr>
        <w:ind w:left="660" w:right="2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97" w:lineRule="exact"/>
        <w:rPr>
          <w:rFonts w:ascii="Arial" w:cs="Arial" w:eastAsia="Arial" w:hAnsi="Arial"/>
          <w:sz w:val="18"/>
          <w:szCs w:val="18"/>
          <w:color w:val="auto"/>
        </w:rPr>
      </w:pPr>
    </w:p>
    <w:p>
      <w:pPr>
        <w:ind w:left="1300" w:right="14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some cost-plus and fixed-price customer contracts are billed based on milestones which may require us to incur significant expenditures prior to collections from our customers;</w:t>
      </w:r>
    </w:p>
    <w:p>
      <w:pPr>
        <w:spacing w:after="0" w:line="197" w:lineRule="exact"/>
        <w:rPr>
          <w:rFonts w:ascii="Arial" w:cs="Arial" w:eastAsia="Arial" w:hAnsi="Arial"/>
          <w:sz w:val="18"/>
          <w:szCs w:val="18"/>
          <w:color w:val="auto"/>
        </w:rPr>
      </w:pPr>
    </w:p>
    <w:p>
      <w:pPr>
        <w:ind w:left="1300" w:right="48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some fixed-price customer contracts allow for significant upfront billings at the beginning of a project, which temporarily increases liquidity near term;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300" w:right="4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 and</w:t>
      </w:r>
    </w:p>
    <w:p>
      <w:pPr>
        <w:spacing w:after="0" w:line="197" w:lineRule="exact"/>
        <w:rPr>
          <w:rFonts w:ascii="Arial" w:cs="Arial" w:eastAsia="Arial" w:hAnsi="Arial"/>
          <w:sz w:val="18"/>
          <w:szCs w:val="18"/>
          <w:color w:val="auto"/>
        </w:rPr>
      </w:pPr>
    </w:p>
    <w:p>
      <w:pPr>
        <w:ind w:left="1300" w:right="56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Retentions are normally held until certain contractual milestones are achieved;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changes in working capital, including the timing of tax payments and refunds;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collection issues, including those caused by weak commodity prices, economic slowdowns or other factors which can lead to credit deterioration of our customers;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issuances of letters of credit;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investments in new operations or divestitures of existing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long-term liquidity include:</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borrowing constraints under our ABL Facility and maintaining compliance with all covenants contained in the ABL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 disposals of businesses;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Credit Facility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5, 2022, our primary U.S. and Canada operating subsidiaries entered into the First Amendment and Waiver to Credit Agreement (the “Amendment”), which amended our asset-backed credit agreement (the "ABL Facility"), dated as of September 9, 2021 with Bank of Montreal, as Administrative Agent, Swing Line Lender and a Letter of Credit Issuer, and the lenders named therein. The Amendment (i) waived an event of default resulting from our failure to deliver the Administrative Agent and the lenders our audited financial statements for the fiscal year ended June 30, 2022 by September 28, 2022 (the “Audited Financial Statements”), provided we deliver the Audited Financial Statements by October 14, 2022, (ii) reduced the maximum amount of loans under the ABL Facility to $90.0 million from $100.0 million and (iii) replaced the London interbank offered rate with the forward term rate based on the secured overnight financing rate (the “SOFR”) as the interest rate benchmark. We subsequently delivered the Audited Financial Statements on October 11, 2022.</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ABL Facility is guaranteed by substantially all of our remaining U.S. and Canadian subsidiaries. The ABL Facility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September 30, 2022, our borrowing base was $79.0 million, we had $15.0 million of outstanding borrowings, and $21.7 million in letters of credit outstanding, which resulted in availability of $42.3 million under the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Borrowings under the ABL Facility bear interest through maturity at a variable rate based upon, at our option, an annual rate of either a base rate (“Base Rate”), an Adjusted Term SOFR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September 30, 2022, including applicable margin, was 7.50%.</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lesser of (1) the current borrowing base and (2) the commitments under the ABL Facility then in effect, a consolidated Fixed Charge Coverage Ratio of at least 1.00 to 1.00 must be maintained. Except for the covenant to deliver Audited Financial Statements by September 28, 2022, which was waived in the Amendment, we were in compliance with all covenants of the ABL Facility as of September 30,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Three Months Ended September 30,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used by operating activities for the three months ended September 30, 2022 totaled $35.2 million. The various components are as follows: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6200" w:type="dxa"/>
            <w:vAlign w:val="bottom"/>
            <w:gridSpan w:val="2"/>
          </w:tcPr>
          <w:p>
            <w:pPr>
              <w:jc w:val="right"/>
              <w:ind w:right="3110"/>
              <w:spacing w:after="0"/>
              <w:rPr>
                <w:sz w:val="20"/>
                <w:szCs w:val="20"/>
                <w:color w:val="auto"/>
              </w:rPr>
            </w:pPr>
            <w:r>
              <w:rPr>
                <w:rFonts w:ascii="Arial" w:cs="Arial" w:eastAsia="Arial" w:hAnsi="Arial"/>
                <w:sz w:val="18"/>
                <w:szCs w:val="18"/>
                <w:b w:val="1"/>
                <w:bCs w:val="1"/>
                <w:color w:val="auto"/>
                <w:w w:val="90"/>
              </w:rPr>
              <w:t>Net Cash Used by Operating Activities</w:t>
            </w:r>
          </w:p>
        </w:tc>
        <w:tc>
          <w:tcPr>
            <w:tcW w:w="920" w:type="dxa"/>
            <w:vAlign w:val="bottom"/>
          </w:tcPr>
          <w:p>
            <w:pPr>
              <w:spacing w:after="0"/>
              <w:rPr>
                <w:sz w:val="19"/>
                <w:szCs w:val="19"/>
                <w:color w:val="auto"/>
              </w:rPr>
            </w:pPr>
          </w:p>
        </w:tc>
      </w:tr>
      <w:tr>
        <w:trPr>
          <w:trHeight w:val="230"/>
        </w:trPr>
        <w:tc>
          <w:tcPr>
            <w:tcW w:w="4080" w:type="dxa"/>
            <w:vAlign w:val="bottom"/>
          </w:tcPr>
          <w:p>
            <w:pPr>
              <w:spacing w:after="0"/>
              <w:rPr>
                <w:sz w:val="20"/>
                <w:szCs w:val="20"/>
                <w:color w:val="auto"/>
              </w:rPr>
            </w:pPr>
          </w:p>
        </w:tc>
        <w:tc>
          <w:tcPr>
            <w:tcW w:w="6200" w:type="dxa"/>
            <w:vAlign w:val="bottom"/>
            <w:gridSpan w:val="2"/>
          </w:tcPr>
          <w:p>
            <w:pPr>
              <w:jc w:val="right"/>
              <w:ind w:right="4070"/>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r>
      <w:tr>
        <w:trPr>
          <w:trHeight w:val="216"/>
        </w:trPr>
        <w:tc>
          <w:tcPr>
            <w:tcW w:w="40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3,642</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5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Other non-cash expenses</w:t>
            </w:r>
          </w:p>
        </w:tc>
        <w:tc>
          <w:tcPr>
            <w:tcW w:w="5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Cash effect of changes in operating assets and liabilities</w:t>
            </w:r>
          </w:p>
        </w:tc>
        <w:tc>
          <w:tcPr>
            <w:tcW w:w="58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(34,454)</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Net cash used by operating activities</w:t>
            </w:r>
          </w:p>
        </w:tc>
        <w:tc>
          <w:tcPr>
            <w:tcW w:w="58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(35,229)</w:t>
            </w:r>
          </w:p>
        </w:tc>
      </w:tr>
      <w:tr>
        <w:trPr>
          <w:trHeight w:val="20"/>
        </w:trPr>
        <w:tc>
          <w:tcPr>
            <w:tcW w:w="40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effect of changes in operating assets and liabilities at September 30, 2022 in comparison to June 30, 2022 include the following:</w:t>
      </w:r>
    </w:p>
    <w:p>
      <w:pPr>
        <w:spacing w:after="0" w:line="252" w:lineRule="exact"/>
        <w:rPr>
          <w:sz w:val="20"/>
          <w:szCs w:val="20"/>
          <w:color w:val="auto"/>
        </w:rPr>
      </w:pPr>
    </w:p>
    <w:p>
      <w:pPr>
        <w:jc w:val="both"/>
        <w:ind w:left="980" w:hanging="324"/>
        <w:spacing w:after="0" w:line="263"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receivable, excluding credit losses recognized during the period, decreased $4.6 million during the three months ended September 30, 2022, which increased cash flows from operating activities. The variance is primarily attributable to the timing of billing and collections.</w:t>
      </w:r>
    </w:p>
    <w:p>
      <w:pPr>
        <w:spacing w:after="0" w:line="210" w:lineRule="exact"/>
        <w:rPr>
          <w:rFonts w:ascii="Arial" w:cs="Arial" w:eastAsia="Arial" w:hAnsi="Arial"/>
          <w:sz w:val="18"/>
          <w:szCs w:val="18"/>
          <w:color w:val="auto"/>
        </w:rPr>
      </w:pPr>
    </w:p>
    <w:p>
      <w:pPr>
        <w:jc w:val="both"/>
        <w:ind w:left="980" w:hanging="324"/>
        <w:spacing w:after="0" w:line="273"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Costs and estimated earnings in excess of billings on uncompleted contracts ("CIE") increased $14.9 million, which decreased cash flows from operating activities. The increase in CIE was primarily due to increased revenue on time and materials-type work during the first quarter of fiscal 2023. Billings on uncompleted contracts in excess of costs and estimated earnings ("BIE") decreased $11.8 million, which decreased cash flows from operating activities. The decrease in BIE was primarily due to continued work on capital projects that received upfront billings in the prior year. CIE and BIE balances can experience significant fluctuations based on business volumes and the timing of when job costs are incurred and the timing of customer billings and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left="980" w:hanging="324"/>
        <w:spacing w:after="0" w:line="25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Inventories, income taxes receivable, prepaid expenses, other current assets, operating right-of-use lease assets and other assets, non-current, increased $0.7 million during the three months ended September 30, 2022, which decreased cash flows from operating activities.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w:t>
      </w:r>
    </w:p>
    <w:p>
      <w:pPr>
        <w:spacing w:after="0" w:line="214" w:lineRule="exact"/>
        <w:rPr>
          <w:rFonts w:ascii="Arial" w:cs="Arial" w:eastAsia="Arial" w:hAnsi="Arial"/>
          <w:sz w:val="18"/>
          <w:szCs w:val="18"/>
          <w:color w:val="auto"/>
        </w:rPr>
      </w:pPr>
    </w:p>
    <w:p>
      <w:pPr>
        <w:jc w:val="both"/>
        <w:ind w:left="980" w:hanging="324"/>
        <w:spacing w:after="0" w:line="279"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Accounts payable, accrued wages and benefits, accrued insurance, operating lease liabilities, other accrued expenses, and other liabilities, non-current decreased by $11.6 million during the three months ended September 30, 2022, which decreased cash flows from operating activities. These operating liabilities can fluctuate based on the timing of vendor payments; accruals; lease commencement, lease payments, expiration, or termination of operating leases; business volumes; and other timing differences.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 used $1.6 million of cash in the three months ended September 30, 2022 primarily due to capital 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activities used $0.2 million of cash in the three months ended September 30, 2022 primarily due to $0.3 million paid to repurchase our stock for payment of withholding taxes due on equity-based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three months ended September 30, 2022 and have no current plans to repurchase stock. As of September 30, 2022,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932,707 treasury shares as of September 30, 2022 and intend to utilize these treasury shares in connection with equity awards under the our stock incentive plans and for sales to the Employee Stock Purchase Plan.</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2022 Annual Report on Form 10-K filed with the SEC. For more information on our critical accounting policies, see Part II, Item 7 of our fiscal 2022 Annual Report on Form 10-K. The following section provides certain information with respect to our critical accounting policies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8 - Commitments and Contingencies of the Notes to Condensed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8 - Commitments and Contingencies of the Notes to Financial Statements.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$13.7 million at September 30, 2022 and $8.9 million at June 30, 2022. The amounts ultimately realized may be significantly different than the recorded amounts resulting in a material adjustment to future earnings.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represents the excess of the purchase price of acquisitions over the fair value of the net identifiable tangible and intangible assets acquired at the acquisition date. In accordance with current accounting guidance, goodwill is not amortized, but is tested at least annually for impairment at the reporting unit level, which is a level below our reportable segments.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 our annual impairment test as of May 31st of each fiscal year, or in between annual tests if impairment indicators are present,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compared to our market capitalization.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We believe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legal actions, claims, and other contingencies arise in the normal course of our business. Contingencies are recorded in the condensed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2022, filed with the Securities and Exchange Commission. For more information on market risk, see Part II, Item 7A in our fiscal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2022. Based on the foregoing, our Chief Executive Officer and Chief Financial Officer concluded that our disclosure controls and procedures were effective at the reasonable assurance level at September 30, 2022.</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September 30,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with respect to purchases we made of our common stock during the first quarter of fiscal year 2023.</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188"/>
              <w:spacing w:after="0" w:line="145" w:lineRule="exact"/>
              <w:rPr>
                <w:sz w:val="20"/>
                <w:szCs w:val="20"/>
                <w:color w:val="auto"/>
              </w:rPr>
            </w:pPr>
            <w:r>
              <w:rPr>
                <w:rFonts w:ascii="Arial" w:cs="Arial" w:eastAsia="Arial" w:hAnsi="Arial"/>
                <w:sz w:val="14"/>
                <w:szCs w:val="14"/>
                <w:b w:val="1"/>
                <w:bCs w:val="1"/>
                <w:color w:val="auto"/>
                <w:w w:val="90"/>
              </w:rPr>
              <w:t>of 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188"/>
              <w:spacing w:after="0" w:line="139" w:lineRule="exact"/>
              <w:rPr>
                <w:sz w:val="20"/>
                <w:szCs w:val="20"/>
                <w:color w:val="auto"/>
              </w:rPr>
            </w:pPr>
            <w:r>
              <w:rPr>
                <w:rFonts w:ascii="Arial" w:cs="Arial" w:eastAsia="Arial" w:hAnsi="Arial"/>
                <w:sz w:val="14"/>
                <w:szCs w:val="14"/>
                <w:b w:val="1"/>
                <w:bCs w:val="1"/>
                <w:color w:val="auto"/>
                <w:w w:val="90"/>
              </w:rPr>
              <w:t>Purchased 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80" w:type="dxa"/>
            <w:vAlign w:val="bottom"/>
          </w:tcPr>
          <w:p>
            <w:pPr>
              <w:jc w:val="center"/>
              <w:ind w:left="188"/>
              <w:spacing w:after="0" w:line="145"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Plans 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1 to July 31, 2022</w:t>
            </w: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340"/>
              <w:spacing w:after="0"/>
              <w:rPr>
                <w:sz w:val="20"/>
                <w:szCs w:val="20"/>
                <w:color w:val="auto"/>
              </w:rPr>
            </w:pPr>
            <w:r>
              <w:rPr>
                <w:rFonts w:ascii="Arial" w:cs="Arial" w:eastAsia="Arial" w:hAnsi="Arial"/>
                <w:sz w:val="18"/>
                <w:szCs w:val="18"/>
                <w:color w:val="auto"/>
              </w:rPr>
              <w:t>Stock Buyback Program (A)</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August 1 to August 31, 2022</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Buyback Program (A)</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29"/>
        </w:trPr>
        <w:tc>
          <w:tcPr>
            <w:tcW w:w="4720" w:type="dxa"/>
            <w:vAlign w:val="bottom"/>
          </w:tcPr>
          <w:p>
            <w:pPr>
              <w:ind w:left="340"/>
              <w:spacing w:after="0"/>
              <w:rPr>
                <w:sz w:val="20"/>
                <w:szCs w:val="20"/>
                <w:color w:val="auto"/>
              </w:rPr>
            </w:pPr>
            <w:r>
              <w:rPr>
                <w:rFonts w:ascii="Arial" w:cs="Arial" w:eastAsia="Arial" w:hAnsi="Arial"/>
                <w:sz w:val="18"/>
                <w:szCs w:val="18"/>
                <w:color w:val="auto"/>
              </w:rPr>
              <w:t>Employee Transactions (B)</w:t>
            </w:r>
          </w:p>
        </w:tc>
        <w:tc>
          <w:tcPr>
            <w:tcW w:w="1520" w:type="dxa"/>
            <w:vAlign w:val="bottom"/>
          </w:tcPr>
          <w:p>
            <w:pPr>
              <w:jc w:val="right"/>
              <w:spacing w:after="0"/>
              <w:rPr>
                <w:sz w:val="20"/>
                <w:szCs w:val="20"/>
                <w:color w:val="auto"/>
              </w:rPr>
            </w:pPr>
            <w:r>
              <w:rPr>
                <w:rFonts w:ascii="Arial" w:cs="Arial" w:eastAsia="Arial" w:hAnsi="Arial"/>
                <w:sz w:val="18"/>
                <w:szCs w:val="18"/>
                <w:color w:val="auto"/>
              </w:rPr>
              <w:t>52,864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1 to September 30, 2022</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340"/>
              <w:spacing w:after="0"/>
              <w:rPr>
                <w:sz w:val="20"/>
                <w:szCs w:val="20"/>
                <w:color w:val="auto"/>
              </w:rPr>
            </w:pPr>
            <w:r>
              <w:rPr>
                <w:rFonts w:ascii="Arial" w:cs="Arial" w:eastAsia="Arial" w:hAnsi="Arial"/>
                <w:sz w:val="18"/>
                <w:szCs w:val="18"/>
                <w:color w:val="auto"/>
              </w:rPr>
              <w:t>Stock Buyback Program (A)</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hanging="309"/>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80" w:hanging="329"/>
        <w:spacing w:after="0" w:line="250" w:lineRule="auto"/>
        <w:tabs>
          <w:tab w:leader="none" w:pos="5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our stock incentive plans.</w:t>
      </w:r>
    </w:p>
    <w:p>
      <w:pPr>
        <w:jc w:val="both"/>
        <w:ind w:left="580" w:hanging="329"/>
        <w:spacing w:after="0" w:line="290" w:lineRule="auto"/>
        <w:tabs>
          <w:tab w:leader="none" w:pos="5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program in the third quarter of fiscal 2022 and have no current plans to repurchase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98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9080" w:type="dxa"/>
            <w:vAlign w:val="bottom"/>
            <w:gridSpan w:val="11"/>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First Amendment and Waiver to Credit Agreement dated October 5, 2022 by and among Matrix Service Company and certain</w:t>
              </w:r>
            </w:hyperlink>
          </w:p>
        </w:tc>
      </w:tr>
      <w:tr>
        <w:trPr>
          <w:trHeight w:val="156"/>
        </w:trPr>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60" w:type="dxa"/>
            <w:vAlign w:val="bottom"/>
            <w:tcBorders>
              <w:top w:val="single" w:sz="8" w:color="0000FF"/>
            </w:tcBorders>
            <w:gridSpan w:val="10"/>
          </w:tcPr>
          <w:p>
            <w:pPr>
              <w:spacing w:after="0" w:line="15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subsidiaries thereof, certain financial institutions as lenders, and Bank of Montreal, as administrative agent (Exhibit 10.1 to</w:t>
              </w:r>
            </w:hyperlink>
          </w:p>
        </w:tc>
        <w:tc>
          <w:tcPr>
            <w:tcW w:w="20" w:type="dxa"/>
            <w:vAlign w:val="bottom"/>
          </w:tcPr>
          <w:p>
            <w:pPr>
              <w:spacing w:after="0"/>
              <w:rPr>
                <w:sz w:val="13"/>
                <w:szCs w:val="13"/>
                <w:color w:val="auto"/>
              </w:rPr>
            </w:pPr>
          </w:p>
        </w:tc>
      </w:tr>
      <w:tr>
        <w:trPr>
          <w:trHeight w:val="169"/>
        </w:trPr>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6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r:id="rId57">
              <w:r>
                <w:rPr>
                  <w:rFonts w:ascii="Arial" w:cs="Arial" w:eastAsia="Arial" w:hAnsi="Arial"/>
                  <w:sz w:val="18"/>
                  <w:szCs w:val="18"/>
                  <w:color w:val="0000FF"/>
                </w:rPr>
                <w:t>the Company's Current Report on Form 8-K filed October 7, 2022)</w:t>
              </w:r>
            </w:hyperlink>
          </w:p>
        </w:tc>
        <w:tc>
          <w:tcPr>
            <w:tcW w:w="220" w:type="dxa"/>
            <w:vAlign w:val="bottom"/>
            <w:gridSpan w:val="2"/>
          </w:tcPr>
          <w:p>
            <w:pPr>
              <w:spacing w:after="0"/>
              <w:rPr>
                <w:sz w:val="14"/>
                <w:szCs w:val="14"/>
                <w:color w:val="auto"/>
              </w:rPr>
            </w:pPr>
          </w:p>
        </w:tc>
      </w:tr>
      <w:tr>
        <w:trPr>
          <w:trHeight w:val="20"/>
        </w:trPr>
        <w:tc>
          <w:tcPr>
            <w:tcW w:w="208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264"/>
        </w:trPr>
        <w:tc>
          <w:tcPr>
            <w:tcW w:w="208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Certification Pursuant to Section 302 of Sarbanes-Oxley Act of 2002 – CEO.</w:t>
            </w:r>
          </w:p>
        </w:tc>
        <w:tc>
          <w:tcPr>
            <w:tcW w:w="3520" w:type="dxa"/>
            <w:vAlign w:val="bottom"/>
            <w:gridSpan w:val="5"/>
          </w:tcPr>
          <w:p>
            <w:pPr>
              <w:spacing w:after="0"/>
              <w:rPr>
                <w:sz w:val="22"/>
                <w:szCs w:val="22"/>
                <w:color w:val="auto"/>
              </w:rPr>
            </w:pPr>
          </w:p>
        </w:tc>
      </w:tr>
      <w:tr>
        <w:trPr>
          <w:trHeight w:val="263"/>
        </w:trPr>
        <w:tc>
          <w:tcPr>
            <w:tcW w:w="208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9080" w:type="dxa"/>
            <w:vAlign w:val="bottom"/>
            <w:gridSpan w:val="11"/>
          </w:tcPr>
          <w:p>
            <w:pPr>
              <w:spacing w:after="0"/>
              <w:rPr>
                <w:sz w:val="20"/>
                <w:szCs w:val="20"/>
                <w:color w:val="auto"/>
              </w:rPr>
            </w:pPr>
            <w:r>
              <w:rPr>
                <w:rFonts w:ascii="Arial" w:cs="Arial" w:eastAsia="Arial" w:hAnsi="Arial"/>
                <w:sz w:val="18"/>
                <w:szCs w:val="18"/>
                <w:color w:val="0000FF"/>
              </w:rPr>
              <w:t>Certification Pursuant to Section 302 of Sarbanes-Oxley Act of 2002 – CFO.</w:t>
            </w:r>
          </w:p>
        </w:tc>
      </w:tr>
      <w:tr>
        <w:trPr>
          <w:trHeight w:val="20"/>
        </w:trPr>
        <w:tc>
          <w:tcPr>
            <w:tcW w:w="208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263"/>
        </w:trPr>
        <w:tc>
          <w:tcPr>
            <w:tcW w:w="208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8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Pursuant to 18 U.S.C. 1350 (section 906 of Sarbanes-Oxley Act of 2002) – CEO.</w:t>
            </w:r>
          </w:p>
        </w:tc>
        <w:tc>
          <w:tcPr>
            <w:tcW w:w="2260" w:type="dxa"/>
            <w:vAlign w:val="bottom"/>
            <w:gridSpan w:val="3"/>
          </w:tcPr>
          <w:p>
            <w:pPr>
              <w:spacing w:after="0"/>
              <w:rPr>
                <w:sz w:val="22"/>
                <w:szCs w:val="22"/>
                <w:color w:val="auto"/>
              </w:rPr>
            </w:pPr>
          </w:p>
        </w:tc>
      </w:tr>
      <w:tr>
        <w:trPr>
          <w:trHeight w:val="264"/>
        </w:trPr>
        <w:tc>
          <w:tcPr>
            <w:tcW w:w="208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68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Pursuant to 18 U.S.C. 1350 (section 906 of Sarbanes-Oxley Act of 2002) – CFO.</w:t>
            </w:r>
          </w:p>
        </w:tc>
        <w:tc>
          <w:tcPr>
            <w:tcW w:w="2280" w:type="dxa"/>
            <w:vAlign w:val="bottom"/>
            <w:gridSpan w:val="4"/>
          </w:tcPr>
          <w:p>
            <w:pPr>
              <w:spacing w:after="0"/>
              <w:rPr>
                <w:sz w:val="22"/>
                <w:szCs w:val="22"/>
                <w:color w:val="auto"/>
              </w:rPr>
            </w:pPr>
          </w:p>
        </w:tc>
      </w:tr>
      <w:tr>
        <w:trPr>
          <w:trHeight w:val="263"/>
        </w:trPr>
        <w:tc>
          <w:tcPr>
            <w:tcW w:w="2080" w:type="dxa"/>
            <w:vAlign w:val="bottom"/>
            <w:gridSpan w:val="3"/>
          </w:tcPr>
          <w:p>
            <w:pPr>
              <w:spacing w:after="0"/>
              <w:rPr>
                <w:sz w:val="20"/>
                <w:szCs w:val="20"/>
                <w:color w:val="auto"/>
              </w:rPr>
            </w:pPr>
            <w:r>
              <w:rPr>
                <w:rFonts w:ascii="Arial" w:cs="Arial" w:eastAsia="Arial" w:hAnsi="Arial"/>
                <w:sz w:val="18"/>
                <w:szCs w:val="18"/>
                <w:color w:val="auto"/>
              </w:rPr>
              <w:t>Exhibit 95:</w:t>
            </w:r>
          </w:p>
        </w:tc>
        <w:tc>
          <w:tcPr>
            <w:tcW w:w="9080" w:type="dxa"/>
            <w:vAlign w:val="bottom"/>
            <w:gridSpan w:val="11"/>
          </w:tcPr>
          <w:p>
            <w:pPr>
              <w:spacing w:after="0"/>
              <w:rPr>
                <w:sz w:val="20"/>
                <w:szCs w:val="20"/>
                <w:color w:val="auto"/>
              </w:rPr>
            </w:pPr>
            <w:r>
              <w:rPr>
                <w:rFonts w:ascii="Arial" w:cs="Arial" w:eastAsia="Arial" w:hAnsi="Arial"/>
                <w:sz w:val="18"/>
                <w:szCs w:val="18"/>
                <w:color w:val="0000FF"/>
              </w:rPr>
              <w:t>Mine Safety Disclosure.</w:t>
            </w:r>
          </w:p>
        </w:tc>
      </w:tr>
      <w:tr>
        <w:trPr>
          <w:trHeight w:val="20"/>
        </w:trPr>
        <w:tc>
          <w:tcPr>
            <w:tcW w:w="208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r>
      <w:tr>
        <w:trPr>
          <w:trHeight w:val="250"/>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101.INS:</w:t>
            </w:r>
          </w:p>
        </w:tc>
        <w:tc>
          <w:tcPr>
            <w:tcW w:w="9080" w:type="dxa"/>
            <w:vAlign w:val="bottom"/>
            <w:gridSpan w:val="11"/>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r>
      <w:tr>
        <w:trPr>
          <w:trHeight w:val="230"/>
        </w:trPr>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8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96"/>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101.SCH:</w:t>
            </w:r>
          </w:p>
        </w:tc>
        <w:tc>
          <w:tcPr>
            <w:tcW w:w="9080" w:type="dxa"/>
            <w:vAlign w:val="bottom"/>
            <w:gridSpan w:val="11"/>
          </w:tcPr>
          <w:p>
            <w:pPr>
              <w:spacing w:after="0"/>
              <w:rPr>
                <w:sz w:val="20"/>
                <w:szCs w:val="20"/>
                <w:color w:val="auto"/>
              </w:rPr>
            </w:pPr>
            <w:r>
              <w:rPr>
                <w:rFonts w:ascii="Arial" w:cs="Arial" w:eastAsia="Arial" w:hAnsi="Arial"/>
                <w:sz w:val="18"/>
                <w:szCs w:val="18"/>
                <w:color w:val="auto"/>
              </w:rPr>
              <w:t>XBRL Taxonomy Schema Document.</w:t>
            </w:r>
          </w:p>
        </w:tc>
      </w:tr>
      <w:tr>
        <w:trPr>
          <w:trHeight w:val="283"/>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101.CAL:</w:t>
            </w:r>
          </w:p>
        </w:tc>
        <w:tc>
          <w:tcPr>
            <w:tcW w:w="90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101.DEF:</w:t>
            </w:r>
          </w:p>
        </w:tc>
        <w:tc>
          <w:tcPr>
            <w:tcW w:w="90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101.LAB:</w:t>
            </w:r>
          </w:p>
        </w:tc>
        <w:tc>
          <w:tcPr>
            <w:tcW w:w="9080" w:type="dxa"/>
            <w:vAlign w:val="bottom"/>
            <w:gridSpan w:val="11"/>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83"/>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101.PRE:</w:t>
            </w:r>
          </w:p>
        </w:tc>
        <w:tc>
          <w:tcPr>
            <w:tcW w:w="90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2080" w:type="dxa"/>
            <w:vAlign w:val="bottom"/>
            <w:gridSpan w:val="3"/>
          </w:tcPr>
          <w:p>
            <w:pPr>
              <w:spacing w:after="0"/>
              <w:rPr>
                <w:sz w:val="20"/>
                <w:szCs w:val="20"/>
                <w:color w:val="auto"/>
              </w:rPr>
            </w:pPr>
            <w:r>
              <w:rPr>
                <w:rFonts w:ascii="Arial" w:cs="Arial" w:eastAsia="Arial" w:hAnsi="Arial"/>
                <w:sz w:val="18"/>
                <w:szCs w:val="18"/>
                <w:color w:val="auto"/>
              </w:rPr>
              <w:t>Exhibit 104</w:t>
            </w:r>
          </w:p>
        </w:tc>
        <w:tc>
          <w:tcPr>
            <w:tcW w:w="908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Arial" w:cs="Arial" w:eastAsia="Arial" w:hAnsi="Arial"/>
          <w:sz w:val="18"/>
          <w:szCs w:val="18"/>
          <w:color w:val="auto"/>
        </w:rPr>
        <w:t>Date:</w:t>
        <w:tab/>
        <w:t>November 9, 2022</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41402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right="380"/>
        <w:spacing w:after="0" w:line="246"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6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9,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9,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2022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92"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9,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September 30, 2022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9,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different than what is provided herein. Any such difference may be attributed to the need to update that information on MSHA’s system and/or other factors.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September 30, 2022:</w:t>
      </w:r>
    </w:p>
    <w:p>
      <w:pPr>
        <w:spacing w:after="0" w:line="219" w:lineRule="exact"/>
        <w:rPr>
          <w:sz w:val="20"/>
          <w:szCs w:val="20"/>
          <w:color w:val="auto"/>
        </w:rPr>
      </w:pPr>
    </w:p>
    <w:tbl>
      <w:tblPr>
        <w:tblLayout w:type="fixed"/>
        <w:tblInd w:w="50" w:type="dxa"/>
        <w:tblCellMar>
          <w:top w:w="0" w:type="dxa"/>
          <w:left w:w="0" w:type="dxa"/>
          <w:bottom w:w="0" w:type="dxa"/>
          <w:right w:w="0" w:type="dxa"/>
        </w:tblCellMar>
      </w:tblPr>
      <w:tr>
        <w:trPr>
          <w:trHeight w:val="179"/>
        </w:trPr>
        <w:tc>
          <w:tcPr>
            <w:tcW w:w="980" w:type="dxa"/>
            <w:vAlign w:val="bottom"/>
            <w:tcBorders>
              <w:top w:val="single" w:sz="8" w:color="auto"/>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86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of Potential to</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Number of</w:t>
            </w: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Mine or Operating</w:t>
            </w: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1"/>
                <w:szCs w:val="11"/>
                <w:color w:val="auto"/>
                <w:w w:val="87"/>
              </w:rPr>
              <w:t>Section</w:t>
            </w: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4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1"/>
                <w:szCs w:val="11"/>
                <w:color w:val="auto"/>
                <w:w w:val="92"/>
              </w:rPr>
              <w:t>Violations</w:t>
            </w:r>
          </w:p>
        </w:tc>
        <w:tc>
          <w:tcPr>
            <w:tcW w:w="90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1"/>
                <w:szCs w:val="11"/>
                <w:color w:val="auto"/>
                <w:w w:val="88"/>
              </w:rPr>
              <w:t>Have Pattern of</w:t>
            </w:r>
          </w:p>
        </w:tc>
        <w:tc>
          <w:tcPr>
            <w:tcW w:w="8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Total Number of</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71"/>
        </w:trPr>
        <w:tc>
          <w:tcPr>
            <w:tcW w:w="980" w:type="dxa"/>
            <w:vAlign w:val="bottom"/>
            <w:tcBorders>
              <w:left w:val="single" w:sz="8" w:color="auto"/>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4"/>
              </w:rPr>
              <w:t>104(d)</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110(b)</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Section</w:t>
            </w:r>
          </w:p>
        </w:tc>
        <w:tc>
          <w:tcPr>
            <w:tcW w:w="10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Under Section</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Violations Under</w:t>
            </w:r>
          </w:p>
        </w:tc>
        <w:tc>
          <w:tcPr>
            <w:tcW w:w="86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Legal Actions</w:t>
            </w:r>
          </w:p>
        </w:tc>
        <w:tc>
          <w:tcPr>
            <w:tcW w:w="84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80" w:type="dxa"/>
            <w:vAlign w:val="bottom"/>
            <w:tcBorders>
              <w:left w:val="single" w:sz="8" w:color="auto"/>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93"/>
              </w:rPr>
              <w:t>Name/MSHA</w:t>
            </w:r>
          </w:p>
        </w:tc>
        <w:tc>
          <w:tcPr>
            <w:tcW w:w="9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94"/>
              </w:rPr>
              <w:t>of Mining</w:t>
            </w:r>
          </w:p>
        </w:tc>
        <w:tc>
          <w:tcPr>
            <w:tcW w:w="84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89"/>
              </w:rPr>
              <w:t>Pending as of</w:t>
            </w:r>
          </w:p>
        </w:tc>
        <w:tc>
          <w:tcPr>
            <w:tcW w:w="84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93"/>
              </w:rPr>
              <w:t>Legal Actions</w:t>
            </w:r>
          </w:p>
        </w:tc>
        <w:tc>
          <w:tcPr>
            <w:tcW w:w="92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1"/>
                <w:szCs w:val="11"/>
                <w:color w:val="auto"/>
                <w:w w:val="93"/>
              </w:rPr>
              <w:t>Legal Actions</w:t>
            </w:r>
          </w:p>
        </w:tc>
        <w:tc>
          <w:tcPr>
            <w:tcW w:w="0" w:type="dxa"/>
            <w:vAlign w:val="bottom"/>
          </w:tcPr>
          <w:p>
            <w:pPr>
              <w:spacing w:after="0"/>
              <w:rPr>
                <w:sz w:val="1"/>
                <w:szCs w:val="1"/>
                <w:color w:val="auto"/>
              </w:rPr>
            </w:pPr>
          </w:p>
        </w:tc>
      </w:tr>
      <w:tr>
        <w:trPr>
          <w:trHeight w:val="40"/>
        </w:trPr>
        <w:tc>
          <w:tcPr>
            <w:tcW w:w="98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Section 104 S&amp;S</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104(b)</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Citations and</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(2)</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107(a)</w:t>
            </w:r>
          </w:p>
        </w:tc>
        <w:tc>
          <w:tcPr>
            <w:tcW w:w="10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104(e)</w:t>
            </w:r>
            <w:r>
              <w:rPr>
                <w:rFonts w:ascii="Arial" w:cs="Arial" w:eastAsia="Arial" w:hAnsi="Arial"/>
                <w:sz w:val="7"/>
                <w:szCs w:val="7"/>
                <w:color w:val="auto"/>
                <w:w w:val="89"/>
              </w:rPr>
              <w:t>(6)</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104(e)</w:t>
            </w:r>
            <w:r>
              <w:rPr>
                <w:rFonts w:ascii="Arial" w:cs="Arial" w:eastAsia="Arial" w:hAnsi="Arial"/>
                <w:sz w:val="7"/>
                <w:szCs w:val="7"/>
                <w:color w:val="auto"/>
                <w:w w:val="89"/>
              </w:rPr>
              <w:t>(7)</w:t>
            </w:r>
          </w:p>
        </w:tc>
        <w:tc>
          <w:tcPr>
            <w:tcW w:w="86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9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980" w:type="dxa"/>
            <w:vAlign w:val="bottom"/>
            <w:tcBorders>
              <w:left w:val="single" w:sz="8" w:color="auto"/>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93"/>
              </w:rPr>
              <w:t>Identification</w:t>
            </w:r>
          </w:p>
        </w:tc>
        <w:tc>
          <w:tcPr>
            <w:tcW w:w="9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89"/>
              </w:rPr>
              <w:t>Related</w:t>
            </w:r>
          </w:p>
        </w:tc>
        <w:tc>
          <w:tcPr>
            <w:tcW w:w="8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93"/>
              </w:rPr>
              <w:t>Last Day of</w:t>
            </w:r>
          </w:p>
        </w:tc>
        <w:tc>
          <w:tcPr>
            <w:tcW w:w="8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94"/>
              </w:rPr>
              <w:t>Initiated During</w:t>
            </w:r>
          </w:p>
        </w:tc>
        <w:tc>
          <w:tcPr>
            <w:tcW w:w="92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w w:val="90"/>
              </w:rPr>
              <w:t>Resolved During</w:t>
            </w:r>
          </w:p>
        </w:tc>
        <w:tc>
          <w:tcPr>
            <w:tcW w:w="0" w:type="dxa"/>
            <w:vAlign w:val="bottom"/>
          </w:tcPr>
          <w:p>
            <w:pPr>
              <w:spacing w:after="0"/>
              <w:rPr>
                <w:sz w:val="1"/>
                <w:szCs w:val="1"/>
                <w:color w:val="auto"/>
              </w:rPr>
            </w:pPr>
          </w:p>
        </w:tc>
      </w:tr>
      <w:tr>
        <w:trPr>
          <w:trHeight w:val="18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6"/>
              </w:rPr>
              <w:t>Number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Citations</w:t>
            </w:r>
            <w:r>
              <w:rPr>
                <w:rFonts w:ascii="Arial" w:cs="Arial" w:eastAsia="Arial" w:hAnsi="Arial"/>
                <w:sz w:val="14"/>
                <w:szCs w:val="14"/>
                <w:color w:val="auto"/>
                <w:w w:val="84"/>
                <w:vertAlign w:val="superscript"/>
              </w:rPr>
              <w:t>(1)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Orders</w:t>
            </w:r>
            <w:r>
              <w:rPr>
                <w:rFonts w:ascii="Arial" w:cs="Arial" w:eastAsia="Arial" w:hAnsi="Arial"/>
                <w:sz w:val="14"/>
                <w:szCs w:val="14"/>
                <w:color w:val="auto"/>
                <w:w w:val="84"/>
                <w:vertAlign w:val="superscript"/>
              </w:rPr>
              <w:t>(2)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Orders</w:t>
            </w:r>
            <w:r>
              <w:rPr>
                <w:rFonts w:ascii="Arial" w:cs="Arial" w:eastAsia="Arial" w:hAnsi="Arial"/>
                <w:sz w:val="14"/>
                <w:szCs w:val="14"/>
                <w:color w:val="auto"/>
                <w:w w:val="84"/>
                <w:vertAlign w:val="superscript"/>
              </w:rPr>
              <w:t>(3)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Violations</w:t>
            </w:r>
            <w:r>
              <w:rPr>
                <w:rFonts w:ascii="Arial" w:cs="Arial" w:eastAsia="Arial" w:hAnsi="Arial"/>
                <w:sz w:val="14"/>
                <w:szCs w:val="14"/>
                <w:color w:val="auto"/>
                <w:w w:val="87"/>
                <w:vertAlign w:val="superscript"/>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Orders</w:t>
            </w:r>
            <w:r>
              <w:rPr>
                <w:rFonts w:ascii="Arial" w:cs="Arial" w:eastAsia="Arial" w:hAnsi="Arial"/>
                <w:sz w:val="14"/>
                <w:szCs w:val="14"/>
                <w:color w:val="auto"/>
                <w:w w:val="84"/>
                <w:vertAlign w:val="superscript"/>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Period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20"/>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98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89"/>
              </w:rPr>
              <w:t>Freeport-McMoran</w:t>
            </w:r>
          </w:p>
        </w:tc>
        <w:tc>
          <w:tcPr>
            <w:tcW w:w="9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980" w:type="dxa"/>
            <w:vAlign w:val="bottom"/>
            <w:tcBorders>
              <w:left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2"/>
              </w:rPr>
              <w:t>Safford Mine, 02-</w:t>
            </w:r>
          </w:p>
        </w:tc>
        <w:tc>
          <w:tcPr>
            <w:tcW w:w="9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7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8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85"/>
              </w:rPr>
              <w:t>No</w:t>
            </w:r>
          </w:p>
        </w:tc>
        <w:tc>
          <w:tcPr>
            <w:tcW w:w="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03131</w:t>
            </w:r>
          </w:p>
        </w:tc>
        <w:tc>
          <w:tcPr>
            <w:tcW w:w="9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98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89"/>
              </w:rPr>
              <w:t>Freeport-McMoran</w:t>
            </w:r>
          </w:p>
        </w:tc>
        <w:tc>
          <w:tcPr>
            <w:tcW w:w="9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980" w:type="dxa"/>
            <w:vAlign w:val="bottom"/>
            <w:tcBorders>
              <w:left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89"/>
              </w:rPr>
              <w:t>Bagdad Mine, 02-</w:t>
            </w:r>
          </w:p>
        </w:tc>
        <w:tc>
          <w:tcPr>
            <w:tcW w:w="9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7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8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85"/>
              </w:rPr>
              <w:t>No</w:t>
            </w:r>
          </w:p>
        </w:tc>
        <w:tc>
          <w:tcPr>
            <w:tcW w:w="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00137</w:t>
            </w:r>
          </w:p>
        </w:tc>
        <w:tc>
          <w:tcPr>
            <w:tcW w:w="9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260" w:right="120" w:hanging="212"/>
        <w:spacing w:after="0" w:line="332" w:lineRule="auto"/>
        <w:tabs>
          <w:tab w:leader="none" w:pos="261"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60" w:hanging="212"/>
        <w:spacing w:after="0"/>
        <w:tabs>
          <w:tab w:leader="none" w:pos="260" w:val="left"/>
        </w:tabs>
        <w:numPr>
          <w:ilvl w:val="1"/>
          <w:numId w:val="27"/>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93" w:lineRule="exact"/>
        <w:rPr>
          <w:rFonts w:ascii="Arial" w:cs="Arial" w:eastAsia="Arial" w:hAnsi="Arial"/>
          <w:sz w:val="13"/>
          <w:szCs w:val="13"/>
          <w:color w:val="auto"/>
        </w:rPr>
      </w:pPr>
    </w:p>
    <w:p>
      <w:pPr>
        <w:ind w:left="260" w:hanging="212"/>
        <w:spacing w:after="0"/>
        <w:tabs>
          <w:tab w:leader="none" w:pos="2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lvl w:ilvl="1">
      <w:lvlJc w:val="left"/>
      <w:lvlText w:val="◦"/>
      <w:numFmt w:val="bullet"/>
      <w:start w:val="1"/>
    </w:lvl>
  </w:abstractNum>
  <w:abstractNum w:abstractNumId="16">
    <w:nsid w:val="2443A858"/>
    <w:multiLevelType w:val="hybridMultilevel"/>
    <w:lvl w:ilvl="0">
      <w:lvlJc w:val="left"/>
      <w:lvlText w:val="•"/>
      <w:numFmt w:val="bullet"/>
      <w:start w:val="1"/>
    </w:lvl>
    <w:lvl w:ilvl="1">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upperLetter"/>
      <w:start w:val="1"/>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lvl w:ilvl="1">
      <w:lvlJc w:val="left"/>
      <w:lvlText w:val="(%2)"/>
      <w:numFmt w:val="decimal"/>
      <w:start w:val="1"/>
    </w:lvl>
  </w:abstractNum>
  <w:abstractNum w:abstractNumId="27">
    <w:nsid w:val="2CA88611"/>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7" Type="http://schemas.openxmlformats.org/officeDocument/2006/relationships/hyperlink" Target="http://www.sec.gov/Archives/edgar/data/866273/000086627322000101/a101firstamendmentandwai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2022-11-09T13:30:24Z</dcterms:created>
  <dcterms:modified xsi:type="dcterms:W3CDTF">2022-11-09T13:30:24Z</dcterms:modified>
</cp:coreProperties>
</file>