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jc w:val="center"/>
        <w:ind w:right="-119"/>
        <w:spacing w:after="0"/>
        <w:rPr>
          <w:sz w:val="20"/>
          <w:szCs w:val="20"/>
          <w:color w:val="auto"/>
        </w:rPr>
      </w:pPr>
      <w:r>
        <w:rPr>
          <w:rFonts w:ascii="Times New Roman" w:cs="Times New Roman" w:eastAsia="Times New Roman" w:hAnsi="Times New Roman"/>
          <w:sz w:val="14"/>
          <w:szCs w:val="14"/>
          <w:color w:val="auto"/>
        </w:rPr>
        <w:t>(Mark One)</w:t>
      </w:r>
    </w:p>
    <w:p>
      <w:pPr>
        <w:spacing w:after="0" w:line="30"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132"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-5080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MATRIX SERVICE COMPANY</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ectPr>
          <w:pgSz w:w="11900" w:h="16838" w:orient="portrait"/>
          <w:cols w:equalWidth="0" w:num="1">
            <w:col w:w="11120"/>
          </w:cols>
          <w:pgMar w:left="320" w:top="472" w:right="459" w:bottom="1440" w:gutter="0" w:footer="0" w:header="0"/>
        </w:sectPr>
      </w:pPr>
    </w:p>
    <w:p>
      <w:pPr>
        <w:spacing w:after="0" w:line="14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73-1352174</w:t>
      </w:r>
    </w:p>
    <w:p>
      <w:pPr>
        <w:spacing w:after="0" w:line="31" w:lineRule="exact"/>
        <w:rPr>
          <w:sz w:val="24"/>
          <w:szCs w:val="24"/>
          <w:color w:val="auto"/>
        </w:rPr>
      </w:pPr>
    </w:p>
    <w:p>
      <w:pPr>
        <w:sectPr>
          <w:pgSz w:w="11900" w:h="16838" w:orient="portrait"/>
          <w:cols w:equalWidth="0" w:num="2">
            <w:col w:w="7260" w:space="720"/>
            <w:col w:w="3140"/>
          </w:cols>
          <w:pgMar w:left="320" w:top="472" w:right="4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00" w:space="720"/>
            <w:col w:w="3800"/>
          </w:cols>
          <w:pgMar w:left="320" w:top="47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 East 5th Street, Suite 1100, Tulsa, Oklahoma 74103</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4" w:lineRule="exact"/>
        <w:rPr>
          <w:sz w:val="24"/>
          <w:szCs w:val="24"/>
          <w:color w:val="auto"/>
        </w:rPr>
      </w:pPr>
    </w:p>
    <w:p>
      <w:pPr>
        <w:ind w:right="18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5" w:lineRule="exact"/>
        <w:rPr>
          <w:sz w:val="24"/>
          <w:szCs w:val="24"/>
          <w:color w:val="auto"/>
        </w:rPr>
      </w:pPr>
    </w:p>
    <w:p>
      <w:pPr>
        <w:ind w:right="24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6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05" w:lineRule="exact"/>
        <w:rPr>
          <w:sz w:val="24"/>
          <w:szCs w:val="24"/>
          <w:color w:val="auto"/>
        </w:rPr>
      </w:pPr>
    </w:p>
    <w:p>
      <w:pPr>
        <w:ind w:right="4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54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7, 2025 there were 27,610,499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9"/>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March 31, 2025 and 2024</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March 31, 2025 and 2024</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June 30, 2024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31, 2025 and 2024</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March 31, 2025</w:t>
            </w:r>
          </w:p>
        </w:tc>
        <w:tc>
          <w:tcPr>
            <w:tcW w:w="28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8320" w:type="dxa"/>
            <w:vAlign w:val="bottom"/>
            <w:tcBorders>
              <w:top w:val="single" w:sz="8" w:color="0000FF"/>
            </w:tcBorders>
            <w:gridSpan w:val="11"/>
          </w:tcPr>
          <w:p>
            <w:pPr>
              <w:spacing w:after="0"/>
              <w:rPr>
                <w:sz w:val="14"/>
                <w:szCs w:val="14"/>
                <w:color w:val="auto"/>
              </w:rPr>
            </w:pPr>
          </w:p>
        </w:tc>
        <w:tc>
          <w:tcPr>
            <w:tcW w:w="180" w:type="dxa"/>
            <w:vAlign w:val="bottom"/>
            <w:gridSpan w:val="2"/>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00" w:type="dxa"/>
            <w:vAlign w:val="bottom"/>
            <w:gridSpan w:val="8"/>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15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2"/>
          </w:tcPr>
          <w:p>
            <w:pPr>
              <w:spacing w:after="0"/>
              <w:rPr>
                <w:sz w:val="22"/>
                <w:szCs w:val="22"/>
                <w:color w:val="auto"/>
              </w:rPr>
            </w:pP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10"/>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2"/>
                <w:szCs w:val="22"/>
                <w:color w:val="auto"/>
              </w:rPr>
            </w:pPr>
          </w:p>
        </w:tc>
        <w:tc>
          <w:tcPr>
            <w:tcW w:w="7640" w:type="dxa"/>
            <w:vAlign w:val="bottom"/>
            <w:gridSpan w:val="11"/>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2"/>
                <w:szCs w:val="22"/>
                <w:color w:val="auto"/>
              </w:rPr>
            </w:pP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6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538,714</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510,688</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28,026</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52,792</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(24,766)</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(Note 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27,357</w:t>
            </w:r>
          </w:p>
        </w:tc>
      </w:tr>
      <w:tr>
        <w:trPr>
          <w:trHeight w:val="230"/>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1"/>
        </w:trPr>
        <w:tc>
          <w:tcPr>
            <w:tcW w:w="54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 (Note 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85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 $0.01 par value; 60,000,000 shares authorized; 27,888,217 shares issued at March 31, 2025</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85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June 30, 2024, respectively; 27,606,852 and 27,308,795 shares outstanding as of March 31, 2025 and June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 2024, respectively;</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145,580</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33,941</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Treasury stock, at cost — 281,365 and 579,422 shares as of March 31, 2025 and June 30, 2024, respectively;</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plant and equipment (Note 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(43,113)</w:t>
            </w:r>
          </w:p>
        </w:tc>
        <w:tc>
          <w:tcPr>
            <w:tcW w:w="0" w:type="dxa"/>
            <w:vAlign w:val="bottom"/>
          </w:tcPr>
          <w:p>
            <w:pPr>
              <w:spacing w:after="0"/>
              <w:rPr>
                <w:sz w:val="1"/>
                <w:szCs w:val="1"/>
                <w:color w:val="auto"/>
              </w:rPr>
            </w:pP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(Note 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Advances under asset-backed credit facility</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advances under asset-backed credit facility</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7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7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3"/>
                <w:szCs w:val="3"/>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8"/>
        </w:trPr>
        <w:tc>
          <w:tcPr>
            <w:tcW w:w="3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285,392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151,934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147,805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281,365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150,710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178,910</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583,483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7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7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3"/>
                <w:szCs w:val="3"/>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8"/>
        </w:trPr>
        <w:tc>
          <w:tcPr>
            <w:tcW w:w="3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164,182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(408,406)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purchased to satisfy tax</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123,850</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147,805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281,365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150,710</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181,484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(20,599)</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purchased to satisfy tax</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55,324</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583,483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165,802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2024, included in our Annual Report on Form 10-K. The results of operations for the three and nine month periods ended March 31, 2025 may not necessarily be indicative of the results of operations for the full year ending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detailed in “Note 1 - Basis of Presentation and Significant Accounting Policies” of our Annual Report on Form 10-K for the year ended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entity’s reportable segments and requires enhanced information about a reportable segment’s expenses, interim segment profit or loss, and how a public entity’s chief operating decision maker uses reported segment profit or loss information in assessing segment performance and allocating resources. The update will be effective for annual periods beginning after December 15, 2023 (fiscal 2025). Adoption of this ASU will result in additional disclosure, but will not impact the Company's consolidated financial position, results of operations or cash flows.</w:t>
      </w:r>
    </w:p>
    <w:p>
      <w:pPr>
        <w:spacing w:after="0" w:line="1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w:t>
      </w:r>
    </w:p>
    <w:p>
      <w:pPr>
        <w:spacing w:after="0" w:line="135"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Other accounting pronouncements issued but not effective until after March 31, 2025 are not expected to have a material impact on the Company's consolidated financial position,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had $1.1 billion of remaining performance obligations yet to be satisfied as of March 31, 2025. We expect to recognize $606.5 million of our remaining performance obligations as revenue within the next twelve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(161,349)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our CIE and BIE primarily results from the timing of revenue recognized relative to the billings on the associated contracts. The amount of revenue recognized during the nine months ended March 31, 2025 that was included in the June 30, 2024 BIE balance was $162.5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March 31, 2025 and June 30, 2024 included retentions to be collected within one year of $30.2 million and $11.6 million, respectively. Contract retentions collectible beyond one year are included in Other assets, non-current in the Condensed Consolidated Balance Sheets and totaled $51.3 million as of March 31, 2025 and $28.6 million as of June 30, 2024,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contract liabilities included revenues for unpriced change orders and claims of $11.8 million at March 31, 2025 and $9.9 million at June 30, 2024.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and therefore collection of these amounts may extend beyond one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disaggregated by reportable segment is presented in Note 8 - Segment Information. The following series of tables presents revenue disaggregated by geographic area where the work was performed and by contract type: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Disaggregation: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ind w:left="7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487,140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538,714</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Type Disaggregation:</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7"/>
                <w:szCs w:val="17"/>
                <w:color w:val="auto"/>
              </w:rPr>
            </w:pPr>
          </w:p>
        </w:tc>
        <w:tc>
          <w:tcPr>
            <w:tcW w:w="244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gridSpan w:val="2"/>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305,346</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and other cost reimbursable contracts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233,368</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538,714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first quarter of fiscal 2024, we sold a previously utilized facility in Burlington, Ontario for $2.7 million in net proceeds, which resulted in a gain of $2.5 million. The gain was included in Other income in the Condensed Consolidated Statements of Income. We closed this previously utilized facility during the second quarter of fiscal 2023 because it was no longer strategic to the future of the business.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second quarter of fiscal 2024, we sold a facility in Catoosa, Oklahoma for $2.7 million in net proceeds, which resulted in a gain of $2.0 million. Proceeds were received in January 2024. The gain was included in Other income in the Condensed Consolidated Statements of Income. The facility was previously utilized for our industrial cleaning business, which was sold during the fourth quarter of fiscal 2023. The Catoosa, Oklahoma facility was closed as it was no longer strategic to the future of the business.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2024, we purchased a fabrication facility in Bakersfield, California for $4.1 million to replace a facility being leased by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individually significant purchases or sales of property, plant and equipment in the nine months ended March 31,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2021, the Company and our primary U.S. and Canada operating subsidiaries entered into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March 31, 2025, our borrowing base was $66.3 million. The Company had $4.8 million in letters of credit outstanding as of March 31, 2025, which resulted in availability of $61.5 million under the ABL Facility.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limit our ability to sell assets; engage in mergers and acquisitions; make investments, including investments in certain international subsidiaries; incur, assume or permit to exist additional indebtedness and guarantees; create or permit to exist liens; pay cash dividends or make distributions; issue equity instruments;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March 31, 2025, our effective tax rates were zero and (0.1)%, respectively. During the three and nine months ended March 31, 2024 our effective tax rates were zero. The effective tax rates during fiscal 2025 were impacted by valuation allowances of $1.2 million and $4.3 million, respectively, placed on deferred tax assets generated during the three and nine months ended March 31, 2025. The effective tax rates during fiscal 2024 were impacted by valuation allowances of $4.4 million and $5.8 million, respectively, placed on deferred tax assets during the three and nine months ended March 31,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placed a valuation allowance on our deferred tax assets in fiscal 2022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2021, we achieved mechanical completion on a crude oil storage project. On April 1, 2022, we filed an arbitration demand against Keyera Energy, Inc. in an effort to collect outstanding balances of $32.7 million related to the project. In response, on June 2, 2022, the customer filed counterclaims seeking $20.0 million, which included liquidated damages and damages with respect to miscellaneous warranty items. On October 31, 2022, the customer amended its counterclaim claiming damages in a range of $18.8 million to $36.0 million, which included estimated amounts for “potential future costs.” In July 2024, the customer filed a second amended counterclaim which significantly increased the amount of alleged damages to a range of $69.6 million to $97.9 million, including a new claim for unspecified “other damages” of $46.9 million. A portion of the total alleged damages, if we are held liable, may be subject to certain insurance coverages. We are actively pursuing our claims and believe we have substantial legal and contractual defenses to the customer's counterclaims. Our hearing for this matter is currently scheduled for August 2025.</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2023, we completed construction services on a time and materials basis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5:23-cv-01396-AB(DTBx)), alleging breach of contract and breach of express warranty. We denied all claims and filed a countersuit against the customer for failure to pay amounts due of $5.6 million. Our trial for this matter is currently scheduled for February 2026.</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we have set appropriate reserves based on our evaluation of the possible outcomes for the matters described above. However, the results of litigation are inherently unpredictable, and the possibility exists that the ultimate resolution of one or more of these matters could result in a material effect on our financial position, results of operations or liquidity. We and our subsidiaries are participants in various other legal actions; however, assessing the eventual outcome of litigation involves forward-looking speculation as to judgement being made by arbitrators, judges, juries and appellate courts in the future. Based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Common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to our EPS in the event we report a net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is as follows:</w:t>
      </w:r>
    </w:p>
    <w:p>
      <w:pPr>
        <w:spacing w:after="0" w:line="151"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6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9"/>
        </w:trPr>
        <w:tc>
          <w:tcPr>
            <w:tcW w:w="5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1"/>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300"/>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(14,581)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(18,190)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(20,599)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EPS:</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56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1"/>
                <w:szCs w:val="11"/>
                <w:color w:val="auto"/>
              </w:rPr>
            </w:pPr>
          </w:p>
        </w:tc>
        <w:tc>
          <w:tcPr>
            <w:tcW w:w="1140" w:type="dxa"/>
            <w:vAlign w:val="bottom"/>
          </w:tcPr>
          <w:p>
            <w:pPr>
              <w:jc w:val="center"/>
              <w:ind w:right="166"/>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center"/>
              <w:ind w:right="28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1"/>
                <w:szCs w:val="11"/>
                <w:color w:val="auto"/>
              </w:rPr>
            </w:pPr>
          </w:p>
        </w:tc>
        <w:tc>
          <w:tcPr>
            <w:tcW w:w="114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5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(In thousands)</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1,279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three reportable segments:</w:t>
      </w:r>
    </w:p>
    <w:p>
      <w:pPr>
        <w:spacing w:after="0" w:line="167"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primarily consists of engineering, procurement, fabrication, and construction services related to cryogenic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primarily consists of engineering, procurement, fabrication, and construction services to support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w:t>
      </w:r>
    </w:p>
    <w:p>
      <w:pPr>
        <w:spacing w:after="0" w:line="122"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consists of plant maintenance, repair, and turnarounds in the downstream and midstream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primarily in the extraction of non-ferrous metals, cement, agriculture, wastewater treatment facilities and other industrial customers.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We eliminate intersegment sales; therefore, no intercompany profit or loss is recognized. Corporate selling, general and administrative expenses, including corporate salaries and facilities costs,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 Corporate assets consist primarily of cash, restricted cash, prepaid expenses, corporate fixed assets, and corporate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The following tables set forth certain selected financial information for our segments for the periods indicated: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3820" w:type="dxa"/>
        <w:tblCellMar>
          <w:top w:w="0" w:type="dxa"/>
          <w:left w:w="0" w:type="dxa"/>
          <w:bottom w:w="0" w:type="dxa"/>
          <w:right w:w="0" w:type="dxa"/>
        </w:tblCellMar>
      </w:tblPr>
      <w:tr>
        <w:trPr>
          <w:trHeight w:val="161"/>
        </w:trPr>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6350</wp:posOffset>
            </wp:positionV>
            <wp:extent cx="4732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33655</wp:posOffset>
            </wp:positionV>
            <wp:extent cx="707199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p>
      <w:pPr>
        <w:ind w:left="120"/>
        <w:spacing w:after="0"/>
        <w:rPr>
          <w:sz w:val="20"/>
          <w:szCs w:val="20"/>
          <w:color w:val="auto"/>
        </w:rPr>
      </w:pPr>
      <w:r>
        <w:rPr>
          <w:rFonts w:ascii="Times New Roman" w:cs="Times New Roman" w:eastAsia="Times New Roman" w:hAnsi="Times New Roman"/>
          <w:sz w:val="16"/>
          <w:szCs w:val="16"/>
          <w:color w:val="auto"/>
        </w:rPr>
        <w:t>Cost of revenue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Gross profit (loss)</w:t>
      </w:r>
    </w:p>
    <w:p>
      <w:pPr>
        <w:spacing w:after="0" w:line="32" w:lineRule="exact"/>
        <w:rPr>
          <w:sz w:val="20"/>
          <w:szCs w:val="20"/>
          <w:color w:val="auto"/>
        </w:rPr>
      </w:pPr>
    </w:p>
    <w:p>
      <w:pPr>
        <w:ind w:left="120" w:right="60"/>
        <w:spacing w:after="0" w:line="308" w:lineRule="auto"/>
        <w:rPr>
          <w:sz w:val="20"/>
          <w:szCs w:val="20"/>
          <w:color w:val="auto"/>
        </w:rPr>
      </w:pPr>
      <w:r>
        <w:rPr>
          <w:rFonts w:ascii="Times New Roman" w:cs="Times New Roman" w:eastAsia="Times New Roman" w:hAnsi="Times New Roman"/>
          <w:sz w:val="16"/>
          <w:szCs w:val="16"/>
          <w:color w:val="auto"/>
        </w:rPr>
        <w:t>Selling, general and administrative expenses Restructuring costs</w:t>
      </w:r>
    </w:p>
    <w:p>
      <w:pPr>
        <w:ind w:left="120"/>
        <w:spacing w:after="0"/>
        <w:rPr>
          <w:sz w:val="20"/>
          <w:szCs w:val="20"/>
          <w:color w:val="auto"/>
        </w:rPr>
      </w:pPr>
      <w:r>
        <w:rPr>
          <w:rFonts w:ascii="Times New Roman" w:cs="Times New Roman" w:eastAsia="Times New Roman" w:hAnsi="Times New Roman"/>
          <w:sz w:val="16"/>
          <w:szCs w:val="16"/>
          <w:color w:val="auto"/>
        </w:rPr>
        <w:t>Operating income (loss)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96,054</w:t>
            </w:r>
          </w:p>
        </w:tc>
        <w:tc>
          <w:tcPr>
            <w:tcW w:w="5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58,676</w:t>
            </w:r>
          </w:p>
        </w:tc>
        <w:tc>
          <w:tcPr>
            <w:tcW w:w="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45,431</w:t>
            </w:r>
          </w:p>
        </w:tc>
        <w:tc>
          <w:tcPr>
            <w:tcW w:w="5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200,161</w:t>
            </w:r>
          </w:p>
        </w:tc>
      </w:tr>
      <w:tr>
        <w:trPr>
          <w:trHeight w:val="216"/>
        </w:trPr>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(92,323)</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(53,139)</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(41,672)</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(187,311)</w:t>
            </w:r>
          </w:p>
        </w:tc>
      </w:tr>
      <w:tr>
        <w:trPr>
          <w:trHeight w:val="216"/>
        </w:trPr>
        <w:tc>
          <w:tcPr>
            <w:tcW w:w="4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3,731</w:t>
            </w:r>
          </w:p>
        </w:tc>
        <w:tc>
          <w:tcPr>
            <w:tcW w:w="5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5,537</w:t>
            </w:r>
          </w:p>
        </w:tc>
        <w:tc>
          <w:tcPr>
            <w:tcW w:w="5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3,759</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12,850</w:t>
            </w:r>
          </w:p>
        </w:tc>
      </w:tr>
      <w:tr>
        <w:trPr>
          <w:trHeight w:val="216"/>
        </w:trPr>
        <w:tc>
          <w:tcPr>
            <w:tcW w:w="4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6,344</w:t>
            </w:r>
          </w:p>
        </w:tc>
        <w:tc>
          <w:tcPr>
            <w:tcW w:w="5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2,536</w:t>
            </w:r>
          </w:p>
        </w:tc>
        <w:tc>
          <w:tcPr>
            <w:tcW w:w="5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2,142</w:t>
            </w:r>
          </w:p>
        </w:tc>
        <w:tc>
          <w:tcPr>
            <w:tcW w:w="5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6,704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17,726</w:t>
            </w:r>
          </w:p>
        </w:tc>
      </w:tr>
      <w:tr>
        <w:trPr>
          <w:trHeight w:val="219"/>
        </w:trPr>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7"/>
        </w:trPr>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5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2,877</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1,617</w:t>
            </w:r>
          </w:p>
        </w:tc>
        <w:tc>
          <w:tcPr>
            <w:tcW w:w="5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-553085</wp:posOffset>
            </wp:positionV>
            <wp:extent cx="70719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-278765</wp:posOffset>
            </wp:positionV>
            <wp:extent cx="70719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4732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3060" w:space="720"/>
            <w:col w:w="7460"/>
          </w:cols>
          <w:pgMar w:left="320" w:top="121"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Process and Industrial Facilities and were $1.1 million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-97790</wp:posOffset>
            </wp:positionV>
            <wp:extent cx="707199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420" w:type="dxa"/>
            <w:vAlign w:val="bottom"/>
          </w:tcPr>
          <w:p>
            <w:pPr>
              <w:spacing w:after="0"/>
              <w:rPr>
                <w:sz w:val="13"/>
                <w:szCs w:val="13"/>
                <w:color w:val="auto"/>
              </w:rPr>
            </w:pPr>
          </w:p>
        </w:tc>
        <w:tc>
          <w:tcPr>
            <w:tcW w:w="11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3"/>
                <w:szCs w:val="13"/>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54,304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46,120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65,589</w:t>
            </w:r>
          </w:p>
        </w:tc>
        <w:tc>
          <w:tcPr>
            <w:tcW w:w="4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166,013</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(51,991)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(44,711)</w:t>
            </w:r>
          </w:p>
        </w:tc>
        <w:tc>
          <w:tcPr>
            <w:tcW w:w="3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(63,822)</w:t>
            </w:r>
          </w:p>
        </w:tc>
        <w:tc>
          <w:tcPr>
            <w:tcW w:w="4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(160,435)</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1,409</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5,395</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2,733</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2,590</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9,230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(823)</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(9,141)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Storage and Terminal Solutions and were $1.3 million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-92710</wp:posOffset>
            </wp:positionV>
            <wp:extent cx="4732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tbl>
      <w:tblPr>
        <w:tblLayout w:type="fixed"/>
        <w:tblInd w:w="3820" w:type="dxa"/>
        <w:tblCellMar>
          <w:top w:w="0" w:type="dxa"/>
          <w:left w:w="0" w:type="dxa"/>
          <w:bottom w:w="0" w:type="dxa"/>
          <w:right w:w="0" w:type="dxa"/>
        </w:tblCellMar>
      </w:tblPr>
      <w:tr>
        <w:trPr>
          <w:trHeight w:val="161"/>
        </w:trPr>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6350</wp:posOffset>
            </wp:positionV>
            <wp:extent cx="47320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4"/>
          <w:szCs w:val="14"/>
          <w:b w:val="1"/>
          <w:bCs w:val="1"/>
          <w:color w:val="auto"/>
        </w:rPr>
        <w:t>Nine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33655</wp:posOffset>
            </wp:positionV>
            <wp:extent cx="70719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p>
      <w:pPr>
        <w:ind w:left="120"/>
        <w:spacing w:after="0"/>
        <w:rPr>
          <w:sz w:val="20"/>
          <w:szCs w:val="20"/>
          <w:color w:val="auto"/>
        </w:rPr>
      </w:pPr>
      <w:r>
        <w:rPr>
          <w:rFonts w:ascii="Times New Roman" w:cs="Times New Roman" w:eastAsia="Times New Roman" w:hAnsi="Times New Roman"/>
          <w:sz w:val="16"/>
          <w:szCs w:val="16"/>
          <w:color w:val="auto"/>
        </w:rPr>
        <w:t>Cost of revenue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Gross profit (loss)</w:t>
      </w:r>
    </w:p>
    <w:p>
      <w:pPr>
        <w:spacing w:after="0" w:line="32" w:lineRule="exact"/>
        <w:rPr>
          <w:sz w:val="20"/>
          <w:szCs w:val="20"/>
          <w:color w:val="auto"/>
        </w:rPr>
      </w:pPr>
    </w:p>
    <w:p>
      <w:pPr>
        <w:ind w:left="120" w:right="60"/>
        <w:spacing w:after="0" w:line="308" w:lineRule="auto"/>
        <w:rPr>
          <w:sz w:val="20"/>
          <w:szCs w:val="20"/>
          <w:color w:val="auto"/>
        </w:rPr>
      </w:pPr>
      <w:r>
        <w:rPr>
          <w:rFonts w:ascii="Times New Roman" w:cs="Times New Roman" w:eastAsia="Times New Roman" w:hAnsi="Times New Roman"/>
          <w:sz w:val="16"/>
          <w:szCs w:val="16"/>
          <w:color w:val="auto"/>
        </w:rPr>
        <w:t>Selling, general and administrative expenses Restructuring costs</w:t>
      </w:r>
    </w:p>
    <w:p>
      <w:pPr>
        <w:ind w:left="120"/>
        <w:spacing w:after="0"/>
        <w:rPr>
          <w:sz w:val="20"/>
          <w:szCs w:val="20"/>
          <w:color w:val="auto"/>
        </w:rPr>
      </w:pPr>
      <w:r>
        <w:rPr>
          <w:rFonts w:ascii="Times New Roman" w:cs="Times New Roman" w:eastAsia="Times New Roman" w:hAnsi="Times New Roman"/>
          <w:sz w:val="16"/>
          <w:szCs w:val="16"/>
          <w:color w:val="auto"/>
        </w:rPr>
        <w:t>Operating income (loss)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269,800</w:t>
            </w:r>
          </w:p>
        </w:tc>
        <w:tc>
          <w:tcPr>
            <w:tcW w:w="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175,664</w:t>
            </w:r>
          </w:p>
        </w:tc>
        <w:tc>
          <w:tcPr>
            <w:tcW w:w="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107,445</w:t>
            </w:r>
          </w:p>
        </w:tc>
        <w:tc>
          <w:tcPr>
            <w:tcW w:w="5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552,909</w:t>
            </w:r>
          </w:p>
        </w:tc>
      </w:tr>
      <w:tr>
        <w:trPr>
          <w:trHeight w:val="216"/>
        </w:trPr>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(254,100)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(165,411)</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(101,319)</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(521,354)</w:t>
            </w:r>
          </w:p>
        </w:tc>
      </w:tr>
      <w:tr>
        <w:trPr>
          <w:trHeight w:val="216"/>
        </w:trPr>
        <w:tc>
          <w:tcPr>
            <w:tcW w:w="4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15,700</w:t>
            </w:r>
          </w:p>
        </w:tc>
        <w:tc>
          <w:tcPr>
            <w:tcW w:w="48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10,253</w:t>
            </w:r>
          </w:p>
        </w:tc>
        <w:tc>
          <w:tcPr>
            <w:tcW w:w="4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6,126</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31,555</w:t>
            </w:r>
          </w:p>
        </w:tc>
      </w:tr>
      <w:tr>
        <w:trPr>
          <w:trHeight w:val="216"/>
        </w:trPr>
        <w:tc>
          <w:tcPr>
            <w:tcW w:w="4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17,480</w:t>
            </w:r>
          </w:p>
        </w:tc>
        <w:tc>
          <w:tcPr>
            <w:tcW w:w="48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10,073</w:t>
            </w:r>
          </w:p>
        </w:tc>
        <w:tc>
          <w:tcPr>
            <w:tcW w:w="4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5,585</w:t>
            </w:r>
          </w:p>
        </w:tc>
        <w:tc>
          <w:tcPr>
            <w:tcW w:w="5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20,454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53,592</w:t>
            </w:r>
          </w:p>
        </w:tc>
      </w:tr>
      <w:tr>
        <w:trPr>
          <w:trHeight w:val="219"/>
        </w:trPr>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7"/>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5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-553085</wp:posOffset>
            </wp:positionV>
            <wp:extent cx="70719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-278765</wp:posOffset>
            </wp:positionV>
            <wp:extent cx="70719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47320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3060" w:space="720"/>
            <w:col w:w="7460"/>
          </w:cols>
          <w:pgMar w:left="320" w:top="121"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Process and Industrial Facilities and were $2.8 million for the nine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-97790</wp:posOffset>
            </wp:positionV>
            <wp:extent cx="707199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400" w:type="dxa"/>
            <w:vAlign w:val="bottom"/>
          </w:tcPr>
          <w:p>
            <w:pPr>
              <w:spacing w:after="0"/>
              <w:rPr>
                <w:sz w:val="13"/>
                <w:szCs w:val="13"/>
                <w:color w:val="auto"/>
              </w:rPr>
            </w:pPr>
          </w:p>
        </w:tc>
        <w:tc>
          <w:tcPr>
            <w:tcW w:w="11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3"/>
                <w:szCs w:val="13"/>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 2024</w:t>
            </w: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206,808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118,659</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212,014</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1,233</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538,714</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(197,704)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(112,139)</w:t>
            </w:r>
          </w:p>
        </w:tc>
        <w:tc>
          <w:tcPr>
            <w:tcW w:w="3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(198,498)</w:t>
            </w:r>
          </w:p>
        </w:tc>
        <w:tc>
          <w:tcPr>
            <w:tcW w:w="4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(2,347)</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9,104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6,520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13,516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28,026</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14,362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6,259</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7,884</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24,287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52,792</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261</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5,632</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(25,401)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(24,766)</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Storage and Terminal Solutions and were $3.1 million for the nine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-92710</wp:posOffset>
            </wp:positionV>
            <wp:extent cx="4732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Total assets by segment</w:t>
      </w:r>
    </w:p>
    <w:p>
      <w:pPr>
        <w:spacing w:after="0" w:line="299"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6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212,867</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138,529</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84,108</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81,524</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224,529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147,190</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613,740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project awards, revenue and margins from each of our segments;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economic, market or business conditions in general and in the natural gas, oil, petrochemical, industrial and power industries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and inflation on our operating expenses and our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disruptions to supply chains, inflation and availability of materials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pending litigation;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07"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factors discussed in this Form 10-Q, Form 10-K for the fiscal year ended June 30, 2024, and in our other filings with the Securities and Exchange Commission;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natural gas, power, oil, petrochemical, industrial and power industries in particular;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renewable energy sources and its impact on our current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 or over-utilization of our work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progression of major projects, whether due to permitting issues or other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three reportable segments:</w:t>
      </w:r>
    </w:p>
    <w:p>
      <w:pPr>
        <w:spacing w:after="0" w:line="167"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primarily consists of engineering, procurement, fabrication, and construction services related to cryogenic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primarily consists of engineering, procurement, fabrication, and construction services to support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w:t>
      </w:r>
    </w:p>
    <w:p>
      <w:pPr>
        <w:spacing w:after="0" w:line="122"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consists of plant maintenance, repair, and turnarounds in the downstream and midstream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primarily in the extraction of non-ferrous metals, cement, agriculture, wastewater treatment facilities and other industrial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activity increased during the third quarter of fiscal 2025 as revenues showed a 13% increase from second quarter of 2025. The increase was driven primarily by an increase in activity for refinery maintenance and turnaround services. As we move forward through the coming quarters, we believe activity levels will rise for projects currently in backlog.</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Project awards during the quarter were $301.2 million, resulting in a current quarter book-to-bill of 1.5x. Award activity was driven by our Storage and Terminal Solutions segment, and included the award of a large specialty storage project. The market drivers for each of our segments are strong and include increased oil and gas demand, the clean energy transition, low-cost feed stock, data center energy demand, industrial reshoring/onshoring, grid reliability and electrical supply assurance. As a result, we believe we will have strong award activity in the coming quarters. While our award activity in the quarter was strong, heightened macroeconomic uncertainty and the evolving impact of U.S. trade policy on infrastructure economics has impacted the timing of customer decisions in the near term. We believe customer delays in project starts and final investment decisions to be a short-term disruption, while an overall favorable regulatory environment for our customers underpins long-term momentum for our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sharpen and better align our business for the current and coming marketplace. Accordingly, during the third and fourth quarters, we are consolidating certain aspects of the business to further improve our performance and create a flatter, leaner management structure. In addition, we continue to evaluate our business lines and, where appropriate, reallocate resources to those businesses that present the best opportunities. We remain focused on delivering sustainable, long-term shareholder value by building a resilient, growth-oriented platform aligned with the evolving needs of our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18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three months ended March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200" w:type="dxa"/>
            <w:vAlign w:val="bottom"/>
          </w:tcPr>
          <w:p>
            <w:pPr>
              <w:spacing w:after="0"/>
              <w:rPr>
                <w:sz w:val="13"/>
                <w:szCs w:val="13"/>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400" w:type="dxa"/>
            <w:vAlign w:val="bottom"/>
          </w:tcPr>
          <w:p>
            <w:pPr>
              <w:spacing w:after="0"/>
              <w:rPr>
                <w:sz w:val="13"/>
                <w:szCs w:val="13"/>
                <w:color w:val="auto"/>
              </w:rPr>
            </w:pPr>
          </w:p>
        </w:tc>
        <w:tc>
          <w:tcPr>
            <w:tcW w:w="11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December 31, 2024</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738,986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318,516</w:t>
            </w:r>
          </w:p>
        </w:tc>
        <w:tc>
          <w:tcPr>
            <w:tcW w:w="4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253,632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1,311,134</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280" w:type="dxa"/>
            <w:vAlign w:val="bottom"/>
          </w:tcPr>
          <w:p>
            <w:pPr>
              <w:spacing w:after="0"/>
              <w:rPr>
                <w:sz w:val="19"/>
                <w:szCs w:val="19"/>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204,839</w:t>
            </w:r>
          </w:p>
        </w:tc>
        <w:tc>
          <w:tcPr>
            <w:tcW w:w="20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37,686</w:t>
            </w:r>
          </w:p>
        </w:tc>
        <w:tc>
          <w:tcPr>
            <w:tcW w:w="48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58,667</w:t>
            </w:r>
          </w:p>
        </w:tc>
        <w:tc>
          <w:tcPr>
            <w:tcW w:w="40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301,192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(96,054)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(58,676)</w:t>
            </w: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(45,431)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(200,161)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as of March 31, 2025</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847,771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297,526</w:t>
            </w:r>
          </w:p>
        </w:tc>
        <w:tc>
          <w:tcPr>
            <w:tcW w:w="4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266,868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1,412,165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2.1 x</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x</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x</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96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81" w:lineRule="exact"/>
        <w:rPr>
          <w:sz w:val="20"/>
          <w:szCs w:val="20"/>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nine months ended March 31, 2025:</w:t>
      </w:r>
    </w:p>
    <w:p>
      <w:pPr>
        <w:spacing w:after="0" w:line="200" w:lineRule="exact"/>
        <w:rPr>
          <w:sz w:val="20"/>
          <w:szCs w:val="20"/>
          <w:color w:val="auto"/>
        </w:rPr>
      </w:pPr>
    </w:p>
    <w:p>
      <w:pPr>
        <w:spacing w:after="0" w:line="317" w:lineRule="exact"/>
        <w:rPr>
          <w:sz w:val="20"/>
          <w:szCs w:val="20"/>
          <w:color w:val="auto"/>
        </w:rPr>
      </w:pPr>
    </w:p>
    <w:tbl>
      <w:tblPr>
        <w:tblLayout w:type="fixed"/>
        <w:tblInd w:w="5020" w:type="dxa"/>
        <w:tblCellMar>
          <w:top w:w="0" w:type="dxa"/>
          <w:left w:w="0" w:type="dxa"/>
          <w:bottom w:w="0" w:type="dxa"/>
          <w:right w:w="0" w:type="dxa"/>
        </w:tblCellMar>
      </w:tblPr>
      <w:tr>
        <w:trPr>
          <w:trHeight w:val="161"/>
        </w:trPr>
        <w:tc>
          <w:tcPr>
            <w:tcW w:w="15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15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6350</wp:posOffset>
            </wp:positionV>
            <wp:extent cx="39947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ind w:left="764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364" w:right="339" w:bottom="1440" w:gutter="0" w:footer="0" w:header="0"/>
        </w:sectPr>
      </w:pP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Backlog as of June 30, 2024</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Project awards</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adjustment</w:t>
      </w:r>
      <w:r>
        <w:rPr>
          <w:rFonts w:ascii="Times New Roman" w:cs="Times New Roman" w:eastAsia="Times New Roman" w:hAnsi="Times New Roman"/>
          <w:sz w:val="23"/>
          <w:szCs w:val="23"/>
          <w:color w:val="auto"/>
          <w:vertAlign w:val="superscript"/>
        </w:rPr>
        <w:t>(2)</w:t>
      </w:r>
    </w:p>
    <w:p>
      <w:pPr>
        <w:ind w:left="180"/>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Backlog as of March 31, 2025</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798,255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379,697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251,521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1,429,473</w:t>
            </w:r>
          </w:p>
        </w:tc>
      </w:tr>
      <w:tr>
        <w:trPr>
          <w:trHeight w:val="230"/>
        </w:trPr>
        <w:tc>
          <w:tcPr>
            <w:tcW w:w="4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319,316</w:t>
            </w:r>
          </w:p>
        </w:tc>
        <w:tc>
          <w:tcPr>
            <w:tcW w:w="4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93,493</w:t>
            </w:r>
          </w:p>
        </w:tc>
        <w:tc>
          <w:tcPr>
            <w:tcW w:w="4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126,898</w:t>
            </w:r>
          </w:p>
        </w:tc>
        <w:tc>
          <w:tcPr>
            <w:tcW w:w="4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539,707</w:t>
            </w:r>
          </w:p>
        </w:tc>
      </w:tr>
      <w:tr>
        <w:trPr>
          <w:trHeight w:val="229"/>
        </w:trPr>
        <w:tc>
          <w:tcPr>
            <w:tcW w:w="4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(4,106)</w:t>
            </w:r>
          </w:p>
        </w:tc>
        <w:tc>
          <w:tcPr>
            <w:tcW w:w="4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(4,106)</w:t>
            </w:r>
          </w:p>
        </w:tc>
      </w:tr>
      <w:tr>
        <w:trPr>
          <w:trHeight w:val="234"/>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(269,800)</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(175,664)</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(107,445)</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(552,909)</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847,771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297,526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266,868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1,412,165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x</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x</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x</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-919480</wp:posOffset>
            </wp:positionV>
            <wp:extent cx="702945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-628015</wp:posOffset>
            </wp:positionV>
            <wp:extent cx="702945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-336550</wp:posOffset>
            </wp:positionV>
            <wp:extent cx="70294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220" w:space="720"/>
            <w:col w:w="6300"/>
          </w:cols>
          <w:pgMar w:left="320" w:top="364" w:right="339" w:bottom="1440" w:gutter="0" w:footer="0" w:header="0"/>
          <w:type w:val="continuous"/>
        </w:sectPr>
      </w:pPr>
    </w:p>
    <w:p>
      <w:pPr>
        <w:spacing w:after="0" w:line="74" w:lineRule="exact"/>
        <w:rPr>
          <w:sz w:val="20"/>
          <w:szCs w:val="20"/>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7"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was reduced as a result of the closure of a customer's facility. This customer has historically represented less than 1% of our consolidated revenues.</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Storage and Terminal Solutions segment, we booked $204.8 million of project awards during the third quarter of fiscal 2025. Project awards included a project for the engineering and construction of large refrigerated propane and butane tanks as well as spheres for related NGL products. During the nine months ended March 31, 2025, we booked $319.3 million of project awards. This segment includes significant opportunities for storage infrastructure projects related to natural gas, LNG, ammonia, NGLs and other forms of low carbon energy. We believe LNG and ammonia projects in particular will be key growth drivers for this segment. Bidding activity on LNG and ammonia projects has been strong and we expect that to continue.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Utility and Power Infrastructure segment, we booked $37.7 million of project awards during the third quarter of fiscal 2025. During the nine months ended March 31, 2025, we booked $93.5 million of project awards. Our opportunity pipeline for LNG peak shaving projects continues to be promising; however those awards, while significant, can be less frequent. Power delivery opportunities are expected to be driven over the long-term by increasing electrical demand and the related electrical grid requirements. Project opportunities and bidding activity are strong for both the power delivery portion of the business and LNG peak shaving.</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Process and Industrial Facilities segment, we booked $58.7 million of project awards during the third quarter of fiscal 2025. During the nine months ended March 31, 2025, we booked $126.9 million of project awards, and were notified of a five-year renewal of a refinery maintenance contract. We continue to see demand for thermal vacuum chambers in the coming quarters, as well as increasing opportunities in mining and minerals, chemicals, low carbon and refinery turnarounds.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the Three months ended March 31, 2024</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below is an analysis of our consolidated results for the three months ended March 31, 2025, compared to the three months ended March 31, 2024. See Results of Operations by Business Segment below for additional information describing the performance of each of our reportable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41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ind w:left="140"/>
              <w:spacing w:after="0" w:line="173" w:lineRule="exact"/>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jc w:val="right"/>
              <w:ind w:right="551"/>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187,311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 The increase in consolidated revenue of $34.1 million, or 21%, was primarily attributable to higher revenue volumes in our Storage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 Solutions and Utility and Power Infrastructure segments, partially offset by reduced revenue volumes in Process and Industrial Facilities.</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in the third quarter of fiscal 2025 increased $7.3 million, or 130%, compared to the third quarter of fiscal 2024. Gross margin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6.4% for the third quarter of fiscal 2025 increased compared with gross margin of 3.4% for the third quarter of fiscal 2024. The increase in gross margin for the quarter is attributable to higher gross margins in our Utility and Power Infrastructure and Process and Industrial Facility segments.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The decrease in SG&amp;A expenses of $2.2 million, or 11%, is primarily due to a decrease in cash-settled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compensation of $1.6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 The increase in interest income of $1.4 million is primarily due to an increase in our cash balance.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rates for the three months ended March 31, 2025 and March 31, 2024 were zero. The effective tax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both periods were impacted by valuation allowances of $1.2 million and $4.4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Business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1233"/>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250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restart"/>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40" w:type="dxa"/>
            <w:vAlign w:val="bottom"/>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 Favorable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740" w:type="dxa"/>
            <w:vAlign w:val="bottom"/>
          </w:tcPr>
          <w:p>
            <w:pPr>
              <w:jc w:val="right"/>
              <w:ind w:right="313"/>
              <w:spacing w:after="0" w:line="175"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96,054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54,304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41,750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0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58,676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45,431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65,589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(20,158)</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200,161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166,013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34,148</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480" w:firstLine="6"/>
        <w:spacing w:after="0" w:line="242" w:lineRule="auto"/>
        <w:tabs>
          <w:tab w:leader="none" w:pos="2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revenues are net of inter-segment revenues which are primarily Process and Industrial Facilities and were $1.1 million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-226060</wp:posOffset>
            </wp:positionV>
            <wp:extent cx="4474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3"/>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margin %</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Loss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9,370</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Storage and Terminal Solutions revenues increased by $41.8 million, or 77%, in the three months ended March 31, 2025 compared to the same period last year, driven by an increased volume of work for specialty vessel and LNG storage projects.</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Storage and Terminal Solutions gross profit increased by $1.4 million, or 61%, in the three months ended March 31, 2025 compared to the same period last year. The segment gross margin was 3.9% for the three months ended March 31, 2025 compared to segment gross margin of 4.3% in the same period last year. Although higher revenue resulted in improved leverage of our cost structure, segment gross margin continues to be impacted by under-recovery as we allocate more resources to this segment in anticipation of continuing revenue growth. Additionally, gross margin for the third quarter of fiscal 2025 was negatively impacted by lower than anticipated labor productivity on a crude terminal project.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Utility and Power Infrastructure revenues increased by $12.6 million, or 27%, in the three months ended March 31, 2025 compared to the same period last year. The increase is primarily attributable to a higher volume of work for natural gas peak shaving projects.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Utility and Power Infrastructure gross profit increased by $4.1 million, or 293%, in the three months ended March 31, 2025 compared to the same period last year. The segment gross margin was 9.4% for the three months ended March 31, 2025 compared to 3.1% in the same period last year, an increase of 6.3% due to strong project execution and improved construction overhead cost absorption as a result of higher revenues.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Process and Industrial Facilities revenues decreased by $20.2 million, or 31%, in the three months ended March 31, 2025 compared to the same period last year. The decrease is primarily attributable to lower revenue volumes resulting from the completion of a large renewable diesel project. We believe this reduction in revenue is temporary given our strong backlog, including a significant gas processing construction project that is expected to commence in early fiscal 2026.</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Process and Industrial Facilities gross profit increased by $2.0 million, or 113%, in the three months ended March 31, 2025 compared to the same period last year. The segment gross margin was 8.3% for the three months ended March 31, 2025 compared to 2.7% in the same period last year. Gross margin in the prior period was adversely impacted by reduced labor demand for turnaround and maintenance services in the final year of a three-year refinery maintenance contract which has since been renewed. The accounting for this change resulted in a cumulative catch-up adjustment over the life of the contract, which impacted gross margins during the prior year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2025 Compared to the Nine months ended March 31, 2024</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below is an analysis of our consolidated results for the nine months ended March 31, 2025, compared to the nine months ended March 31, 2024. See Results of Operations by Business Segment below for additional information describing the performance of each of our reportable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3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43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31"/>
              <w:spacing w:after="0" w:line="173" w:lineRule="exact"/>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91"/>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FFFF"/>
              </w:rPr>
              <w:t>0</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 The increase in overall revenue of $14.2 million, or 3%, was primarily attributable to increased revenue volumes in our Storage and 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Utility and Power Infrastructure segments, partially offset by a decrease in Process and Industrial Facilities.</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in the nine months ended March 31, 2025 increased $3.5 million, or 13%, compared to the same period prior year.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to 5.7% for the nine months ended March 31, 2025 compared to 5.2% for the same period prior year. The increase in gross margin for the quarter is attributable to higher gross margins in our Storage and Terminal Solutions and Utility and Power Infrastructure segments, partially offset by lower margins in our Process and Industrial Facility segment.</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The increase in SG&amp;A expenses of $0.8 million, or 2%, is primarily due to an increase in salaries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wages of $2.3 million, all necessitated to support conversion of backlog to revenue and expected growth of the business. The increase was partially offset by a decrease in cash-settled stock-based compensation expense of $2.1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 The increase in interest income of $4.2 million is primarily due to an increase in our cash balance.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Other income decreased $4.8 million in the nine months ended March 31, 2025 as compared to the same period prior year. Other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nine months ended March 31, 2024 included a gain of $2.0 million from the sale of a facility in Catoosa, Oklahoma. Additionally, in the first quarter of fiscal 2024, we recognized a gain of $2.5 million on the sale of a previously utilized facility in Burlington, Ontario.</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rates for the nine months ended March 31, 2025 and March 31, 2024 were (0.1%) and zero,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tax rates during both periods were impacted by valuation allowances of $4.3 million and $5.8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Business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4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 Favorable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740" w:type="dxa"/>
            <w:vAlign w:val="bottom"/>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269,800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206,808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62,992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175,664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118,659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57,005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107,445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212,014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(104,569)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552,909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538,714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260" w:firstLine="6"/>
        <w:spacing w:after="0" w:line="242" w:lineRule="auto"/>
        <w:tabs>
          <w:tab w:leader="none" w:pos="23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revenues are net of inter-segment revenues which are primarily Process and Industrial Facilities and were $2.8 million for the nine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96087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margin %</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(20,978)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Storage and Terminal Solutions revenues increased by $63.0 million, or 30%, in the nine months ended March 31, 2025 compared to the same period last year, driven by increased volume of work for specialty vessel and LNG storage, partially offset by decreases in tank repair and maintenance work.</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Storage and Terminal Solutions gross profit increased by $6.6 million, or 72%, in the nine months ended March 31, 2025 compared to the same period last year. The segment gross margin was 5.8% for the nine months ended March 31, 2025 compared to segment gross margin of 4.4% in the same period last year. The improved gross margin relative to the prior year period reflects consistent project execution and improved construction overhead cost absorption as a result of higher revenues.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Utility and Power Infrastructure revenues increased by $57.0 million, or 48%, in the nine months ended March 31, 2025 compared to the same period last year. The increase is primarily attributable to higher volumes of work for LNG peak shaving projects, partially offset by decreases in power delivery work.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Utility and Power Infrastructure gross profit increased by $3.7 million, or 57%, in the nine months ended March 31, 2025 compared to the same period last year. The segment gross margin was 5.8% for the nine months ended March 31, 2025 compared to 5.5% in the same period last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Process and Industrial Facilities revenues decreased by $104.6 million, or 49%, in the nine months ended March 31, 2025 compared to the same period last year. The decrease is primarily attributable to lower revenue volumes for a now completed large renewable diesel project, in addition to lower revenue volumes for thermal vacuum chambers. We believe this reduction in revenue is temporary given our strong backlog, including a significant gas processing construction project that is expected to commence in early fiscal 2026.</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Process and Industrial gross profit decreased by $7.4 million, or 55%, in the nine months ended March 31, 2025 compared to the same period last year. The segment gross margin was 5.7% for the nine months ended March 31, 2025 compared to 6.4% in the same period last year. The segment gross margin in the current period was impacted by higher levels of under-recovery of construction overhead costs due to lower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assess liquidity based on the ongoing ability to pay our liabilities as they become due, fund business operations and meet all monetary contractual obligations. Our primary sources of liquidity at March 31, 2025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Unrestricted cash and cash equivalents at March 31, 2025 totaled $185.5 million and availability under the ABL Facility totaled $61.5 million, resulting in total liquidity of $247.1 million. During the third quarter of fiscal 2025, liquidity increased $35.4 million primarily as a result of cash provided by operating activities.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restricted cash and unrestricted cash in the Consolidated Balance Sheets to the total cash, cash equivalents and restricted cash shown in the Consolidated Statements of Cash Flows, as well as availability and total liquidity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4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140,615</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Restricted cash</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115,615</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Availability under ABL Facility</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53,988</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three months ended March 31, 2025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December 31, 2024</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211,697</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availability under ABL Facility</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at March 31, 2025</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247,084</w:t>
            </w:r>
          </w:p>
        </w:tc>
      </w:tr>
      <w:tr>
        <w:trPr>
          <w:trHeight w:val="20"/>
        </w:trPr>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nine months ended March 31, 2025 (in thousands):</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June 30, 2024</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169,603</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availability under ABL Facility</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by financing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at March 31, 2025</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247,084</w:t>
            </w:r>
          </w:p>
        </w:tc>
      </w:tr>
      <w:tr>
        <w:trPr>
          <w:trHeight w:val="20"/>
        </w:trPr>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8"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fixed-price customer contracts allow for significant upfront billings at the beginning of a project, which increases liquidity near term;</w:t>
      </w:r>
    </w:p>
    <w:p>
      <w:pPr>
        <w:spacing w:after="0" w:line="188"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cost-plus and fixed-price customer contracts are billed based on milestones which may increase or decrease liquidity in the near term depending on the timing of when we incur significant expenditures and when we collect from our customers;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 and</w:t>
      </w:r>
    </w:p>
    <w:p>
      <w:pPr>
        <w:spacing w:after="0" w:line="18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significant retentions. Retentions are normally held until certain contractual milestones are achieved; therefore, collection may extend beyond one year;</w:t>
      </w:r>
    </w:p>
    <w:p>
      <w:pPr>
        <w:spacing w:after="0" w:line="18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 including the timing of tax payments and refunds;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contract retentions,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-1268095</wp:posOffset>
            </wp:positionV>
            <wp:extent cx="2540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economic slowdowns or other factors which can lead to credit deterioration of our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constraints under our ABL Facility and maintaining compliance with all covenants contained in the ABL Facility;</w:t>
      </w:r>
    </w:p>
    <w:p>
      <w:pPr>
        <w:spacing w:after="0" w:line="252"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 or assets;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Credit Facility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borrowing base is recalculated on a monthly basis and at March 31, 2025, our borrowing base was $66.3 million. We had no borrowings outstanding and $4.8 million in letters of credit outstanding as of March 31, 2025, which resulted in availability of $61.5 million under the ABL Facility. For additional information regarding our ABL Facility, see Item I of Part I, "Financial Statements - Note 4 -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changes in cash flow activities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40" w:type="dxa"/>
            <w:vAlign w:val="bottom"/>
            <w:tcBorders>
              <w:bottom w:val="single" w:sz="8" w:color="auto"/>
            </w:tcBorders>
          </w:tcPr>
          <w:p>
            <w:pPr>
              <w:spacing w:after="0"/>
              <w:rPr>
                <w:sz w:val="18"/>
                <w:szCs w:val="18"/>
                <w:color w:val="auto"/>
              </w:rPr>
            </w:pPr>
          </w:p>
        </w:tc>
      </w:tr>
      <w:tr>
        <w:trPr>
          <w:trHeight w:val="211"/>
        </w:trPr>
        <w:tc>
          <w:tcPr>
            <w:tcW w:w="65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tcBorders>
              <w:bottom w:val="single" w:sz="8" w:color="auto"/>
            </w:tcBorders>
          </w:tcPr>
          <w:p>
            <w:pPr>
              <w:spacing w:after="0"/>
              <w:rPr>
                <w:sz w:val="18"/>
                <w:szCs w:val="18"/>
                <w:color w:val="auto"/>
              </w:rPr>
            </w:pPr>
          </w:p>
        </w:tc>
      </w:tr>
      <w:tr>
        <w:trPr>
          <w:trHeight w:val="210"/>
        </w:trPr>
        <w:tc>
          <w:tcPr>
            <w:tcW w:w="6580" w:type="dxa"/>
            <w:vAlign w:val="bottom"/>
          </w:tcPr>
          <w:p>
            <w:pPr>
              <w:spacing w:after="0"/>
              <w:rPr>
                <w:sz w:val="18"/>
                <w:szCs w:val="18"/>
                <w:color w:val="auto"/>
              </w:rPr>
            </w:pPr>
          </w:p>
        </w:tc>
        <w:tc>
          <w:tcPr>
            <w:tcW w:w="1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6"/>
        </w:trPr>
        <w:tc>
          <w:tcPr>
            <w:tcW w:w="65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44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r>
      <w:tr>
        <w:trPr>
          <w:trHeight w:val="229"/>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r>
      <w:tr>
        <w:trPr>
          <w:trHeight w:val="229"/>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29"/>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79,812</w:t>
            </w:r>
          </w:p>
        </w:tc>
      </w:tr>
      <w:tr>
        <w:trPr>
          <w:trHeight w:val="248"/>
        </w:trPr>
        <w:tc>
          <w:tcPr>
            <w:tcW w:w="6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cash flows provided by operating activities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60" w:type="dxa"/>
            <w:vAlign w:val="bottom"/>
            <w:tcBorders>
              <w:bottom w:val="single" w:sz="8" w:color="auto"/>
            </w:tcBorders>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60" w:type="dxa"/>
            <w:vAlign w:val="bottom"/>
            <w:tcBorders>
              <w:bottom w:val="single" w:sz="8" w:color="auto"/>
            </w:tcBorders>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6"/>
        </w:trPr>
        <w:tc>
          <w:tcPr>
            <w:tcW w:w="4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29"/>
        </w:trPr>
        <w:tc>
          <w:tcPr>
            <w:tcW w:w="4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r>
      <w:tr>
        <w:trPr>
          <w:trHeight w:val="230"/>
        </w:trPr>
        <w:tc>
          <w:tcPr>
            <w:tcW w:w="4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30"/>
        </w:trPr>
        <w:tc>
          <w:tcPr>
            <w:tcW w:w="4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r>
      <w:tr>
        <w:trPr>
          <w:trHeight w:val="229"/>
        </w:trPr>
        <w:tc>
          <w:tcPr>
            <w:tcW w:w="4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30"/>
        </w:trPr>
        <w:tc>
          <w:tcPr>
            <w:tcW w:w="4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expenses</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40" w:type="dxa"/>
            <w:vAlign w:val="bottom"/>
          </w:tcPr>
          <w:p>
            <w:pPr>
              <w:spacing w:after="0"/>
              <w:rPr>
                <w:sz w:val="19"/>
                <w:szCs w:val="19"/>
                <w:color w:val="auto"/>
              </w:rPr>
            </w:pPr>
          </w:p>
        </w:tc>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36,425</w:t>
            </w:r>
          </w:p>
        </w:tc>
      </w:tr>
      <w:tr>
        <w:trPr>
          <w:trHeight w:val="248"/>
        </w:trPr>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r>
      <w:tr>
        <w:trPr>
          <w:trHeight w:val="20"/>
        </w:trPr>
        <w:tc>
          <w:tcPr>
            <w:tcW w:w="4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8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the $80.7 million change in operating assets and liabilities</w:t>
            </w:r>
          </w:p>
        </w:tc>
        <w:tc>
          <w:tcPr>
            <w:tcW w:w="100" w:type="dxa"/>
            <w:vAlign w:val="bottom"/>
          </w:tcPr>
          <w:p>
            <w:pPr>
              <w:spacing w:after="0"/>
              <w:rPr>
                <w:sz w:val="24"/>
                <w:szCs w:val="24"/>
                <w:color w:val="auto"/>
              </w:rPr>
            </w:pPr>
          </w:p>
        </w:tc>
        <w:tc>
          <w:tcPr>
            <w:tcW w:w="4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nine months ended March 31, 2025 are summarized as</w:t>
            </w: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25" w:lineRule="exact"/>
        <w:rPr>
          <w:sz w:val="20"/>
          <w:szCs w:val="20"/>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excluding credit losses recognized during the period and including retention amounts classified as non-current, increased by $88.8 million which decreased cash flows from operating activities. The increases are primarily attributable to the timing of billing and collections.</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increased $4.7 million which decreased cash flows from operating activities. Billings on uncompleted contracts in excess of costs and estimated earnings ("BIE") increased $161.3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$13.0 million which increased cash flows from operating activities. These operating liabilities can fluctuate based on business volumes; the timing of vendor payments; accruals; lease commencement, lease payments, expiration, or termination of operating leases; and other timing differences.</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income taxes receivable, prepaid expenses, other current assets, operating right-of-use lease assets and other assets, non-current, increased $1.2 million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left="980" w:hanging="324"/>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wages and benefits, accrued insurance, operating lease liabilities, other accrued expenses, and other liabilities, non-current increased by $1.1 million which increased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spacing w:after="0" w:line="8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$36.4 million change in operating assets and liabilities for the nine months ended March 31, 2024 are summarized as follows:</w:t>
      </w:r>
    </w:p>
    <w:p>
      <w:pPr>
        <w:spacing w:after="0" w:line="189" w:lineRule="exact"/>
        <w:rPr>
          <w:sz w:val="20"/>
          <w:szCs w:val="20"/>
          <w:color w:val="auto"/>
        </w:rPr>
      </w:pPr>
    </w:p>
    <w:p>
      <w:pPr>
        <w:jc w:val="both"/>
        <w:ind w:left="98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excluding credit losses recognized during the period and including retention amounts classified as non-current, increased by $43.1 million, which decreased cash flows from operating activities. The increases are primarily attributable to the timing of billing and collections, partially offset by $16.8 million we received as full payment for the favorable resolution of a legal matter.</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decreased $10.3 million which increased cash flows from operating activities. Billings on uncompleted contracts in excess of costs and estimated earnings ("BIE") increased $82.2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$20.9 million which decreased cash flows from operating activities. These operating liabilities can fluctuate based on business volumes; the timing of vendor payments; accruals; lease commencement, lease payments, expiration, or termination of operating leases; and other timing differences.</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income taxes receivable, prepaid expenses, other current assets, operating right-of-use lease assets and other assets, non-current, decreased $3.8 million, which increased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wages and benefits, accrued insurance, operating lease liabilities, other accrued expenses, and other liabilities, non-current increased by $4.1 million increased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by 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$5.2 million of cash in the nine months ended March 31, 2025 due to capital expenditures associated with improvements at a fabrication facility in Bakersfield, California that we purchased in fiscal 2024, as well as the purchase of construction equipment to support our projects.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activities used $0.2 million of cash in the nine months ended March 31, 2024 due to capital expenditures partially offset by proceeds from asset sales. In the first quarter of fiscal 2024, we sold a previously utilized facility in Burlington, Ontario for $2.7 million in net proceeds. In the second quarter of fiscal 2024, we sold a facility in Catoosa, Oklahoma for $2.7 million in net proceeds. We closed these previously utilized facilities as they were no longer strategic to the future of the business. In the third quarter of fiscal 2024 we purchased a fabrication facility in Bakersfield, California for $4.1 million to replace a facility being leased by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by 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activities used $1.1 million of cash in the nine months ended March 31, 2025 primarily due to the repurchase of common stock for payment of statutory taxes due on equity-based compensation.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used $10.3 million of cash in the nine months ended March 31, 2024 primarily due to $10.0 million in net repayments under our ABL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March 31, 2025 and have no current plans to repurchase stock. As of March 31, 2025,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281,365 treasury shares as of March 31, 2025 and intend to utilize these treasury shares in connection with equity awards under our stock incentive plans and for sales to the Employee Stock Purchase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reported in our fiscal 2024 Annual Report on Form 10-K filed with the SEC. For more information on our critical accounting policies and estimates, see Part II, Item 7 of our fiscal 2024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faced by us from those reported in our Annual Report on Form 10-K for the fiscal year ended June 30, 2024, filed with the Securities and Exchange Commission. For more information on market risk, see Part II, Item 7A in our fiscal 2024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2025. Based on the foregoing, our Chief Executive Officer and Chief Financial Officer concluded that our disclosure controls and procedures were effective at the reasonable assurance level at March 31, 2025.</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a number of legal proceedings. See Part I., Item 1. Financial Statements, Note 6 - Commitments and Contingencies, Litigation, for a description of our material ongoing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update to the material risks previously disclosed in our Annual Report on Form 10-K for the fiscal year ended June 30,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global trade policy and the impact on tariffs may have a material adverse effect on business operations and financial performance.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new U.S. presidential administration has announced tariffs on U.S. imports generally, with higher rates for select U.S. trade partners. Certain foreign governments have also announced retaliatory tariffs. The tariff policy environment has been and is expected to continue to be dynamic, and we cannot predict what additional actions may ultimately be taken by the United States or other governments with respect to tariffs or trade relations, including retaliatory trade measures taken by other countries in response to existing or future United States tariffs or other measures.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Domestic and foreign trade tariffs could raise the price and reduce the availability of raw materials such as steel plate and steel pipe, which are key materials used by us, which could cause us to experience lower gross margins, operational inefficiencies and project delays. To the extent we can, we mitigate these risks primarily by procuring materials upon contract execution to ensure that our purchase price approximates the costs included in the project estimate, through contract provisions that mitigate our exposure to fluctuations in material costs, and through contracting strategies that allow us to spread the risk of cost increases to other involved parties. However, we may be unable to pass through some or all of these increases in costs to other parties which may materially affect our results of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tariffs or other trade restrictions may lead to continuing uncertainty and volatility in U.S. economic conditions and commodity markets, declining consumer confidence, significant inflation, and diminished expectations for the economy. These factors could increase our costs and reduce our customers’ demand for our services, including decisions by our clients on project viability or timing, which could negatively impact our operating results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As of March 31, 2025,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second quarter of fiscal 2025 and have no current plans to repurchase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2025, none of our directors or officers adopted or terminated a Rule 10b5-1 trading arrangement or Non-Rule 10b5-1, as each term is defined under Item 408(a) of Regulation S-K.</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member of our Board of Directors, Jim Miller, purchased $5,000 of shares of our common stock through the 2011 Employee Stock Purchase Plan during the each of the quarters ended September 30, 2024, December 31, 2024, and March 31, 2025. The 2011 Employee Stock Purchase Plan may be considered a "Non-Rule 10b5-1 trading arrangement" under Item 408 of Regulation S-K. Mr. Miller has elected not to participate in the 2011 Employee Stock Purchase Plan for the remainder of calendar year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w:t>
            </w:r>
          </w:p>
        </w:tc>
        <w:tc>
          <w:tcPr>
            <w:tcW w:w="5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Sarbanes-Oxley Act of 2002 – CEO.</w:t>
            </w:r>
          </w:p>
        </w:tc>
        <w:tc>
          <w:tcPr>
            <w:tcW w:w="3220" w:type="dxa"/>
            <w:vAlign w:val="bottom"/>
            <w:gridSpan w:val="3"/>
          </w:tcPr>
          <w:p>
            <w:pPr>
              <w:spacing w:after="0"/>
              <w:rPr>
                <w:sz w:val="18"/>
                <w:szCs w:val="18"/>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Sarbanes-Oxley Act of 2002 – CFO.</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w:t>
            </w:r>
          </w:p>
        </w:tc>
        <w:tc>
          <w:tcPr>
            <w:tcW w:w="6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1350 (section 906 of Sarbanes-Oxley Act of 2002) – CEO.</w:t>
            </w:r>
          </w:p>
        </w:tc>
        <w:tc>
          <w:tcPr>
            <w:tcW w:w="1960" w:type="dxa"/>
            <w:vAlign w:val="bottom"/>
          </w:tcPr>
          <w:p>
            <w:pPr>
              <w:spacing w:after="0"/>
              <w:rPr>
                <w:sz w:val="22"/>
                <w:szCs w:val="22"/>
                <w:color w:val="auto"/>
              </w:rPr>
            </w:pPr>
          </w:p>
        </w:tc>
      </w:tr>
      <w:tr>
        <w:trPr>
          <w:trHeight w:val="2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w:t>
            </w:r>
          </w:p>
        </w:tc>
        <w:tc>
          <w:tcPr>
            <w:tcW w:w="6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(section 906 of Sarbanes-Oxley Act of 2002) – CFO.</w:t>
            </w:r>
          </w:p>
        </w:tc>
        <w:tc>
          <w:tcPr>
            <w:tcW w:w="1980" w:type="dxa"/>
            <w:vAlign w:val="bottom"/>
            <w:gridSpan w:val="2"/>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95:</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040" w:type="dxa"/>
            <w:vAlign w:val="bottom"/>
            <w:gridSpan w:val="7"/>
          </w:tcPr>
          <w:p>
            <w:pPr>
              <w:spacing w:after="0" w:line="20" w:lineRule="exact"/>
              <w:rPr>
                <w:sz w:val="1"/>
                <w:szCs w:val="1"/>
                <w:color w:val="auto"/>
              </w:rPr>
            </w:pPr>
          </w:p>
        </w:tc>
      </w:tr>
      <w:tr>
        <w:trPr>
          <w:trHeight w:val="25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Times New Roman" w:cs="Times New Roman" w:eastAsia="Times New Roman" w:hAnsi="Times New Roman"/>
          <w:sz w:val="18"/>
          <w:szCs w:val="18"/>
          <w:color w:val="auto"/>
        </w:rPr>
        <w:t>Date:</w:t>
        <w:tab/>
        <w:t>May 8, 2025</w:t>
      </w:r>
      <w:r>
        <w:rPr>
          <w:sz w:val="20"/>
          <w:szCs w:val="20"/>
          <w:color w:val="auto"/>
        </w:rPr>
        <w:tab/>
      </w:r>
      <w:r>
        <w:rPr>
          <w:rFonts w:ascii="Times New Roman" w:cs="Times New Roman" w:eastAsia="Times New Roman" w:hAnsi="Times New Roman"/>
          <w:sz w:val="17"/>
          <w:szCs w:val="17"/>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40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36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8,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March 31, 2025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71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March 31, 2025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8,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4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different than what is provided herein. Any such difference may be attributed to the need to update that information on MSHA’s system and/or other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three months ended March 31, 2025:</w:t>
      </w:r>
    </w:p>
    <w:p>
      <w:pPr>
        <w:spacing w:after="0" w:line="223"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Mine or Operating</w:t>
            </w: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Violations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104(d)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Violations Under</w:t>
            </w:r>
          </w:p>
        </w:tc>
        <w:tc>
          <w:tcPr>
            <w:tcW w:w="860" w:type="dxa"/>
            <w:vAlign w:val="bottom"/>
            <w:tcBorders>
              <w:right w:val="single" w:sz="8" w:color="auto"/>
            </w:tcBorders>
          </w:tcPr>
          <w:p>
            <w:pPr>
              <w:jc w:val="center"/>
              <w:spacing w:after="0" w:line="68" w:lineRule="exact"/>
              <w:rPr>
                <w:sz w:val="20"/>
                <w:szCs w:val="20"/>
                <w:color w:val="auto"/>
              </w:rPr>
            </w:pPr>
            <w:r>
              <w:rPr>
                <w:rFonts w:ascii="Times New Roman" w:cs="Times New Roman" w:eastAsia="Times New Roman" w:hAnsi="Times New Roman"/>
                <w:sz w:val="6"/>
                <w:szCs w:val="6"/>
                <w:color w:val="auto"/>
              </w:rPr>
              <w:t>Legal Actions</w:t>
            </w:r>
          </w:p>
        </w:tc>
        <w:tc>
          <w:tcPr>
            <w:tcW w:w="8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80" w:type="dxa"/>
            <w:vAlign w:val="bottom"/>
            <w:tcBorders>
              <w:left w:val="single" w:sz="8" w:color="auto"/>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of Mining</w:t>
            </w:r>
          </w:p>
        </w:tc>
        <w:tc>
          <w:tcPr>
            <w:tcW w:w="84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Pending as of</w:t>
            </w:r>
          </w:p>
        </w:tc>
        <w:tc>
          <w:tcPr>
            <w:tcW w:w="84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9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0" w:type="dxa"/>
            <w:vAlign w:val="bottom"/>
          </w:tcPr>
          <w:p>
            <w:pPr>
              <w:spacing w:after="0"/>
              <w:rPr>
                <w:sz w:val="1"/>
                <w:szCs w:val="1"/>
                <w:color w:val="auto"/>
              </w:rPr>
            </w:pPr>
          </w:p>
        </w:tc>
      </w:tr>
      <w:tr>
        <w:trPr>
          <w:trHeight w:val="41"/>
        </w:trPr>
        <w:tc>
          <w:tcPr>
            <w:tcW w:w="98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104(b)</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Citations and</w:t>
            </w:r>
          </w:p>
        </w:tc>
        <w:tc>
          <w:tcPr>
            <w:tcW w:w="780" w:type="dxa"/>
            <w:vAlign w:val="bottom"/>
            <w:tcBorders>
              <w:right w:val="single" w:sz="8" w:color="auto"/>
            </w:tcBorders>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104(e)</w:t>
            </w:r>
            <w:r>
              <w:rPr>
                <w:rFonts w:ascii="Times New Roman" w:cs="Times New Roman" w:eastAsia="Times New Roman" w:hAnsi="Times New Roman"/>
                <w:sz w:val="7"/>
                <w:szCs w:val="7"/>
                <w:color w:val="auto"/>
                <w:w w:val="97"/>
              </w:rPr>
              <w:t>(6)</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Section 104(e)</w:t>
            </w:r>
            <w:r>
              <w:rPr>
                <w:rFonts w:ascii="Times New Roman" w:cs="Times New Roman" w:eastAsia="Times New Roman" w:hAnsi="Times New Roman"/>
                <w:sz w:val="7"/>
                <w:szCs w:val="7"/>
                <w:color w:val="auto"/>
                <w:w w:val="99"/>
              </w:rPr>
              <w:t>(7)</w:t>
            </w:r>
          </w:p>
        </w:tc>
        <w:tc>
          <w:tcPr>
            <w:tcW w:w="8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Related</w:t>
            </w: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Last Day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96"/>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Citations</w:t>
            </w:r>
            <w:r>
              <w:rPr>
                <w:rFonts w:ascii="Times New Roman" w:cs="Times New Roman" w:eastAsia="Times New Roman" w:hAnsi="Times New Roman"/>
                <w:sz w:val="14"/>
                <w:szCs w:val="14"/>
                <w:color w:val="auto"/>
                <w:w w:val="90"/>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Violations</w:t>
            </w:r>
            <w:r>
              <w:rPr>
                <w:rFonts w:ascii="Times New Roman" w:cs="Times New Roman" w:eastAsia="Times New Roman" w:hAnsi="Times New Roman"/>
                <w:sz w:val="14"/>
                <w:szCs w:val="14"/>
                <w:color w:val="auto"/>
                <w:w w:val="91"/>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153"/>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None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49"/>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right="120" w:hanging="212"/>
        <w:spacing w:after="0" w:line="332" w:lineRule="auto"/>
        <w:tabs>
          <w:tab w:leader="none" w:pos="261"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82" w:lineRule="exact"/>
        <w:rPr>
          <w:rFonts w:ascii="Times New Roman" w:cs="Times New Roman" w:eastAsia="Times New Roman" w:hAnsi="Times New Roman"/>
          <w:sz w:val="14"/>
          <w:szCs w:val="14"/>
          <w:color w:val="auto"/>
        </w:rPr>
      </w:pPr>
    </w:p>
    <w:p>
      <w:pPr>
        <w:ind w:left="260" w:hanging="212"/>
        <w:spacing w:after="0"/>
        <w:tabs>
          <w:tab w:leader="none" w:pos="2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lvl w:ilvl="1">
      <w:lvlJc w:val="left"/>
      <w:lvlText w:val="(%2)"/>
      <w:numFmt w:val="decimal"/>
      <w:start w:val="1"/>
    </w:lvl>
  </w:abstractNum>
  <w:abstractNum w:abstractNumId="22">
    <w:nsid w:val="2D1D5AE9"/>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2025-05-08T16:13:12Z</dcterms:created>
  <dcterms:modified xsi:type="dcterms:W3CDTF">2025-05-08T16:13:12Z</dcterms:modified>
</cp:coreProperties>
</file>