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December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13"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1-15461</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MATRIX SERVICE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73-1352174</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40" w:space="720"/>
            <w:col w:w="37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3"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3, 2012 there were 27,888,217 shares of the Company’s common stock, $0.01 par value per share, issued and 25,719,932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80" w:type="dxa"/>
            <w:vAlign w:val="bottom"/>
            <w:gridSpan w:val="9"/>
            <w:vMerge w:val="restart"/>
          </w:tcPr>
          <w:p>
            <w:pPr>
              <w:jc w:val="center"/>
              <w:ind w:right="2160"/>
              <w:spacing w:after="0"/>
              <w:rPr>
                <w:sz w:val="20"/>
                <w:szCs w:val="20"/>
                <w:color w:val="auto"/>
              </w:rPr>
            </w:pPr>
            <w:r>
              <w:rPr>
                <w:rFonts w:ascii="Arial" w:cs="Arial" w:eastAsia="Arial" w:hAnsi="Arial"/>
                <w:sz w:val="18"/>
                <w:szCs w:val="18"/>
                <w:b w:val="1"/>
                <w:bCs w:val="1"/>
                <w:color w:val="auto"/>
              </w:rPr>
              <w:t>FINANCIAL INFORMATION</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gridSpan w:val="9"/>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Income for the Three and Six Months Ended December 31, 2011 and 2010</w:t>
              </w:r>
            </w:hyperlink>
          </w:p>
        </w:tc>
        <w:tc>
          <w:tcPr>
            <w:tcW w:w="14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31, 2011 and June 30, 2011</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Six Months Ended December 31, 2011 and 2010</w:t>
              </w:r>
            </w:hyperlink>
          </w:p>
        </w:tc>
        <w:tc>
          <w:tcPr>
            <w:tcW w:w="188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Changes in Stockholders’ Equity and Comprehensive Income for the Six Months Ended</w:t>
              </w:r>
            </w:hyperlink>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December 31, 2011 and 2010</w:t>
              </w:r>
            </w:hyperlink>
          </w:p>
        </w:tc>
        <w:tc>
          <w:tcPr>
            <w:tcW w:w="718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8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18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3"/>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gridSpan w:val="9"/>
          </w:tcPr>
          <w:p>
            <w:pPr>
              <w:jc w:val="center"/>
              <w:ind w:right="2160"/>
              <w:spacing w:after="0"/>
              <w:rPr>
                <w:sz w:val="20"/>
                <w:szCs w:val="20"/>
                <w:color w:val="auto"/>
              </w:rPr>
            </w:pPr>
            <w:r>
              <w:rPr>
                <w:rFonts w:ascii="Arial" w:cs="Arial" w:eastAsia="Arial" w:hAnsi="Arial"/>
                <w:sz w:val="18"/>
                <w:szCs w:val="18"/>
                <w:b w:val="1"/>
                <w:bCs w:val="1"/>
                <w:color w:val="auto"/>
              </w:rPr>
              <w:t>OTHER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18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24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Mine Safety Disclosures</w:t>
              </w:r>
            </w:hyperlink>
          </w:p>
        </w:tc>
        <w:tc>
          <w:tcPr>
            <w:tcW w:w="774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20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w:t>
              </w:r>
            </w:hyperlink>
          </w:p>
        </w:tc>
        <w:tc>
          <w:tcPr>
            <w:tcW w:w="936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200,964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175,252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370,285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revenues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177,866</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155,484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329,094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291,620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23,098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11,898</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23,381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323"/>
        </w:trPr>
        <w:tc>
          <w:tcPr>
            <w:tcW w:w="5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28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11,338</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8,527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16,998</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state and foreign income taxes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7,031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5,287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10,540</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22"/>
        </w:trPr>
        <w:tc>
          <w:tcPr>
            <w:tcW w:w="52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7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25,819</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26,400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26,111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26,584</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59,357</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 less allowances(December 31, 2011 - $1,457 and June 30, 2011 - $1,428)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103,483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5,607</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221,283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215,550</w:t>
            </w: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28,287</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55,272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Transportation equipment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21,690</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15,442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128,233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123,156</w:t>
            </w: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(74,138)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(69,845)</w:t>
            </w:r>
          </w:p>
        </w:tc>
      </w:tr>
      <w:tr>
        <w:trPr>
          <w:trHeight w:val="221"/>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29,058</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315,598</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306,436</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31,816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insurance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wages and benefits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13,331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106,304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100,176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Acquisition payable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112,981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106,765</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2"/>
              </w:rPr>
              <w:t>Common stock - $.01 par value; 60,000,000 shares authorized; 27,888,217 shares issued as of December 31, 2011, and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June 30, 2011</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114,913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110,771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226,678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215,632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Less: Treasury stock, at cost – 2,169,927 shares as of December 31, 2011, and 1,417,539 shares as of June 30, 2011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(24,061)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(15,961)</w:t>
            </w: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202,617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199,671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315,598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306,436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10,540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5,738</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Loss (gain) on sale of property, plant and equipment</w:t>
            </w: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uncollectible accounts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(12,241)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(16,474)</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(1,561)</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12,565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(3,669)</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(2,059)</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cash used by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(5,828)</w:t>
            </w:r>
          </w:p>
        </w:tc>
        <w:tc>
          <w:tcPr>
            <w:tcW w:w="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80" w:type="dxa"/>
            <w:vAlign w:val="bottom"/>
            <w:gridSpan w:val="2"/>
          </w:tcPr>
          <w:p>
            <w:pPr>
              <w:spacing w:after="0"/>
              <w:rPr>
                <w:sz w:val="20"/>
                <w:szCs w:val="20"/>
                <w:color w:val="auto"/>
              </w:rPr>
            </w:pPr>
            <w:r>
              <w:rPr>
                <w:rFonts w:ascii="Arial" w:cs="Arial" w:eastAsia="Arial" w:hAnsi="Arial"/>
                <w:sz w:val="18"/>
                <w:szCs w:val="18"/>
                <w:color w:val="auto"/>
              </w:rPr>
              <w:t>Acquisition of property, plant and equipment</w:t>
            </w:r>
          </w:p>
        </w:tc>
        <w:tc>
          <w:tcPr>
            <w:tcW w:w="18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(6,759)</w:t>
            </w:r>
          </w:p>
        </w:tc>
        <w:tc>
          <w:tcPr>
            <w:tcW w:w="24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cash used by investing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(6,582)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Issuances of common stock</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Tax benefit of exercised stock options</w:t>
            </w:r>
          </w:p>
        </w:tc>
        <w:tc>
          <w:tcPr>
            <w:tcW w:w="16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amendment fees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Treasury shares purchased by Employee Stock Purchase Plan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(8,126)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treasury share purchases</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323"/>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(21,915)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59,357</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43,684</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3,640</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and Comprehensive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Retained</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Earnings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Income(Loss)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June 30, 2011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$113,686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100,231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(15,961)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10,540</w:t>
            </w:r>
          </w:p>
        </w:tc>
        <w:tc>
          <w:tcPr>
            <w:tcW w:w="3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(15,400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Tax effect of exercised stock options and the vesting of deferred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shares (161,222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Employee Stock Purchase Plan share purchase (2,636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 (886,503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treasury share purchases (45,143 shares)</w:t>
            </w:r>
          </w:p>
        </w:tc>
        <w:tc>
          <w:tcPr>
            <w:tcW w:w="10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Balances, December 31, 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279</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114,913</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110,771</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(24,061)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715</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Balances, June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279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$111,637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(16,078)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495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$177,585</w:t>
            </w:r>
          </w:p>
        </w:tc>
        <w:tc>
          <w:tcPr>
            <w:tcW w:w="0" w:type="dxa"/>
            <w:vAlign w:val="bottom"/>
          </w:tcPr>
          <w:p>
            <w:pPr>
              <w:spacing w:after="0"/>
              <w:rPr>
                <w:sz w:val="1"/>
                <w:szCs w:val="1"/>
                <w:color w:val="auto"/>
              </w:rPr>
            </w:pPr>
          </w:p>
        </w:tc>
      </w:tr>
      <w:tr>
        <w:trPr>
          <w:trHeight w:val="322"/>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8,376</w:t>
            </w:r>
          </w:p>
        </w:tc>
        <w:tc>
          <w:tcPr>
            <w:tcW w:w="3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756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(12,900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Tax effect of exercised stock options and the vesting of deferred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shares (91,749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Treasury share purchases (27,715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Balances, December 31,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279</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112,328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89,625</w:t>
            </w:r>
          </w:p>
        </w:tc>
        <w:tc>
          <w:tcPr>
            <w:tcW w:w="3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(16,072)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$ 187,411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condensed consolidated financial statements include the accounts of Matrix Service Company (“Matrix Service”, “we”, “our”, “us”, “its” or the “Company”) and its subsidiaries, all of which are wholly owned. Intercompany balances and transactions have been eliminated in consolidation.</w:t>
      </w:r>
    </w:p>
    <w:p>
      <w:pPr>
        <w:spacing w:after="0" w:line="85"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for the interim periods.</w:t>
      </w:r>
    </w:p>
    <w:p>
      <w:pPr>
        <w:spacing w:after="0" w:line="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accompanying condensed financial statements should be read in conjunction with the audited financial statements for the year ended June 30, 2011, included in the Company’s Annual Report on Form 10-K for the year then ended. The Company’s business is cyclical due to the scope and timing of projects released by its customer base. Planned maintenance projects at customer facilities are typically scheduled in the spring and the fall when the demand for energy is lower. As a result, quarterly operating results in the Repair and Maintenance Services segment can fluctuate materially. The Construction Services segment typically has a lower level of operating activity during the winter months and early in the calendar year because many of our customers’ capital budgets have been spent and new capital budgets have not been finalized. Our business can also be affected by seasonal weather conditions including hurricanes, snowstorms, abnormally low or high temperatures or other inclement weather, which can result in reduced activities. Accordingly, results for any interim period may not necessarily be indicative of future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Statements of Financial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No. 2011-05, “Comprehensive Income: Presentation of Comprehensive Income” (“ASU 2011-05”). ASU 2011-05 eliminates the option to present the components of other comprehensive income as part of the statement of stockholders’ equity. ASU 2011-05 requires that comprehensive income be reported in either a single contiguous statement of comprehensive income which contains two sections, net income and other comprehensive income, or in two separate but consecutive statements. This new guidance is to be applied retrospectively. The provisions of ASU 2011-05 are effective for interim and annual periods beginning after December 15, 2011; therefore, the Company will adopt ASU 2011-05 in the third quarter of fiscal 2012. We do not believe ASU 2011-05 will impact the Company’s financial position or results of operations, as it only requires a change in the format of the current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2011, the FASB issued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participation, including the employer’s contributions to significant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also does not change the recognition, measurement or disclosure requirements for obligations related to an actual or potential withdrawal from a multiemployer plan. These obligations continue to be accounted for under ASC-450, Contingencies. Under ASC 450, if an obligation due to withdrawal from a multiemployer plan is probable and reasonably estimable, the recognition of a liability and disclosure of the contingency is required. If an obligation due to withdrawal from a multiemployer plan is reasonably possible, disclosure of the contingency is required.</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ASU 2011-09 is effective for fiscal years ending after December 15, 2011, with early adoption permitted. The Company is currently gathering the necessary information and will include the required disclosures in its annual report beginning with the annual report for the twelve months ended June 30, 2012. We do not believe ASU 2011-09 will impact the Company’s financial position or results of operations, as it is only requiring additional disclosures regarding the Company’s participation in multiemployer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00" w:type="dxa"/>
            <w:vAlign w:val="bottom"/>
            <w:gridSpan w:val="3"/>
          </w:tcPr>
          <w:p>
            <w:pPr>
              <w:ind w:left="60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incurred and estimated earnings recognized on uncompleted contracts</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708,504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583,334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Billings on uncompleted contracts</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683,790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Presented as:</w:t>
            </w: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Costs and estimated earnings in excess of billings on uncompleted contracts</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w w:val="97"/>
              </w:rPr>
              <w:t>Billings on uncompleted contracts in excess of costs and estimated earnings</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Progress billings in accounts receivable at December 31, 2011 and June 30, 2011 included retentions to be collected within one year of $15.3 million and $13.9 million, respectively. Contract retentions collectible beyond one year totaled $3.1 million at December 31, 2011 and $0.9 million at June 30, 2011.</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1"/>
              </w:rPr>
              <w:t>Repair and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Construction</w:t>
            </w:r>
          </w:p>
        </w:tc>
        <w:tc>
          <w:tcPr>
            <w:tcW w:w="54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Maintenance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Services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3"/>
              </w:rPr>
              <w:t>Services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5"/>
          </w:tcPr>
          <w:p>
            <w:pPr>
              <w:jc w:val="right"/>
              <w:ind w:right="220"/>
              <w:spacing w:after="0" w:line="142" w:lineRule="exact"/>
              <w:rPr>
                <w:sz w:val="20"/>
                <w:szCs w:val="20"/>
                <w:color w:val="auto"/>
              </w:rPr>
            </w:pPr>
            <w:r>
              <w:rPr>
                <w:rFonts w:ascii="Arial" w:cs="Arial" w:eastAsia="Arial" w:hAnsi="Arial"/>
                <w:sz w:val="14"/>
                <w:szCs w:val="14"/>
                <w:color w:val="auto"/>
              </w:rPr>
              <w:t>(In thousands)</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760" w:type="dxa"/>
            <w:vAlign w:val="bottom"/>
            <w:gridSpan w:val="3"/>
          </w:tcPr>
          <w:p>
            <w:pPr>
              <w:jc w:val="center"/>
              <w:ind w:left="1552"/>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33,010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21,048</w:t>
            </w:r>
          </w:p>
        </w:tc>
        <w:tc>
          <w:tcPr>
            <w:tcW w:w="160" w:type="dxa"/>
            <w:vAlign w:val="bottom"/>
          </w:tcPr>
          <w:p>
            <w:pPr>
              <w:spacing w:after="0"/>
              <w:rPr>
                <w:sz w:val="18"/>
                <w:szCs w:val="18"/>
                <w:color w:val="auto"/>
              </w:rPr>
            </w:pPr>
          </w:p>
        </w:tc>
        <w:tc>
          <w:tcPr>
            <w:tcW w:w="1180" w:type="dxa"/>
            <w:vAlign w:val="bottom"/>
            <w:gridSpan w:val="5"/>
          </w:tcPr>
          <w:p>
            <w:pPr>
              <w:jc w:val="right"/>
              <w:ind w:right="32"/>
              <w:spacing w:after="0"/>
              <w:rPr>
                <w:sz w:val="20"/>
                <w:szCs w:val="20"/>
                <w:color w:val="auto"/>
              </w:rPr>
            </w:pPr>
            <w:r>
              <w:rPr>
                <w:rFonts w:ascii="Arial" w:cs="Arial" w:eastAsia="Arial" w:hAnsi="Arial"/>
                <w:sz w:val="18"/>
                <w:szCs w:val="18"/>
                <w:color w:val="auto"/>
              </w:rPr>
              <w:t>$ 54,058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impairment loss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8,010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21,048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8"/>
                <w:szCs w:val="18"/>
                <w:color w:val="auto"/>
                <w:w w:val="98"/>
              </w:rPr>
              <w:t>29,058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60" w:type="dxa"/>
            <w:vAlign w:val="bottom"/>
            <w:vMerge w:val="restart"/>
          </w:tcPr>
          <w:p>
            <w:pPr>
              <w:spacing w:after="0"/>
              <w:rPr>
                <w:sz w:val="20"/>
                <w:szCs w:val="20"/>
                <w:color w:val="auto"/>
              </w:rPr>
            </w:pPr>
            <w:r>
              <w:rPr>
                <w:rFonts w:ascii="Arial" w:cs="Arial" w:eastAsia="Arial" w:hAnsi="Arial"/>
                <w:sz w:val="18"/>
                <w:szCs w:val="18"/>
                <w:color w:val="auto"/>
              </w:rPr>
              <w:t>Net balance at December 31, 2011</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1760" w:type="dxa"/>
            <w:vAlign w:val="bottom"/>
            <w:gridSpan w:val="3"/>
          </w:tcPr>
          <w:p>
            <w:pPr>
              <w:jc w:val="center"/>
              <w:ind w:left="1552"/>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8,010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20,895</w:t>
            </w:r>
          </w:p>
        </w:tc>
        <w:tc>
          <w:tcPr>
            <w:tcW w:w="160" w:type="dxa"/>
            <w:vAlign w:val="bottom"/>
          </w:tcPr>
          <w:p>
            <w:pPr>
              <w:spacing w:after="0"/>
              <w:rPr>
                <w:sz w:val="19"/>
                <w:szCs w:val="19"/>
                <w:color w:val="auto"/>
              </w:rPr>
            </w:pPr>
          </w:p>
        </w:tc>
        <w:tc>
          <w:tcPr>
            <w:tcW w:w="1180" w:type="dxa"/>
            <w:vAlign w:val="bottom"/>
            <w:gridSpan w:val="5"/>
          </w:tcPr>
          <w:p>
            <w:pPr>
              <w:jc w:val="right"/>
              <w:ind w:right="32"/>
              <w:spacing w:after="0"/>
              <w:rPr>
                <w:sz w:val="20"/>
                <w:szCs w:val="20"/>
                <w:color w:val="auto"/>
              </w:rPr>
            </w:pPr>
            <w:r>
              <w:rPr>
                <w:rFonts w:ascii="Arial" w:cs="Arial" w:eastAsia="Arial" w:hAnsi="Arial"/>
                <w:sz w:val="18"/>
                <w:szCs w:val="18"/>
                <w:color w:val="auto"/>
              </w:rPr>
              <w:t>$ 28,905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Other Intangible Assets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8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gridSpan w:val="3"/>
          </w:tcPr>
          <w:p>
            <w:pPr>
              <w:spacing w:after="0"/>
              <w:rPr>
                <w:sz w:val="20"/>
                <w:szCs w:val="20"/>
                <w:color w:val="auto"/>
              </w:rPr>
            </w:pPr>
            <w:r>
              <w:rPr>
                <w:rFonts w:ascii="Arial" w:cs="Arial" w:eastAsia="Arial" w:hAnsi="Arial"/>
                <w:sz w:val="18"/>
                <w:szCs w:val="18"/>
                <w:color w:val="auto"/>
                <w:w w:val="93"/>
              </w:rPr>
              <w:t>Information on the carrying value of other intangible assets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10"/>
          </w:tcPr>
          <w:p>
            <w:pPr>
              <w:jc w:val="center"/>
              <w:ind w:right="720"/>
              <w:spacing w:after="0"/>
              <w:rPr>
                <w:sz w:val="20"/>
                <w:szCs w:val="20"/>
                <w:color w:val="auto"/>
              </w:rPr>
            </w:pPr>
            <w:r>
              <w:rPr>
                <w:rFonts w:ascii="Arial" w:cs="Arial" w:eastAsia="Arial" w:hAnsi="Arial"/>
                <w:sz w:val="14"/>
                <w:szCs w:val="14"/>
                <w:b w:val="1"/>
                <w:bCs w:val="1"/>
                <w:color w:val="auto"/>
                <w:w w:val="87"/>
              </w:rPr>
              <w:t>At December 31,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jc w:val="center"/>
              <w:ind w:right="12"/>
              <w:spacing w:after="0" w:line="129" w:lineRule="exact"/>
              <w:rPr>
                <w:sz w:val="20"/>
                <w:szCs w:val="20"/>
                <w:color w:val="auto"/>
              </w:rPr>
            </w:pPr>
            <w:r>
              <w:rPr>
                <w:rFonts w:ascii="Arial" w:cs="Arial" w:eastAsia="Arial" w:hAnsi="Arial"/>
                <w:sz w:val="14"/>
                <w:szCs w:val="14"/>
                <w:b w:val="1"/>
                <w:bCs w:val="1"/>
                <w:color w:val="auto"/>
                <w:w w:val="83"/>
              </w:rPr>
              <w:t>Gross</w:t>
            </w: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Carrying</w:t>
            </w:r>
          </w:p>
        </w:tc>
        <w:tc>
          <w:tcPr>
            <w:tcW w:w="480" w:type="dxa"/>
            <w:vAlign w:val="bottom"/>
          </w:tcPr>
          <w:p>
            <w:pPr>
              <w:spacing w:after="0"/>
              <w:rPr>
                <w:sz w:val="12"/>
                <w:szCs w:val="12"/>
                <w:color w:val="auto"/>
              </w:rPr>
            </w:pPr>
          </w:p>
        </w:tc>
        <w:tc>
          <w:tcPr>
            <w:tcW w:w="8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80" w:type="dxa"/>
            <w:vAlign w:val="bottom"/>
          </w:tcPr>
          <w:p>
            <w:pPr>
              <w:spacing w:after="0"/>
              <w:rPr>
                <w:sz w:val="12"/>
                <w:szCs w:val="12"/>
                <w:color w:val="auto"/>
              </w:rPr>
            </w:pPr>
          </w:p>
        </w:tc>
        <w:tc>
          <w:tcPr>
            <w:tcW w:w="6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Useful Life</w:t>
            </w:r>
          </w:p>
        </w:tc>
        <w:tc>
          <w:tcPr>
            <w:tcW w:w="6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4"/>
                <w:szCs w:val="14"/>
                <w:color w:val="auto"/>
              </w:rPr>
            </w:pPr>
          </w:p>
        </w:tc>
        <w:tc>
          <w:tcPr>
            <w:tcW w:w="8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Amortization</w:t>
            </w:r>
          </w:p>
        </w:tc>
        <w:tc>
          <w:tcPr>
            <w:tcW w:w="480" w:type="dxa"/>
            <w:vAlign w:val="bottom"/>
          </w:tcPr>
          <w:p>
            <w:pPr>
              <w:spacing w:after="0"/>
              <w:rPr>
                <w:sz w:val="14"/>
                <w:szCs w:val="14"/>
                <w:color w:val="auto"/>
              </w:rPr>
            </w:pPr>
          </w:p>
        </w:tc>
        <w:tc>
          <w:tcPr>
            <w:tcW w:w="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7"/>
              </w:rPr>
              <w:t>(Years)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color w:val="auto"/>
                <w:w w:val="87"/>
              </w:rPr>
              <w:t>(In thousands)</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87"/>
              </w:rPr>
              <w:t>6 to 15</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$ 2,460</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Customer based</w:t>
            </w:r>
          </w:p>
        </w:tc>
        <w:tc>
          <w:tcPr>
            <w:tcW w:w="1360" w:type="dxa"/>
            <w:vAlign w:val="bottom"/>
          </w:tcPr>
          <w:p>
            <w:pPr>
              <w:spacing w:after="0"/>
              <w:rPr>
                <w:sz w:val="18"/>
                <w:szCs w:val="18"/>
                <w:color w:val="auto"/>
              </w:rPr>
            </w:pPr>
          </w:p>
        </w:tc>
        <w:tc>
          <w:tcPr>
            <w:tcW w:w="114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1 to 15</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2,657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88"/>
              </w:rPr>
              <w:t>3 to 5</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547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amortizing intangibles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5,664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93"/>
              </w:rPr>
              <w:t>Indefinite</w:t>
            </w: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intangible assets</w:t>
            </w: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$ 7,534</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$ 6,727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vMerge w:val="restart"/>
          </w:tcPr>
          <w:p>
            <w:pPr>
              <w:jc w:val="right"/>
              <w:ind w:right="83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At June 30, 2011</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Useful Life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(Years)</w:t>
            </w:r>
          </w:p>
        </w:tc>
        <w:tc>
          <w:tcPr>
            <w:tcW w:w="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6 to 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$ 2,460</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based</w:t>
            </w: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1 to 15</w:t>
            </w:r>
          </w:p>
        </w:tc>
        <w:tc>
          <w:tcPr>
            <w:tcW w:w="540" w:type="dxa"/>
            <w:vAlign w:val="bottom"/>
          </w:tcPr>
          <w:p>
            <w:pPr>
              <w:jc w:val="right"/>
              <w:spacing w:after="0"/>
              <w:rPr>
                <w:sz w:val="20"/>
                <w:szCs w:val="20"/>
                <w:color w:val="auto"/>
              </w:rPr>
            </w:pPr>
            <w:r>
              <w:rPr>
                <w:rFonts w:ascii="Arial" w:cs="Arial" w:eastAsia="Arial" w:hAnsi="Arial"/>
                <w:sz w:val="18"/>
                <w:szCs w:val="18"/>
                <w:color w:val="auto"/>
              </w:rPr>
              <w:t>2,657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3 to 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5,664</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1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3"/>
              </w:rPr>
              <w:t>Indefinite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$ 7,534</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Amortization expense totaled $0.2 million in the first six months of fiscal 2012 and $0.1 million in the same period of fiscal 2011. Amortization expense is expected to be $0.4 million annually in fiscal years 2012 to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November 7, 2011, the Company entered into the Third Amended and Restated Credit Agreement (the “Credit Agreement”), by and among the Company, JPMorgan Chase Bank, N.A., as Administrative Agent, Lender and Issuing Bank, and the other Lenders party thereto, which replaces the Second Amended and Restated Credit Agreement dated as of November 30, 2006, as amended. The Credit Agreement provides for a five-year senior secured revolving credit facility of $125.0 million, and may be used for working capital, issuance of letters of credit and other lawful corporate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as defined in the agreement, of less than 2.50 to 1.00.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59" w:lineRule="exact"/>
        <w:rPr>
          <w:rFonts w:ascii="Arial" w:cs="Arial" w:eastAsia="Arial" w:hAnsi="Arial"/>
          <w:sz w:val="18"/>
          <w:szCs w:val="18"/>
          <w:color w:val="auto"/>
        </w:rPr>
      </w:pPr>
    </w:p>
    <w:p>
      <w:pPr>
        <w:ind w:left="900" w:right="10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Toronto Branch as its reference rate in effect on such day for determining interest rates for Canadian Dollar denominated commercial loans in Canada and commonly known as the “prime rate” and (ii) the CDOR Rate plus 1.0%.</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December 31, 2011, Consolidated EBITDA was $49.4 million. Accordingly, at December 31, 2011, Consolidated Funded Indebtedness in excess of $123.5 million would have violated the Senior Leverage Ratio covenant.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80" w:type="dxa"/>
            <w:vAlign w:val="bottom"/>
            <w:gridSpan w:val="3"/>
          </w:tcPr>
          <w:p>
            <w:pPr>
              <w:ind w:left="148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2011</w:t>
            </w:r>
          </w:p>
        </w:tc>
        <w:tc>
          <w:tcPr>
            <w:tcW w:w="11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3"/>
          </w:tcPr>
          <w:p>
            <w:pPr>
              <w:jc w:val="right"/>
              <w:ind w:right="47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Capacity constraint due to the Senior Leverage Ratio</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123,525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Letters of credit issued</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the senior credit facility</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115,972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67,516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that the assets will be recovered.</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continually reviews exposure to additional income taxes due, and as further information is known or events occur, adjustments may be recorded.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coverage limits and self-insured retentions. As of December 31, 2011 and June 30, 2011, the Company recorded insurance reserves totaling $7.3 million and $7.5 million, respectively. These amounts represent our best estimate of our ultimate obligations for asserted claims, insurance premium obligations and claims incurred but not yet reported.</w:t>
      </w:r>
    </w:p>
    <w:p>
      <w:pPr>
        <w:spacing w:after="0" w:line="143"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insurance policies or surety bonds for specific customers or provide letters of credit in lieu of bonds to satisfy performance and financial guarantees on some projects. Matrix Service maintains a performance and payment bonding line sufficient to support the business.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Costs and estimated earnings in excess of billings on uncompleted contracts included revenues for claims related to unapproved change orders of $5.6 million and $5.1 million at December 31, 2011 and June 30, 2011, respectively. Generally, collection of amounts related to claims on unapproved change orders is expected within twelve months. However, customers may not pay these amounts until final resolution of related claims, and accordingly, collection of these amounts may extend beyond one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Claims Receivable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continues to pursue collection of certain claim receivables acquired in connection with the purchase of S.M. Electric Company, Inc. in February 2009. In September 2011, we received $1.5 million as settlement for a portion of these claims. The settlement amount approximated the book value of the receivable; therefore, no gain or loss was recognized. The recorded value at December 31, 2011 of $0.7 million represents the Company’s best estimate of the remaining amount to be collected. The remaining claim receivable of $0.7 million and related trade receivables totaling $2.8 million will not be collected until the claim is resolved and will require mediation or litigation for successful recovery. The ultimate amount realized may be significantly different than the recorded amounts resulting in a material adjustment to future 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and its subsidiaries are named as defendants in various other legal actions. It is the opinion of management that none of the known legal actions will have a material impact on the Company’s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consisted of foreign currency translation adjustments.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2011</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ind w:left="560"/>
              <w:spacing w:after="0" w:line="142" w:lineRule="exact"/>
              <w:rPr>
                <w:sz w:val="20"/>
                <w:szCs w:val="20"/>
                <w:color w:val="auto"/>
              </w:rPr>
            </w:pPr>
            <w:r>
              <w:rPr>
                <w:rFonts w:ascii="Arial" w:cs="Arial" w:eastAsia="Arial" w:hAnsi="Arial"/>
                <w:sz w:val="14"/>
                <w:szCs w:val="14"/>
                <w:color w:val="auto"/>
                <w:w w:val="98"/>
              </w:rPr>
              <w:t>(In thousands)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10,540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9,819</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Common Share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8"/>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ind w:left="44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(In thousands, except per share data)</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7,031</w:t>
            </w:r>
          </w:p>
        </w:tc>
        <w:tc>
          <w:tcPr>
            <w:tcW w:w="78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5,287</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10,540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26,400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40" w:type="dxa"/>
            <w:vAlign w:val="bottom"/>
            <w:gridSpan w:val="2"/>
          </w:tcPr>
          <w:p>
            <w:pPr>
              <w:ind w:left="460"/>
              <w:spacing w:after="0"/>
              <w:rPr>
                <w:sz w:val="20"/>
                <w:szCs w:val="20"/>
                <w:color w:val="auto"/>
              </w:rPr>
            </w:pPr>
            <w:r>
              <w:rPr>
                <w:rFonts w:ascii="Arial" w:cs="Arial" w:eastAsia="Arial" w:hAnsi="Arial"/>
                <w:sz w:val="18"/>
                <w:szCs w:val="18"/>
                <w:color w:val="auto"/>
              </w:rPr>
              <w:t>Basic EPS</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78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0.40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25,819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26,400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26,110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Dilutive stock options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Dilutive nonvested deferred shares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26,628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40" w:type="dxa"/>
            <w:vAlign w:val="bottom"/>
            <w:gridSpan w:val="2"/>
          </w:tcPr>
          <w:p>
            <w:pPr>
              <w:ind w:left="460"/>
              <w:spacing w:after="0"/>
              <w:rPr>
                <w:sz w:val="20"/>
                <w:szCs w:val="20"/>
                <w:color w:val="auto"/>
              </w:rPr>
            </w:pPr>
            <w:r>
              <w:rPr>
                <w:rFonts w:ascii="Arial" w:cs="Arial" w:eastAsia="Arial" w:hAnsi="Arial"/>
                <w:sz w:val="18"/>
                <w:szCs w:val="18"/>
                <w:color w:val="auto"/>
              </w:rPr>
              <w:t>Diluted EPS</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78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0.40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560" w:type="dxa"/>
            <w:vAlign w:val="bottom"/>
            <w:gridSpan w:val="13"/>
          </w:tcPr>
          <w:p>
            <w:pPr>
              <w:jc w:val="right"/>
              <w:ind w:right="600"/>
              <w:spacing w:after="0"/>
              <w:rPr>
                <w:sz w:val="20"/>
                <w:szCs w:val="20"/>
                <w:color w:val="auto"/>
              </w:rPr>
            </w:pPr>
            <w:r>
              <w:rPr>
                <w:rFonts w:ascii="Arial" w:cs="Arial" w:eastAsia="Arial" w:hAnsi="Arial"/>
                <w:sz w:val="18"/>
                <w:szCs w:val="18"/>
                <w:color w:val="auto"/>
                <w:w w:val="89"/>
              </w:rPr>
              <w:t>The following securities are considered antidilutive and have been excluded from the calculation of Diluted EPS: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8"/>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ind w:left="420"/>
              <w:spacing w:after="0"/>
              <w:rPr>
                <w:sz w:val="20"/>
                <w:szCs w:val="20"/>
                <w:color w:val="auto"/>
              </w:rPr>
            </w:pPr>
            <w:r>
              <w:rPr>
                <w:rFonts w:ascii="Arial" w:cs="Arial" w:eastAsia="Arial" w:hAnsi="Arial"/>
                <w:sz w:val="14"/>
                <w:szCs w:val="14"/>
                <w:b w:val="1"/>
                <w:bCs w:val="1"/>
                <w:color w:val="auto"/>
                <w:w w:val="90"/>
              </w:rPr>
              <w:t>Six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920" w:type="dxa"/>
            <w:vAlign w:val="bottom"/>
            <w:tcBorders>
              <w:top w:val="single" w:sz="8" w:color="auto"/>
            </w:tcBorders>
            <w:gridSpan w:val="5"/>
          </w:tcPr>
          <w:p>
            <w:pPr>
              <w:jc w:val="right"/>
              <w:ind w:right="14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gridSpan w:val="2"/>
          </w:tcPr>
          <w:p>
            <w:pPr>
              <w:spacing w:after="0"/>
              <w:rPr>
                <w:sz w:val="11"/>
                <w:szCs w:val="11"/>
                <w:color w:val="auto"/>
              </w:rPr>
            </w:pPr>
          </w:p>
        </w:tc>
        <w:tc>
          <w:tcPr>
            <w:tcW w:w="11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tcPr>
          <w:p>
            <w:pPr>
              <w:ind w:left="58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Nonvested deferred shares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80" w:type="dxa"/>
            <w:vAlign w:val="bottom"/>
            <w:gridSpan w:val="4"/>
          </w:tcPr>
          <w:p>
            <w:pPr>
              <w:jc w:val="right"/>
              <w:ind w:right="378"/>
              <w:spacing w:after="0"/>
              <w:rPr>
                <w:sz w:val="20"/>
                <w:szCs w:val="20"/>
                <w:color w:val="auto"/>
              </w:rPr>
            </w:pPr>
            <w:r>
              <w:rPr>
                <w:rFonts w:ascii="Arial" w:cs="Arial" w:eastAsia="Arial" w:hAnsi="Arial"/>
                <w:sz w:val="18"/>
                <w:szCs w:val="18"/>
                <w:color w:val="auto"/>
                <w:w w:val="93"/>
              </w:rPr>
              <w:t>-13-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reportable segments, the Construction Services segment and the Repair and Maintenance Services segment.</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primary services of our Construction Services segment are aboveground storage tanks for the bulk storage/terminal industry, capital construction for the downstream petroleum industry, specialty construction, and electrical/instrumentation services for various industries. These services, including civil/structural, mechanical, piping, electrical and instrumentation, millwrighting, and fabrication, are provided for projects of varying complexities, schedule durations, and budgets. Our project experience includes renovations, retrofits, modifications and expansions to existing facilities as well as construction of new facilities.</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services of our Repair and Maintenance Services segment are aboveground storage tank repair and maintenance services including tank inspection, cleaning and ASME code repairs, planned major and routine maintenance for the downstream petroleum industry and electrical and instrumentation repair and maintenance.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consists of capital expenditures that relate to corporate assets as well as the corporate asset balances.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4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8"/>
              </w:rPr>
              <w:t>Repair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Construction</w:t>
            </w:r>
          </w:p>
        </w:tc>
        <w:tc>
          <w:tcPr>
            <w:tcW w:w="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Maintenance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December 31, 2011</w:t>
            </w:r>
          </w:p>
        </w:tc>
        <w:tc>
          <w:tcPr>
            <w:tcW w:w="3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revenues</w:t>
            </w:r>
          </w:p>
        </w:tc>
        <w:tc>
          <w:tcPr>
            <w:tcW w:w="3120" w:type="dxa"/>
            <w:vAlign w:val="bottom"/>
            <w:gridSpan w:val="2"/>
          </w:tcPr>
          <w:p>
            <w:pPr>
              <w:ind w:left="30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122,532</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$204,608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3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118,898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82,066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163,654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104,170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47,774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December 31, 2010</w:t>
            </w: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31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107,886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105,604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12,815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Segment assets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141,477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290,945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891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December 31, 2011</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revenues</w:t>
            </w:r>
          </w:p>
        </w:tc>
        <w:tc>
          <w:tcPr>
            <w:tcW w:w="3120" w:type="dxa"/>
            <w:vAlign w:val="bottom"/>
            <w:gridSpan w:val="2"/>
          </w:tcPr>
          <w:p>
            <w:pPr>
              <w:ind w:left="30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225,397</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152,098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$377,495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3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218,495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151,790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370,285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163,654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104,170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47,774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December 31, 2010</w:t>
            </w: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31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207,506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124,286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123,972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Segment assets</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141,477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101,964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290,945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0" w:type="dxa"/>
            <w:vAlign w:val="bottom"/>
          </w:tcPr>
          <w:p>
            <w:pPr>
              <w:jc w:val="right"/>
              <w:ind w:right="137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 from external customers by market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Repair and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Maintenance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w w:val="79"/>
              </w:rPr>
              <w:t>Services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December 31, 2011</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Aboveground Storage Tanks</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55,090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28,435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Downstream Petroleum</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Electrical and Instrumentation</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24,836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3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118,898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82,066</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December 31, 2010</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Aboveground Storage Tanks</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49,545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21,868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Downstream Petroleum</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22,648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Electrical and Instrumentation</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27,385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19,394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3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105,604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69,648</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December 31, 2011</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Aboveground Storage Tanks</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113,744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Downstream Petroleum</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Electrical and Instrumentation</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39,875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3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218,495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151,790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December 31, 2010</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Aboveground Storage Tanks</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90,325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43,100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Downstream Petroleum</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Electrical and Instrumentation</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57,307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30,080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3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ind w:left="39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203,118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123,972</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327,090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60" w:type="dxa"/>
            <w:vAlign w:val="bottom"/>
            <w:vMerge w:val="restart"/>
          </w:tcPr>
          <w:p>
            <w:pPr>
              <w:jc w:val="right"/>
              <w:ind w:right="233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There have been no material changes in our critical accounting policies from those reported in our fiscal 2011 Annual Report on Form 10-K filed with the SEC. For more information on our critical accounting policies, see Part II, Item 7 of our fiscal 2011 Annual Report on Form 10-K. The following section provides certain information with respect to our critical accounting estimates as of the close of our most recent quarterly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claims related to unapproved change orders of $5.6 million and $5.1 million at December 31, 2011 and June 30, 2011, respectively. The amounts ultimately realized may be significantly different than the recorded amounts resulting in a material adjustment to future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Claims Receivable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continues to pursue collection of certain claim receivables acquired in connection with the purchase of S.M. Electric Company, Inc. in February 2009. In September 2011, we received $1.5 million as settlement for a portion of these claims. The settlement amount approximated the book value of the receivable; therefore, no gain or loss was recognized. The recorded value at December 31, 2011 of $0.7 million represents the Company’s best estimate of the remaining amount to be collected. The remaining claim receivable of $0.7 million and related trade receivables totaling $2.8 million will not be collected until the claim is resolved and will require mediation or litigation for successful recovery. The ultimate amount realized may be significantly different than the recorded amounts resulting in a material adjustment to future 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As of December 31, 2011 and June 30, 2011, the Company recorded insurance reserves totaling $7.3 million and $7.5 million, respectively. These amounts represent our best estimate of our ultimate obligations for asserted claims, insurance premium obligations and claims incurred but not yet reported. We establish reserves for claims using a combination of actuarially determined estimates and case-by-case evaluations of the underlying claim data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has three significant reporting units with goodwill representing 55%, 15% and 14% of the total goodwill balance. Our most recent annual goodwill impairment test, performed in the fourth quarter of fiscal 2011, indicated that the fair value of these reporting units exceeded their respective carrying values by 26%, 94% and 82%, respectively. Based on the excess of estimated fair value over carrying value for all our reporting units and the absence of any indicators of impairment at December 31, 2011, the Company does not currently anticipate recording a goodwill impairment charge.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No. 2011-05, “Comprehensive Income: Presentation of Comprehensive Income” (“ASU 2011-05”). ASU 2011-05 eliminates the option to present the components of other comprehensive income as part of the statement of stockholders’ equity. ASU 2011-05 requires that comprehensive income be reported in either a single contiguous statement of comprehensive income which contains two sections, net income and other comprehensive income, or in two separate but consecutive statements. This new guidance is to be applied retrospectively. The provisions of ASU 2011-05 are effective for interim and annual periods beginning after December 15, 2011; therefore, the Company will adopt ASU 2011-05 in the third quarter of fiscal 2012. We do not believe ASU 2011-05 will impact the Company’s financial position or results of operations, as it only requires a change in the format of the current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2011, the FASB issued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participation, including the employer’s contributions to significant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also does not change the recognition, measurement or disclosure requirements for obligations related to an actual or potential withdrawal from a mulltiemployer plan. These obligations continue to be accounted for under ASC-450, Contingencies. Under ASC 450, if an obligation due to withdrawal from a multiemployer plan is probable and reasonably estimable, the recognition of a liability and disclosure of the contingency is required. If an obligation due to withdrawal from a multiemployer plan is reasonably possible, disclosure of the contingency is required.</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ASU 2011-09 is effective for fiscal years ending after December 15, 2011, with early adoption permitted. The Company is currently gathering the necessary information and will include the required disclosures in its annual report for the twelve months ended June 30, 2012. We do not believe ASU 2011-09 will impact the Company’s financial position or results of operations, as it is only requiring additional disclosures regarding the Company’s participation in multiemployer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two reportable segments, Construction Services and Repair and Maintenance Services. The majority of the work for both segments is performed in the United States with 7.9% of revenues generated in Canada during the first six months of fiscal 2012 compared to 5.2% in the same period a year earlier.</w:t>
      </w:r>
    </w:p>
    <w:p>
      <w:pPr>
        <w:spacing w:after="0" w:line="1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primary services of our Construction Services segment are aboveground storage tanks for the bulk storage/terminal industry, capital construction for the downstream petroleum industry, specialty construction, and electrical/instrumentation services for various industries. These services, including civil/structural, mechanical, piping, electrical and instrumentation, millwrighting, and fabrication, are provided for projects of varying complexities, schedule durations, and budgets. Our project experience includes renovations, retrofits, modifications and expansions to existing facilities as well as construction of new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primary services of our Repair and Maintenance Services segment are aboveground storage tank repair and maintenance services including tank inspection, cleaning and ASME code repairs, planned major and routine maintenance for the downstream petroleum industry and electrical and instrumentation repair and maintenance.</w:t>
      </w:r>
    </w:p>
    <w:p>
      <w:pPr>
        <w:spacing w:after="0" w:line="215" w:lineRule="exact"/>
        <w:rPr>
          <w:sz w:val="20"/>
          <w:szCs w:val="20"/>
          <w:color w:val="auto"/>
        </w:rPr>
      </w:pPr>
    </w:p>
    <w:p>
      <w:pPr>
        <w:ind w:right="3960"/>
        <w:spacing w:after="0" w:line="347" w:lineRule="auto"/>
        <w:rPr>
          <w:sz w:val="20"/>
          <w:szCs w:val="20"/>
          <w:color w:val="auto"/>
        </w:rPr>
      </w:pPr>
      <w:r>
        <w:rPr>
          <w:rFonts w:ascii="Arial" w:cs="Arial" w:eastAsia="Arial" w:hAnsi="Arial"/>
          <w:sz w:val="18"/>
          <w:szCs w:val="18"/>
          <w:b w:val="1"/>
          <w:bCs w:val="1"/>
          <w:color w:val="auto"/>
        </w:rPr>
        <w:t xml:space="preserve">Three Months Ended December 31, 2011 Compared to the Three Months Ended December 31, 2010 </w:t>
      </w:r>
      <w:r>
        <w:rPr>
          <w:rFonts w:ascii="Arial" w:cs="Arial" w:eastAsia="Arial" w:hAnsi="Arial"/>
          <w:sz w:val="18"/>
          <w:szCs w:val="18"/>
          <w:b w:val="1"/>
          <w:bCs w:val="1"/>
          <w:i w:val="1"/>
          <w:iCs w:val="1"/>
          <w:color w:val="auto"/>
        </w:rPr>
        <w:t>Consolidated</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revenues were $201.0 million for the three months ended December 31, 2011, an increase of $25.7 million, or 14.7%, from consolidated revenues of $175.3 million in the same period in the prior fiscal year. The increase in consolidated revenues was a result of an increase of $13.3 million in Construction Services revenues and an increase of $12.4 million in Repair and Maintenance Services revenues.</w:t>
      </w:r>
    </w:p>
    <w:p>
      <w:pPr>
        <w:spacing w:after="0" w:line="14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Consolidated gross profit increased from $19.8 million in the three months ended December 31, 2010 to $23.1 million in the three months ended December 31, 2011. The increase of $3.3 million, or 16.7%, was primarily due to higher revenues. Gross margins increased to 11.5% in the three months ended December 31, 2011 from 11.3% in the same period a year earlier.</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Consolidated SG&amp;A expenses were $11.9 million in the three months ended December 31, 2011 compared to $11.1 million in the same period a year earlier. The increase of $0.8 million, or 7.2%, was primarily related to higher operating costs in the second quarter of fiscal 2012 due to increased business volumes and strategic initiatives, partially offset by lower legal costs. SG&amp;A expense as a percentage of revenue decreased to 5.9% in the three months ended December 31, 2011 compared to 6.4% in the same period in the prior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the three months ended December 31, 2011 and December 31, 2010.</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Other income in the three months ended December 31, 2011 and 2010 was $0.3 million and $0.1 million, respectively, and related primarily to foreign currency transaction gains.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was 38.0% for the three months ended December 31,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Services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Revenues for the Construction Services segment were $118.9 million in the three months ended December 31, 2011, compared with $105.6 million in the same period a year earlier. The increase of $13.3 million, or 12.6%, was due to higher Downstream Petroleum revenues which increased to $33.3 million in the three months ended December 31, 2011 compared to $22.6 million in the same period a year earlier and higher Aboveground Storage Tank revenues which increased to $55.1 million in the three months ended December 31, 2011 compared to $49.5 million in the same period a year earlier. This increase was partially offset by lower Electrical and Instrumentation revenues, which decreased to $24.8 million in the second quarter of fiscal 2012, compared to $27.4 million in the second quarter of fiscal 2011 and lower Specialty revenues, which decreased to $5.7 million in the three months ended December 31, 2011, compared to $6.0 million in the same period a year earlier.</w:t>
      </w:r>
    </w:p>
    <w:p>
      <w:pPr>
        <w:spacing w:after="0" w:line="11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Gross profit increased to $13.6 million in the three months ended December 31, 2011 compared to $12.8 million in the three months ended December 31, 2010. The increase of $0.8 million, or 6.3%, was due to higher revenues, partially offset by the effect of lower gross margins which decreased to 11.4% in the second quarter of fiscal 2012 compared to 12.1% in the same period a year earlier.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Repair and Maintenance Services</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Revenues for the Repair and Maintenance Services segment were $82.1 million in the three months ended December 31, 2011, compared with $69.7 million in the same period a year earlier. The increase of $12.4 million, or 17.8%, was due to higher Aboveground Storage Tank revenues, which increased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$28.4 million in the second quarter of fiscal 2012 compared to $21.9 million in the second quarter of fiscal 2011, higher Downstream Petroleum revenues, which increased to $31.3 million in the three months ended December 31, 2011 compared to $28.4 million in the same period a year earlier, and higher Electrical and Instrumentation revenues, which increased to $22.4 million in the three months ended December 31, 2011, compared to $19.4 million in the same period a year earlier.</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increased to $9.5 million in the three months ended December 31, 2011 from $7.0 million in the three months ended December 31, 2010. The increase of $2.5 million, or 35.7%, was due to higher revenues combined with higher gross margins which increased to 11.6% in the second quarter of fiscal 2012 compared to 10.0% in the same period a year earlier. The increase in gross margins was primarily due to higher levels of storm restoration work in the current fiscal year.</w:t>
      </w:r>
    </w:p>
    <w:p>
      <w:pPr>
        <w:spacing w:after="0" w:line="218" w:lineRule="exact"/>
        <w:rPr>
          <w:sz w:val="20"/>
          <w:szCs w:val="20"/>
          <w:color w:val="auto"/>
        </w:rPr>
      </w:pPr>
    </w:p>
    <w:p>
      <w:pPr>
        <w:ind w:right="4340"/>
        <w:spacing w:after="0" w:line="347" w:lineRule="auto"/>
        <w:rPr>
          <w:sz w:val="20"/>
          <w:szCs w:val="20"/>
          <w:color w:val="auto"/>
        </w:rPr>
      </w:pPr>
      <w:r>
        <w:rPr>
          <w:rFonts w:ascii="Arial" w:cs="Arial" w:eastAsia="Arial" w:hAnsi="Arial"/>
          <w:sz w:val="18"/>
          <w:szCs w:val="18"/>
          <w:b w:val="1"/>
          <w:bCs w:val="1"/>
          <w:color w:val="auto"/>
        </w:rPr>
        <w:t xml:space="preserve">Six Months Ended December 31, 2011 Compared to the Six Months Ended December 31, 2010 </w:t>
      </w:r>
      <w:r>
        <w:rPr>
          <w:rFonts w:ascii="Arial" w:cs="Arial" w:eastAsia="Arial" w:hAnsi="Arial"/>
          <w:sz w:val="18"/>
          <w:szCs w:val="18"/>
          <w:b w:val="1"/>
          <w:bCs w:val="1"/>
          <w:i w:val="1"/>
          <w:iCs w:val="1"/>
          <w:color w:val="auto"/>
        </w:rPr>
        <w:t>Consolidated</w:t>
      </w:r>
    </w:p>
    <w:p>
      <w:pPr>
        <w:spacing w:after="0" w:line="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Consolidated revenues were $370.3 million for the six months ended December 31, 2011, an increase of $43.2 million, or 13.2%, from consolidated revenues of $327.1 million in the same period a year earlier. The increase in consolidated revenues was a result of increases of $27.8 million in Repair and Maintenance Services revenues and $15.4 million in Construction Services revenues.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increased from $35.5 million in the six months ended December 31, 2010 to $41.2 million in the six months ended December 31,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increase of $5.7 million, or 16.1%, was primarily due to higher revenues and slightly higher gross margins which increased to 11.1% in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compared to 10.8% in the same period a year earlier.</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Consolidated SG&amp;A expenses were $23.4 million in the six months ended December 31, 2011 compared to $21.7 million in the same period a year earlier. The increase of $1.7 million, or 7.8%, was primarily due to higher operating costs in fiscal 2012 related to increased business volumes, strategic initiatives and a non-routine stock compensation charge, partially offset by lower legal costs as fiscal 2011 included costs related to a fraud investigation discussed in our previous filings. SG&amp;A expense as a percentage of revenue decreased to 6.3% in the six months ended December 31, 2011 compared to 6.6% in the same period in the prior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$0.4 million in the six months ended December 31, 2011 and $0.3 million in the same period a year earlier.</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Other expense in the six months ended December 31, 2011 was $0.4 million and related primarily to foreign currency transaction losses. The six months ended December 31, 2010 had other income of $0.1 million, which related primarily to foreign currency transaction gains.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was 38.0% for the six months ended December 31,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Services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for the Construction Services segment were $218.5 million in the six months ended December 31, 2011, compared with $203.1 million in the same period a year earlier. The increase of $15.4 million, or 7.6%, was due to higher Aboveground Storage Tank revenues which increased to $113.7 million in the six months ended December 31, 2011 compared to $90.3 million in the six months ended December 31, 2010 and higher Downstream Petroleum revenues which increased to $52.9 million in the six months ended December 31, 2011 compared to $43.6 million in the same period a year earlier, partially offset by lower Electrical and Instrumentation revenues, which were $40.0 million in the six months ended December 31, 2011, compared to $57.3 million in the same period a year earlier. Specialty revenues were unchanged at $11.9 million.</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increased to $24.5 million in the six months ended December 31, 2011 compared to $24.2 million in the six months ended December 31, 2010. The increase of $0.3 million, or 1.2%, was due to higher revenues, partially offset by the effect of lower gross margins which decreased to 11.2% in the six months ended December 31, 2011 compared to 11.9% in the same period a year earlier.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Repair and Maintenance Services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Revenues for the Repair and Maintenance Services segment were $151.8 million in the six months ended December 31, 2011, compared with $124.0 million in the same period a year earlier. The increase of $27.8 million, or 22.4%, was due to higher Aboveground Storage Tank revenues, which increased to $53.0 million in the six months ended December 31, 2011 compared to $43.1 million in the six months ended December 31, 2010, higher Downstream Petroleum revenues, which increased to $63.2 million in the six months ended December 31, 2011 compared to $50.8 million in the same period a year earlier, and higher Electrical and Instrumentation revenues which increased to $35.6 million in the current fiscal year compared to $30.1 million in the same period a year earlier.</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increased to $16.7 million in the six months ended December 31, 2011 from $11.3 million in the six months ended December 31, 2010. The increase of $5.4 million, or 47.8%, was due to higher revenues combined with higher gross margins which increased to 11.0% in the six months ended December 31, 2011 compared to 9.1% in the same period a year earlier. The increase in gross margins was primarily due to higher levels of storm restoration work in the current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define backlog as the total dollar amount of revenues that we expect to recognize as a result of performing work that has been awarded to us through a signed contract that we consider firm. The following contract types are considered firm:</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contracts in which the estimated contract value is firm or can be estimated with a reasonable amount of certainty in both timing and amounts.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long-term maintenance contracts we include only the amounts that we expect to recognize into revenue over the next 12 months. For all other arrangements, we calculate backlog as the estimated contract amount less the revenue recognized as of the reporting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Repair and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8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Maintenance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Services</w:t>
            </w:r>
          </w:p>
        </w:tc>
        <w:tc>
          <w:tcPr>
            <w:tcW w:w="2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color w:val="auto"/>
                <w:w w:val="87"/>
              </w:rPr>
              <w:t>(In thousands)</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Backlog as of September 30,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251,132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175,468</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$ 426,600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awards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132,328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75,616</w:t>
            </w:r>
          </w:p>
        </w:tc>
        <w:tc>
          <w:tcPr>
            <w:tcW w:w="3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207,944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(118,898)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(82,066)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(200,964)</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Backlog as of December 31, 2011</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264,562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169,018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$ 433,580</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At December 31, 2011 the Construction Services segment had a backlog of $264.6 million, as compared to a backlog of $251.1 million as of September 30, 2011. The increase of $13.5 million is due to increases in Aboveground Storage Tank of $18.7 million and Downstream Petroleum of $0.1 million, partially offset by decreases in Electrical and Instrumentation of $3.1 million and Specialty of $2.2 million. The backlog at December 31, 2011 and September 30, 2011 for the Repair and Maintenance Services segment was $169.0 million and $175.5 million, respectively. The decrease of $6.5 million is due to decreases in Aboveground Storage Tank of $5.7 million and Downstream Petroleum of $2.8 million, partially offset by an increase in Electrical and Instrumentation of $2.0 million.</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Repair and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8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Maintenance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Services</w:t>
            </w:r>
          </w:p>
        </w:tc>
        <w:tc>
          <w:tcPr>
            <w:tcW w:w="2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5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color w:val="auto"/>
                <w:w w:val="87"/>
              </w:rPr>
              <w:t>(In thousands)</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Backlog as of June 30,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225,733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179,385</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$ 405,118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awards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257,324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141,423</w:t>
            </w:r>
          </w:p>
        </w:tc>
        <w:tc>
          <w:tcPr>
            <w:tcW w:w="3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398,747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(218,495)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(151,790)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(370,285)</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Backlog as of December 31, 2011</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264,562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169,018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$ 433,580</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December 31, 2011 the Construction Services segment had a backlog of $264.6 million, as compared to a backlog of $225.7 million as of June 30, 2011. The increase of $38.9 million is due to increases in Electrical and Instrumentation of $21.7 million, Aboveground Storage Tank of $12.8 million, Downstream Petroleum of $2.4 million and Specialty of $2.0 million. The backlog at December 31, 2011 and June 30, 2011 for the Repair and Maintenance Services segment was $169.0 million and $179.4 million, respectively. The decrease of $10.4 million is due to the decreases in Aboveground Storage Tank of $3.9 million, Electrical and Instrumentation of $3.6 million and Downstream Petroleum of $2.9 million.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27" w:lineRule="exact"/>
        <w:rPr>
          <w:sz w:val="20"/>
          <w:szCs w:val="20"/>
          <w:color w:val="auto"/>
        </w:rPr>
      </w:pPr>
    </w:p>
    <w:p>
      <w:pPr>
        <w:ind w:left="90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5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w w:val="87"/>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right"/>
              <w:ind w:right="32"/>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5,287</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11,449</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60" w:type="dxa"/>
            <w:vAlign w:val="bottom"/>
            <w:gridSpan w:val="2"/>
          </w:tcPr>
          <w:p>
            <w:pPr>
              <w:jc w:val="right"/>
              <w:ind w:right="112"/>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six months ended December 31, 2011 was cash generated from operations and cash on hand at the beginning of the year. Cash on hand at December 31, 2011 totaled $37.4 million and availability under the senior revolving credit facility totaled $116.0 million resulting in total liquidity at December 31, 2011 of $153.4 million. We expect to fund our operations for the next twelve months through the use of cash generated from operations and existing cash balances. However, there can be no assurance that we will achieve our forecasted cash flow, which could result in borrowings under our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terms that determine the timing of billings to customers and the collection of those billings</w:t>
      </w:r>
    </w:p>
    <w:p>
      <w:pPr>
        <w:spacing w:after="0" w:line="9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businesses, finance acquisitions or to optimize our balance sheet in order to improve or maintain our financial flexibility. We may also elect to issue term debt or increase the amount of our revolving credit facility. We will continue to evaluate our working capital requirements and other factors to maintain sufficient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Six Months Ended December 31,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Operating activities used $5.8 million of cash in the six months ended December 31, 2011 due to increased business activity resulting in higher working capital balances, largely offset by cash generated from profitable operating results. The cash effect of significant changes in working capital include the following:</w:t>
      </w:r>
    </w:p>
    <w:p>
      <w:pPr>
        <w:spacing w:after="0" w:line="4" w:lineRule="exact"/>
        <w:rPr>
          <w:sz w:val="20"/>
          <w:szCs w:val="20"/>
          <w:color w:val="auto"/>
        </w:rPr>
      </w:pPr>
    </w:p>
    <w:p>
      <w:pPr>
        <w:jc w:val="both"/>
        <w:ind w:left="900" w:right="2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net change in the combined balances of costs and estimated earnings in excess of billings on uncompleted contracts and billings on uncompleted contracts in excess of costs and estimated earnings caused an increase in operating assets and liabilities and a decrease to cash of $20.1 million in the first six months of fiscal 2012. This change was primarily attributable to the combination of less favorable billing terms in the Aboveground Storage Tank and a higher volume of time and material work in the Electrical and Instrumentation market.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by $12.2 million. The accounts receivable increase is due to a higher level of business. The rate of cash collections and the overall aging of our accounts receivable remained within historical norms.</w:t>
      </w:r>
    </w:p>
    <w:p>
      <w:pPr>
        <w:spacing w:after="0" w:line="5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increased by $12.6 million. The increase was primarily due to the increase in business activity and timing of material and subcontract expenditures in the first six months of fiscal 2012.</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Accrued expenses decreased by $2.1 million. The decrease was primarily due to the payment of fiscal 2011 employee incentives, partially offset by the timing of income tax 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Investing activities used $6.6 million of cash in the six months ended December 31, 2011 due to capital expenditures of $6.8 million, partially offset by proceeds from asset dispositions of $0.2 million. Capital expenditures included $4.3 million for the purchase of construction equipment, $1.4 million for transportation equipment, $1.0 million for office equipment and software and $0.1 million for land and buildings.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Financing activities used $9.2 million of cash in the six months ended December 31, 2011 primarily due to the purchase of 886,503 shares of common stock under the Company’s stock buyback program in the amount of $8.1 million and the payment of fees relating to the expansion of our credit facility of $0.6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November 7, 2011, the Company entered into the Third Amended and Restated Credit Agreement (the “Credit Agreement”), by and among the Company, JPMorgan Chase Bank, N.A., as Administrative Agent, Lender and Issuing Bank, and the other Lenders party thereto, which replaces the Second Amended and Restated Credit Agreement dated as of November 30, 2006, as previously amended. The Credit Agreement provides for a five-year senior secured revolving credit facility of $125.0 million, which replaces the $75.0 million senior revolving credit facility under the Prior Credit Agreement. The New Credit Agreement may be used for working capital, issuance of letters of credit and other lawful corporate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as defined in the agreement, of less than 2.50 to 1.00.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5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New Credit Agreement includes additional margin ranges on Alternate Base Rate loans between 0.75% and 1.5% and between 1.75% and 2.5% on LIBOR-based loans.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89"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commonly known as the “prime rate” and (ii) the CDOR Rate plus 1.0%.</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Unused Credit Facility Fee is between 0.30% and 0.45% based on the Senior Leverage Ratio.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factors the Board of Directors may deem relevant.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 The Company purchased 886,503 shares under this stock buyback program at an average price of $9.17 during the first six months of fiscal 2012. These shares were returned to the Company’s pool of treasury shares. We may purchase up to an additional 2,113,497 shares through the end of calendar year 2012 if sufficient liquidity exists and we believe that it is in the best interest of the stockholders.</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Service withheld 45,143 shares in the six months ended December 31, 2011 to satisfy these obligations. These shares were returned to the Company’s pool of treasury shares.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2,169,927 treasury shares as of December 31, 2011 and intends to utilize these treasury shares solely in connection with equity awards under the Company’s stock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Electrical infrastructure is a key focus area for us. High voltage power, substations, transmission and distribution in the northeast corridor along with targeted expansion in the Midwest, West Coast and Eastern Canada represent high growth areas for our business. In addition, our ability to offer storm restoration services on a broader geographic basis will be integral to our growth in this sector. Aging infrastructure, interconnect needs, automation upgrades and general maintenance presents a long-term opportunity for our business. We expect that retirement of certain coal fired generating stations and heightened concerns associated with nuclear power, combined with abundant shale gas resources will create an expansion of the domestic gas powered electric generation fleet. We expect that opportunities associated with these projects will provide a significant source of revenue growth.</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oil, gas and chemical business consisting of refinery turnaround, maintenance and repair, and construction projects stemming from shale energy development will be an area of continued expansion. We also expect to expand our market presence in industrial cleaning through strategic investments over the next three to five years. Further we expect continued organic growth in the balance of this business by leveraging our current operations and services.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North American storage business will continue to be a core element of our business. All lines in this business, including AST new tank construction, maintenance and repair, as well as specialty vessels are anticipated to provide consistent year over year growth with higher expected growth in our Canadian operations. Recently, our Western Canada office, which operates in the Alberta Oil Sands Region, was awarded a $34 million tank package which strengthens our market position in this region. While our market position in Cushing continues to be very strong, we expect that over 50% of our current and future tank business will be located in other regions across North America.</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industrial businesses including mining and metals, material handling and other industrial project services represent fairly new business lines within our portfolio. The mining and metals market throughout the Western United States and Canada is expected to provide a growing portion of our portfolio over the long term. Our material handling business acquired in May 2011 is beginning to create opportunities for the Company in this market.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and nature of future revenues and margins from our Construction Services and Repair and Maintenance Services segments;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and other development trends of the industries we serve;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generate sufficient cash from operations or to raise cash in order to meet our short and long-term capital requirements;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perception of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62" w:lineRule="exact"/>
        <w:rPr>
          <w:sz w:val="20"/>
          <w:szCs w:val="20"/>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2011 and listed from time to time in our filings with the Securities and Exchange Commission;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and power industries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to or effects on us or our business operations. We assume no obligation to update publicly, except as required by law, any such forward-looking statements, whether as a result of new information, future events or otherwise.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There have been no material changes in market risk faced by us from those reported in our Annual Report on Form 10-K for the fiscal year ended June 30, 2011, filed with the Securities and Exchange Commission. For more information on market risk, see Part II, Item 7A in our fiscal 2011 Annual Report on Form 10-K.</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2011. Based on the foregoing, our Chief Executive Officer and Chief Financial Officer concluded that our disclosure controls and procedures were effective at the reasonable assurance level at December 31, 2011.</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or financial condition.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There were no material changes in our Risk Factors from those reported in Item IA of Part I of our Annual Report on Form 10-K for the fiscal year ended June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2012.</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Total Number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Shares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That</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Part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May Yet Be</w:t>
            </w:r>
          </w:p>
        </w:tc>
      </w:t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Publicly</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Purchased</w:t>
            </w:r>
          </w:p>
        </w:tc>
      </w:tr>
      <w:tr>
        <w:trPr>
          <w:trHeight w:val="149"/>
        </w:trPr>
        <w:tc>
          <w:tcPr>
            <w:tcW w:w="56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Announced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 the</w:t>
            </w:r>
          </w:p>
        </w:tc>
      </w:tr>
      <w:tr>
        <w:trPr>
          <w:trHeight w:val="149"/>
        </w:trPr>
        <w:tc>
          <w:tcPr>
            <w:tcW w:w="56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2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Paid</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Plans or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Plans</w:t>
            </w:r>
          </w:p>
        </w:tc>
      </w:tr>
      <w:tr>
        <w:trPr>
          <w:trHeight w:val="161"/>
        </w:trPr>
        <w:tc>
          <w:tcPr>
            <w:tcW w:w="560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Per Share</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Programs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or Programs</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October 1 to October 31, 2011</w:t>
            </w: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800" w:type="dxa"/>
            <w:vAlign w:val="bottom"/>
          </w:tcPr>
          <w:p>
            <w:pPr>
              <w:jc w:val="right"/>
              <w:spacing w:after="0"/>
              <w:rPr>
                <w:sz w:val="20"/>
                <w:szCs w:val="20"/>
                <w:color w:val="auto"/>
              </w:rPr>
            </w:pPr>
            <w:r>
              <w:rPr>
                <w:rFonts w:ascii="Arial" w:cs="Arial" w:eastAsia="Arial" w:hAnsi="Arial"/>
                <w:sz w:val="18"/>
                <w:szCs w:val="18"/>
                <w:color w:val="auto"/>
              </w:rPr>
              <w:t>166,507</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8.73</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166,507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2,316,405</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November 1 to November 30, 2011</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Repurchase Program (A)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135,917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2,180,488</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Employee Transactions (B)</w:t>
            </w:r>
          </w:p>
        </w:tc>
        <w:tc>
          <w:tcPr>
            <w:tcW w:w="800" w:type="dxa"/>
            <w:vAlign w:val="bottom"/>
          </w:tcPr>
          <w:p>
            <w:pPr>
              <w:jc w:val="right"/>
              <w:spacing w:after="0"/>
              <w:rPr>
                <w:sz w:val="20"/>
                <w:szCs w:val="20"/>
                <w:color w:val="auto"/>
              </w:rPr>
            </w:pPr>
            <w:r>
              <w:rPr>
                <w:rFonts w:ascii="Arial" w:cs="Arial" w:eastAsia="Arial" w:hAnsi="Arial"/>
                <w:sz w:val="18"/>
                <w:szCs w:val="18"/>
                <w:color w:val="auto"/>
              </w:rPr>
              <w:t>505</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10.79</w:t>
            </w:r>
          </w:p>
        </w:tc>
        <w:tc>
          <w:tcPr>
            <w:tcW w:w="5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1 to December 31, 2011</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800" w:type="dxa"/>
            <w:vAlign w:val="bottom"/>
          </w:tcPr>
          <w:p>
            <w:pPr>
              <w:jc w:val="right"/>
              <w:spacing w:after="0"/>
              <w:rPr>
                <w:sz w:val="20"/>
                <w:szCs w:val="20"/>
                <w:color w:val="auto"/>
              </w:rPr>
            </w:pPr>
            <w:r>
              <w:rPr>
                <w:rFonts w:ascii="Arial" w:cs="Arial" w:eastAsia="Arial" w:hAnsi="Arial"/>
                <w:sz w:val="18"/>
                <w:szCs w:val="18"/>
                <w:color w:val="auto"/>
              </w:rPr>
              <w:t>66,991</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8.73</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66,991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2,113,497</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4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 that was approved by our Board of Directors on February 4, 2009 that allows the Company to purchase up to 3,000,000 shares of common stock provided that such purchases do not exceed $25.0 million in any calendar year commencing in calendar year 2009 and continuing through calendar year 2012.</w:t>
      </w:r>
    </w:p>
    <w:p>
      <w:pPr>
        <w:ind w:left="460" w:right="4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never paid cash dividends on our common stock, and the terms of our Credit Agreement limits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factors the Board of Directors may deem relevant.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980" w:type="dxa"/>
            <w:vAlign w:val="bottom"/>
          </w:tcPr>
          <w:p>
            <w:pPr>
              <w:spacing w:after="0"/>
              <w:rPr>
                <w:sz w:val="20"/>
                <w:szCs w:val="20"/>
                <w:color w:val="auto"/>
              </w:rPr>
            </w:pPr>
            <w:r>
              <w:rPr>
                <w:rFonts w:ascii="Arial" w:cs="Arial" w:eastAsia="Arial" w:hAnsi="Arial"/>
                <w:sz w:val="18"/>
                <w:szCs w:val="18"/>
                <w:color w:val="auto"/>
              </w:rPr>
              <w:t>None</w:t>
            </w:r>
          </w:p>
        </w:tc>
        <w:tc>
          <w:tcPr>
            <w:tcW w:w="860" w:type="dxa"/>
            <w:vAlign w:val="bottom"/>
          </w:tcPr>
          <w:p>
            <w:pPr>
              <w:spacing w:after="0"/>
              <w:rPr>
                <w:sz w:val="24"/>
                <w:szCs w:val="24"/>
                <w:color w:val="auto"/>
              </w:rPr>
            </w:pPr>
          </w:p>
        </w:tc>
        <w:tc>
          <w:tcPr>
            <w:tcW w:w="9540" w:type="dxa"/>
            <w:vAlign w:val="bottom"/>
          </w:tcPr>
          <w:p>
            <w:pPr>
              <w:spacing w:after="0"/>
              <w:rPr>
                <w:sz w:val="24"/>
                <w:szCs w:val="24"/>
                <w:color w:val="auto"/>
              </w:rPr>
            </w:pPr>
          </w:p>
        </w:tc>
      </w:tr>
      <w:tr>
        <w:trPr>
          <w:trHeight w:val="500"/>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954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Exhibit 10:</w:t>
            </w:r>
          </w:p>
        </w:tc>
        <w:tc>
          <w:tcPr>
            <w:tcW w:w="86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Arial" w:cs="Arial" w:eastAsia="Arial" w:hAnsi="Arial"/>
                <w:sz w:val="18"/>
                <w:szCs w:val="18"/>
                <w:color w:val="auto"/>
                <w:w w:val="88"/>
              </w:rPr>
              <w:t>Third Amended and Restated Credit Agreement dated November 7, 2011 (Exhibit 10 to the Company’s Quarterly Report on Form 10-</w:t>
            </w:r>
          </w:p>
        </w:tc>
      </w:tr>
      <w:tr>
        <w:trPr>
          <w:trHeight w:val="222"/>
        </w:trPr>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540" w:type="dxa"/>
            <w:vAlign w:val="bottom"/>
          </w:tcPr>
          <w:p>
            <w:pPr>
              <w:ind w:left="120"/>
              <w:spacing w:after="0"/>
              <w:rPr>
                <w:sz w:val="20"/>
                <w:szCs w:val="20"/>
                <w:color w:val="auto"/>
              </w:rPr>
            </w:pPr>
            <w:r>
              <w:rPr>
                <w:rFonts w:ascii="Arial" w:cs="Arial" w:eastAsia="Arial" w:hAnsi="Arial"/>
                <w:sz w:val="18"/>
                <w:szCs w:val="18"/>
                <w:color w:val="auto"/>
              </w:rPr>
              <w:t>Q (File No. 1-15461), filed November 8, 2011, is hereby incorporated by reference).</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31.1:</w:t>
            </w:r>
          </w:p>
        </w:tc>
        <w:tc>
          <w:tcPr>
            <w:tcW w:w="86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31.2:</w:t>
            </w:r>
          </w:p>
        </w:tc>
        <w:tc>
          <w:tcPr>
            <w:tcW w:w="86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32.1:</w:t>
            </w:r>
          </w:p>
        </w:tc>
        <w:tc>
          <w:tcPr>
            <w:tcW w:w="86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w w:val="96"/>
              </w:rPr>
              <w:t>Exhibit 32.2:</w:t>
            </w:r>
          </w:p>
        </w:tc>
        <w:tc>
          <w:tcPr>
            <w:tcW w:w="86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95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9540" w:type="dxa"/>
            <w:vAlign w:val="bottom"/>
          </w:tcPr>
          <w:p>
            <w:pPr>
              <w:ind w:left="120"/>
              <w:spacing w:after="0"/>
              <w:rPr>
                <w:sz w:val="20"/>
                <w:szCs w:val="20"/>
                <w:color w:val="auto"/>
              </w:rPr>
            </w:pPr>
            <w:r>
              <w:rPr>
                <w:rFonts w:ascii="Arial" w:cs="Arial" w:eastAsia="Arial" w:hAnsi="Arial"/>
                <w:sz w:val="18"/>
                <w:szCs w:val="18"/>
                <w:color w:val="auto"/>
              </w:rPr>
              <w:t>XBRL Taxonomy Schema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95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95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9540" w:type="dxa"/>
            <w:vAlign w:val="bottom"/>
          </w:tcPr>
          <w:p>
            <w:pPr>
              <w:ind w:left="1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95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40" w:type="dxa"/>
            <w:vAlign w:val="bottom"/>
          </w:tcPr>
          <w:p>
            <w:pPr>
              <w:ind w:left="372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MATRIX SERVICE COMPANY</w:t>
      </w:r>
    </w:p>
    <w:p>
      <w:pPr>
        <w:spacing w:after="0" w:line="231" w:lineRule="exact"/>
        <w:rPr>
          <w:sz w:val="20"/>
          <w:szCs w:val="20"/>
          <w:color w:val="auto"/>
        </w:rPr>
      </w:pPr>
    </w:p>
    <w:p>
      <w:pPr>
        <w:spacing w:after="0"/>
        <w:tabs>
          <w:tab w:leader="none" w:pos="5900" w:val="left"/>
          <w:tab w:leader="none" w:pos="7800" w:val="left"/>
          <w:tab w:leader="none" w:pos="8140" w:val="left"/>
        </w:tabs>
        <w:rPr>
          <w:sz w:val="20"/>
          <w:szCs w:val="20"/>
          <w:color w:val="auto"/>
        </w:rPr>
      </w:pPr>
      <w:r>
        <w:rPr>
          <w:rFonts w:ascii="Arial" w:cs="Arial" w:eastAsia="Arial" w:hAnsi="Arial"/>
          <w:sz w:val="18"/>
          <w:szCs w:val="18"/>
          <w:color w:val="auto"/>
        </w:rPr>
        <w:t>Date: February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S. C</w:t>
      </w:r>
      <w:r>
        <w:rPr>
          <w:rFonts w:ascii="Arial" w:cs="Arial" w:eastAsia="Arial" w:hAnsi="Arial"/>
          <w:sz w:val="13"/>
          <w:szCs w:val="13"/>
          <w:color w:val="auto"/>
        </w:rPr>
        <w:t>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Kevin S. Cavanah,</w:t>
      </w:r>
    </w:p>
    <w:p>
      <w:pPr>
        <w:jc w:val="center"/>
        <w:ind w:left="6300"/>
        <w:spacing w:after="0" w:line="223" w:lineRule="auto"/>
        <w:rPr>
          <w:sz w:val="20"/>
          <w:szCs w:val="20"/>
          <w:color w:val="auto"/>
        </w:rPr>
      </w:pPr>
      <w:r>
        <w:rPr>
          <w:rFonts w:ascii="Arial" w:cs="Arial" w:eastAsia="Arial" w:hAnsi="Arial"/>
          <w:sz w:val="14"/>
          <w:szCs w:val="14"/>
          <w:b w:val="1"/>
          <w:bCs w:val="1"/>
          <w:color w:val="auto"/>
        </w:rPr>
        <w:t>Vice President and</w:t>
      </w:r>
    </w:p>
    <w:p>
      <w:pPr>
        <w:jc w:val="center"/>
        <w:ind w:left="6300"/>
        <w:spacing w:after="0" w:line="222" w:lineRule="auto"/>
        <w:rPr>
          <w:sz w:val="20"/>
          <w:szCs w:val="20"/>
          <w:color w:val="auto"/>
        </w:rPr>
      </w:pPr>
      <w:r>
        <w:rPr>
          <w:rFonts w:ascii="Arial" w:cs="Arial" w:eastAsia="Arial" w:hAnsi="Arial"/>
          <w:sz w:val="14"/>
          <w:szCs w:val="14"/>
          <w:b w:val="1"/>
          <w:bCs w:val="1"/>
          <w:color w:val="auto"/>
        </w:rPr>
        <w:t>Chief Financial Officer signing on behalf of the registrant and</w:t>
      </w:r>
    </w:p>
    <w:p>
      <w:pPr>
        <w:jc w:val="center"/>
        <w:ind w:left="63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459" w:right="7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r>
      <w:tr>
        <w:trPr>
          <w:trHeight w:val="431"/>
        </w:trPr>
        <w:tc>
          <w:tcPr>
            <w:tcW w:w="1620" w:type="dxa"/>
            <w:vAlign w:val="bottom"/>
          </w:tcPr>
          <w:p>
            <w:pPr>
              <w:spacing w:after="0"/>
              <w:rPr>
                <w:sz w:val="20"/>
                <w:szCs w:val="20"/>
                <w:color w:val="auto"/>
              </w:rPr>
            </w:pPr>
            <w:r>
              <w:rPr>
                <w:rFonts w:ascii="Arial" w:cs="Arial" w:eastAsia="Arial" w:hAnsi="Arial"/>
                <w:sz w:val="18"/>
                <w:szCs w:val="18"/>
                <w:color w:val="auto"/>
              </w:rPr>
              <w:t>Exhibit 10:</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w w:val="88"/>
              </w:rPr>
              <w:t>Third Amended and Restated Credit Agreement dated November 7, 2011 (Exhibit 10 to the Company’s Quarterly Report on Form 10-</w:t>
            </w:r>
          </w:p>
        </w:tc>
      </w:tr>
      <w:tr>
        <w:trPr>
          <w:trHeight w:val="222"/>
        </w:trPr>
        <w:tc>
          <w:tcPr>
            <w:tcW w:w="1620" w:type="dxa"/>
            <w:vAlign w:val="bottom"/>
          </w:tcPr>
          <w:p>
            <w:pPr>
              <w:spacing w:after="0"/>
              <w:rPr>
                <w:sz w:val="19"/>
                <w:szCs w:val="19"/>
                <w:color w:val="auto"/>
              </w:rPr>
            </w:pP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Q (File No. 1-15461), filed November 8, 2011, is hereby incorporated by reference).</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31.1:</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31.2:</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32.1:</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32.2:</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101.INS:</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101.SCH:</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XBRL Taxonomy Schema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101.CAL:</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101.DEF:</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101.LAB:</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Exhibit 101.PRE:</w:t>
            </w:r>
          </w:p>
        </w:tc>
        <w:tc>
          <w:tcPr>
            <w:tcW w:w="97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620" w:type="dxa"/>
            <w:vAlign w:val="bottom"/>
          </w:tcPr>
          <w:p>
            <w:pPr>
              <w:spacing w:after="0"/>
              <w:rPr>
                <w:sz w:val="24"/>
                <w:szCs w:val="24"/>
                <w:color w:val="auto"/>
              </w:rPr>
            </w:pPr>
          </w:p>
        </w:tc>
        <w:tc>
          <w:tcPr>
            <w:tcW w:w="4780" w:type="dxa"/>
            <w:vAlign w:val="bottom"/>
            <w:gridSpan w:val="2"/>
          </w:tcPr>
          <w:p>
            <w:pPr>
              <w:ind w:left="3940"/>
              <w:spacing w:after="0"/>
              <w:rPr>
                <w:sz w:val="20"/>
                <w:szCs w:val="20"/>
                <w:color w:val="auto"/>
              </w:rPr>
            </w:pPr>
            <w:r>
              <w:rPr>
                <w:rFonts w:ascii="Arial" w:cs="Arial" w:eastAsia="Arial" w:hAnsi="Arial"/>
                <w:sz w:val="18"/>
                <w:szCs w:val="18"/>
                <w:color w:val="auto"/>
              </w:rPr>
              <w:t>-32-</w:t>
            </w:r>
          </w:p>
        </w:tc>
        <w:tc>
          <w:tcPr>
            <w:tcW w:w="49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R. Hewitt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December 31, 2011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R. Hewitt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December 31, 2011 as filed with the Securities and Exchange Commission on the date hereof (the “Report”), I, Kevin S. Cavanah, Vice President, Finance and Chief Financial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2019-12-09T10:14:24Z</dcterms:created>
  <dcterms:modified xsi:type="dcterms:W3CDTF">2019-12-09T10:14:24Z</dcterms:modified>
</cp:coreProperties>
</file>