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22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4260" w:type="dxa"/>
            <w:vAlign w:val="bottom"/>
          </w:tcPr>
          <w:p>
            <w:pPr>
              <w:jc w:val="center"/>
              <w:ind w:left="2550"/>
              <w:spacing w:after="0"/>
              <w:rPr>
                <w:sz w:val="20"/>
                <w:szCs w:val="20"/>
                <w:color w:val="auto"/>
              </w:rPr>
            </w:pPr>
            <w:r>
              <w:rPr>
                <w:rFonts w:ascii="Arial" w:cs="Arial" w:eastAsia="Arial" w:hAnsi="Arial"/>
                <w:sz w:val="18"/>
                <w:szCs w:val="18"/>
                <w:b w:val="1"/>
                <w:bCs w:val="1"/>
                <w:color w:val="auto"/>
                <w:w w:val="99"/>
              </w:rPr>
              <w:t>UNITED STATES</w:t>
            </w:r>
          </w:p>
        </w:tc>
        <w:tc>
          <w:tcPr>
            <w:tcW w:w="11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rPr>
              <w:t>SECURITIES AND EXCHANGE COMMISSION</w:t>
            </w:r>
          </w:p>
        </w:tc>
      </w:tr>
      <w:tr>
        <w:trPr>
          <w:trHeight w:val="234"/>
        </w:trPr>
        <w:tc>
          <w:tcPr>
            <w:tcW w:w="1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w w:val="97"/>
              </w:rPr>
              <w:t>WASHINGTON, D.C. 20549</w:t>
            </w:r>
          </w:p>
        </w:tc>
      </w:tr>
      <w:tr>
        <w:trPr>
          <w:trHeight w:val="378"/>
        </w:trPr>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rPr>
              <w:t>SCHEDULE 14A INFORMATION</w:t>
            </w:r>
          </w:p>
        </w:tc>
      </w:tr>
      <w:tr>
        <w:trPr>
          <w:trHeight w:val="360"/>
        </w:trPr>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0" w:type="dxa"/>
            <w:vAlign w:val="bottom"/>
            <w:gridSpan w:val="2"/>
          </w:tcPr>
          <w:p>
            <w:pPr>
              <w:jc w:val="center"/>
              <w:ind w:left="1410"/>
              <w:spacing w:after="0"/>
              <w:rPr>
                <w:sz w:val="20"/>
                <w:szCs w:val="20"/>
                <w:color w:val="auto"/>
              </w:rPr>
            </w:pPr>
            <w:r>
              <w:rPr>
                <w:rFonts w:ascii="Arial" w:cs="Arial" w:eastAsia="Arial" w:hAnsi="Arial"/>
                <w:sz w:val="18"/>
                <w:szCs w:val="18"/>
                <w:b w:val="1"/>
                <w:bCs w:val="1"/>
                <w:color w:val="auto"/>
                <w:w w:val="89"/>
              </w:rPr>
              <w:t>Proxy Statement Pursuant to Section 14(a) of the</w:t>
            </w:r>
          </w:p>
        </w:tc>
      </w:tr>
      <w:tr>
        <w:trPr>
          <w:trHeight w:val="216"/>
        </w:trPr>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0" w:type="dxa"/>
            <w:vAlign w:val="bottom"/>
            <w:gridSpan w:val="2"/>
          </w:tcPr>
          <w:p>
            <w:pPr>
              <w:jc w:val="center"/>
              <w:ind w:left="1410"/>
              <w:spacing w:after="0"/>
              <w:rPr>
                <w:sz w:val="20"/>
                <w:szCs w:val="20"/>
                <w:color w:val="auto"/>
              </w:rPr>
            </w:pPr>
            <w:r>
              <w:rPr>
                <w:rFonts w:ascii="Arial" w:cs="Arial" w:eastAsia="Arial" w:hAnsi="Arial"/>
                <w:sz w:val="18"/>
                <w:szCs w:val="18"/>
                <w:b w:val="1"/>
                <w:bCs w:val="1"/>
                <w:color w:val="auto"/>
                <w:w w:val="88"/>
              </w:rPr>
              <w:t>Securities Exchange Act of 1934</w:t>
            </w:r>
          </w:p>
        </w:tc>
      </w:tr>
      <w:tr>
        <w:trPr>
          <w:trHeight w:val="234"/>
        </w:trPr>
        <w:tc>
          <w:tcPr>
            <w:tcW w:w="1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60" w:type="dxa"/>
            <w:vAlign w:val="bottom"/>
          </w:tcPr>
          <w:p>
            <w:pPr>
              <w:ind w:left="2480"/>
              <w:spacing w:after="0"/>
              <w:rPr>
                <w:sz w:val="20"/>
                <w:szCs w:val="20"/>
                <w:color w:val="auto"/>
              </w:rPr>
            </w:pPr>
            <w:r>
              <w:rPr>
                <w:rFonts w:ascii="Arial" w:cs="Arial" w:eastAsia="Arial" w:hAnsi="Arial"/>
                <w:sz w:val="18"/>
                <w:szCs w:val="18"/>
                <w:b w:val="1"/>
                <w:bCs w:val="1"/>
                <w:color w:val="auto"/>
              </w:rPr>
              <w:t>(Amendment No.</w:t>
            </w:r>
          </w:p>
        </w:tc>
        <w:tc>
          <w:tcPr>
            <w:tcW w:w="1140" w:type="dxa"/>
            <w:vAlign w:val="bottom"/>
          </w:tcPr>
          <w:p>
            <w:pPr>
              <w:jc w:val="right"/>
              <w:ind w:right="870"/>
              <w:spacing w:after="0"/>
              <w:rPr>
                <w:sz w:val="20"/>
                <w:szCs w:val="20"/>
                <w:color w:val="auto"/>
              </w:rPr>
            </w:pPr>
            <w:r>
              <w:rPr>
                <w:rFonts w:ascii="Arial" w:cs="Arial" w:eastAsia="Arial" w:hAnsi="Arial"/>
                <w:sz w:val="18"/>
                <w:szCs w:val="18"/>
                <w:b w:val="1"/>
                <w:bCs w:val="1"/>
                <w:color w:val="auto"/>
              </w:rPr>
              <w:t>)</w:t>
            </w:r>
          </w:p>
        </w:tc>
      </w:tr>
      <w:tr>
        <w:trPr>
          <w:trHeight w:val="398"/>
        </w:trPr>
        <w:tc>
          <w:tcPr>
            <w:tcW w:w="226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4260" w:type="dxa"/>
            <w:vAlign w:val="bottom"/>
          </w:tcPr>
          <w:p>
            <w:pPr>
              <w:ind w:left="28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c>
          <w:tcPr>
            <w:tcW w:w="1140" w:type="dxa"/>
            <w:vAlign w:val="bottom"/>
          </w:tcPr>
          <w:p>
            <w:pPr>
              <w:spacing w:after="0"/>
              <w:rPr>
                <w:sz w:val="24"/>
                <w:szCs w:val="24"/>
                <w:color w:val="auto"/>
              </w:rPr>
            </w:pPr>
          </w:p>
        </w:tc>
      </w:tr>
      <w:tr>
        <w:trPr>
          <w:trHeight w:val="358"/>
        </w:trPr>
        <w:tc>
          <w:tcPr>
            <w:tcW w:w="2260" w:type="dxa"/>
            <w:vAlign w:val="bottom"/>
            <w:gridSpan w:val="2"/>
          </w:tcPr>
          <w:p>
            <w:pPr>
              <w:spacing w:after="0"/>
              <w:rPr>
                <w:sz w:val="20"/>
                <w:szCs w:val="20"/>
                <w:color w:val="auto"/>
              </w:rPr>
            </w:pPr>
            <w:r>
              <w:rPr>
                <w:rFonts w:ascii="Arial" w:cs="Arial" w:eastAsia="Arial" w:hAnsi="Arial"/>
                <w:sz w:val="18"/>
                <w:szCs w:val="18"/>
                <w:color w:val="auto"/>
              </w:rPr>
              <w:t>Check the appropriate box:</w:t>
            </w:r>
          </w:p>
        </w:tc>
        <w:tc>
          <w:tcPr>
            <w:tcW w:w="42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337"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14a-(e)(2)</w:t>
      </w:r>
    </w:p>
    <w:p>
      <w:pPr>
        <w:spacing w:after="0" w:line="47" w:lineRule="exact"/>
        <w:rPr>
          <w:rFonts w:ascii="MS PGothic" w:cs="MS PGothic" w:eastAsia="MS PGothic" w:hAnsi="MS PGothic"/>
          <w:sz w:val="18"/>
          <w:szCs w:val="18"/>
          <w:color w:val="auto"/>
        </w:rPr>
      </w:pPr>
    </w:p>
    <w:p>
      <w:pPr>
        <w:ind w:left="4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82"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72"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Matrix Service Company</w:t>
      </w:r>
    </w:p>
    <w:p>
      <w:pPr>
        <w:spacing w:after="0" w:line="188"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56"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N/A</w:t>
      </w:r>
    </w:p>
    <w:p>
      <w:pPr>
        <w:spacing w:after="0" w:line="42" w:lineRule="exact"/>
        <w:rPr>
          <w:sz w:val="24"/>
          <w:szCs w:val="24"/>
          <w:color w:val="auto"/>
        </w:rPr>
      </w:pPr>
    </w:p>
    <w:p>
      <w:pPr>
        <w:ind w:left="34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00" w:lineRule="exact"/>
        <w:rPr>
          <w:sz w:val="24"/>
          <w:szCs w:val="24"/>
          <w:color w:val="auto"/>
        </w:rPr>
      </w:pPr>
    </w:p>
    <w:p>
      <w:pPr>
        <w:spacing w:after="0" w:line="214" w:lineRule="exact"/>
        <w:rPr>
          <w:sz w:val="24"/>
          <w:szCs w:val="24"/>
          <w:color w:val="auto"/>
        </w:rPr>
      </w:pPr>
    </w:p>
    <w:p>
      <w:pPr>
        <w:ind w:left="720" w:hanging="685"/>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52" w:lineRule="exact"/>
        <w:rPr>
          <w:rFonts w:ascii="MS PGothic" w:cs="MS PGothic" w:eastAsia="MS PGothic" w:hAnsi="MS PGothic"/>
          <w:sz w:val="18"/>
          <w:szCs w:val="18"/>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56" w:lineRule="exact"/>
        <w:rPr>
          <w:rFonts w:ascii="Arial" w:cs="Arial" w:eastAsia="Arial" w:hAnsi="Arial"/>
          <w:sz w:val="18"/>
          <w:szCs w:val="18"/>
          <w:color w:val="auto"/>
        </w:rPr>
      </w:pPr>
    </w:p>
    <w:p>
      <w:pPr>
        <w:ind w:left="720" w:hanging="685"/>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87" w:lineRule="exact"/>
        <w:rPr>
          <w:rFonts w:ascii="MS PGothic" w:cs="MS PGothic" w:eastAsia="MS PGothic" w:hAnsi="MS PGothic"/>
          <w:sz w:val="18"/>
          <w:szCs w:val="18"/>
          <w:color w:val="auto"/>
        </w:rPr>
      </w:pPr>
    </w:p>
    <w:p>
      <w:pPr>
        <w:ind w:left="720" w:right="340" w:hanging="685"/>
        <w:spacing w:after="0" w:line="308" w:lineRule="auto"/>
        <w:tabs>
          <w:tab w:leader="none" w:pos="7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220"/>
          </w:cols>
          <w:pgMar w:left="240" w:top="216" w:right="4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sz w:val="1"/>
          <w:szCs w:val="1"/>
          <w:color w:val="auto"/>
        </w:rPr>
        <w:drawing>
          <wp:inline distT="0" distB="0" distL="0" distR="0">
            <wp:extent cx="1277620" cy="771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7620" cy="771525"/>
                    </a:xfrm>
                    <a:prstGeom prst="rect">
                      <a:avLst/>
                    </a:prstGeom>
                    <a:noFill/>
                    <a:ln>
                      <a:noFill/>
                    </a:ln>
                  </pic:spPr>
                </pic:pic>
              </a:graphicData>
            </a:graphic>
          </wp:inline>
        </w:drawing>
      </w:r>
      <w:r>
        <w:rPr>
          <w:rFonts w:ascii="Arial" w:cs="Arial" w:eastAsia="Arial" w:hAnsi="Arial"/>
          <w:sz w:val="18"/>
          <w:szCs w:val="18"/>
          <w:b w:val="1"/>
          <w:bCs w:val="1"/>
          <w:color w:val="auto"/>
        </w:rPr>
        <w:t xml:space="preserve"> MATRIX SERVICE COMPANY</w:t>
      </w:r>
    </w:p>
    <w:p>
      <w:pPr>
        <w:spacing w:after="0" w:line="16"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5100 East Skelly Drive, Suite 500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Tulsa, Oklahoma 74135</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2015 ANNUAL MEETING OF STOCKHOLDERS</w:t>
      </w:r>
    </w:p>
    <w:p>
      <w:pPr>
        <w:spacing w:after="0" w:line="17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Notice is hereby given that the Annual Meeting of the Stockholders of Matrix Service Company, a Delaware corporation, (the “Company” or “Matrix”), will be held at the Company’s Corporate Headquarters, 5100 East Skelly Drive, Tulsa, Oklahoma, on the 12th day of November 2015, at 2:00 p.m., Central time, for the following purposes:</w:t>
      </w:r>
    </w:p>
    <w:p>
      <w:pPr>
        <w:spacing w:after="0" w:line="127" w:lineRule="exact"/>
        <w:rPr>
          <w:sz w:val="20"/>
          <w:szCs w:val="20"/>
          <w:color w:val="auto"/>
        </w:rPr>
      </w:pPr>
    </w:p>
    <w:p>
      <w:pPr>
        <w:ind w:left="580" w:right="3060" w:hanging="545"/>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seven persons to serve as members of the Board of Directors of the Company until the 2016 annual stockholders meeting or until their successors have been elected and qualified;</w:t>
      </w:r>
    </w:p>
    <w:p>
      <w:pPr>
        <w:spacing w:after="0" w:line="8" w:lineRule="exact"/>
        <w:rPr>
          <w:rFonts w:ascii="Arial" w:cs="Arial" w:eastAsia="Arial" w:hAnsi="Arial"/>
          <w:sz w:val="18"/>
          <w:szCs w:val="18"/>
          <w:color w:val="auto"/>
        </w:rPr>
      </w:pPr>
    </w:p>
    <w:p>
      <w:pPr>
        <w:ind w:left="580" w:right="3160" w:hanging="545"/>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act upon a proposal to ratify the engagement of Deloitte &amp; Touche LLP as the Company’s independent registered public accounting firm for fiscal 2016;</w:t>
      </w:r>
    </w:p>
    <w:p>
      <w:pPr>
        <w:spacing w:after="0" w:line="8" w:lineRule="exact"/>
        <w:rPr>
          <w:rFonts w:ascii="Arial" w:cs="Arial" w:eastAsia="Arial" w:hAnsi="Arial"/>
          <w:sz w:val="18"/>
          <w:szCs w:val="18"/>
          <w:color w:val="auto"/>
        </w:rPr>
      </w:pPr>
    </w:p>
    <w:p>
      <w:pPr>
        <w:ind w:left="580" w:hanging="545"/>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 advisory vote on executive compensation;</w:t>
      </w:r>
    </w:p>
    <w:p>
      <w:pPr>
        <w:spacing w:after="0" w:line="63" w:lineRule="exact"/>
        <w:rPr>
          <w:rFonts w:ascii="Arial" w:cs="Arial" w:eastAsia="Arial" w:hAnsi="Arial"/>
          <w:sz w:val="18"/>
          <w:szCs w:val="18"/>
          <w:color w:val="auto"/>
        </w:rPr>
      </w:pPr>
    </w:p>
    <w:p>
      <w:pPr>
        <w:ind w:left="580" w:hanging="545"/>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thereof.</w:t>
      </w:r>
    </w:p>
    <w:p>
      <w:pPr>
        <w:spacing w:after="0" w:line="19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Board of Directors has fixed the close of business on September 25, 2015 as the record date for the meeting (the “Record Date”), and only holders of record of the Company’s common stock at such time are entitled to notice of and to vote at the meeting and any adjournment thereof.</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263525</wp:posOffset>
            </wp:positionV>
            <wp:extent cx="1551940"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5194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Kevin S. Cavanah</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Secretary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October 9,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180" w:lineRule="exact"/>
        <w:rPr>
          <w:sz w:val="20"/>
          <w:szCs w:val="20"/>
          <w:color w:val="auto"/>
        </w:rPr>
      </w:pPr>
    </w:p>
    <w:p>
      <w:pPr>
        <w:ind w:firstLine="216"/>
        <w:spacing w:after="0" w:line="256" w:lineRule="auto"/>
        <w:rPr>
          <w:sz w:val="20"/>
          <w:szCs w:val="20"/>
          <w:color w:val="auto"/>
        </w:rPr>
      </w:pPr>
      <w:r>
        <w:rPr>
          <w:rFonts w:ascii="Arial" w:cs="Arial" w:eastAsia="Arial" w:hAnsi="Arial"/>
          <w:sz w:val="18"/>
          <w:szCs w:val="18"/>
          <w:b w:val="1"/>
          <w:bCs w:val="1"/>
          <w:color w:val="auto"/>
        </w:rPr>
        <w:t>IT IS IMPORTANT THAT YOUR SHARES BE REPRESENTED AT THE ANNUAL MEETING REGARDLESS OF WHETHER YOU PLAN TO ATTEND. WHETHER OR NOT YOU EXPECT TO ATTEND THE MEETING, WE HOPE YOU WILL TAKE THE TIME TO VOTE YOUR SHARES. THEREFORE PLEASE MARK, SIGN, DATE AND RETURN THE ENCLOSED PROXY PROMPTLY. YOU ALSO HAVE THE OPTION OF VOTING YOUR SHARES ON THE INTERNET OR BY TELEPHONE. VOTING INSTRUCTIONS ARE PRINTED ON YOUR PROXY. IF YOU VOTE BY INTERNET OR BY TELEPHONE, YOU DO NOT NEED TO MAIL BACK YOUR PROXY. IF YOU ARE PRESENT AT THE MEETING AND WISH TO DO SO, YOU MAY REVOKE THE PROXY AND VOTE IN PERSON.</w:t>
      </w:r>
    </w:p>
    <w:p>
      <w:pPr>
        <w:spacing w:after="0" w:line="134"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Stockholders Meeting to be held on November 12, 2015. Stockholders may view this proxy statement, our form of proxy and our 2015 Annual Report to Stockholders over the Internet by accessing our website at </w:t>
      </w:r>
      <w:r>
        <w:rPr>
          <w:rFonts w:ascii="Arial" w:cs="Arial" w:eastAsia="Arial" w:hAnsi="Arial"/>
          <w:sz w:val="18"/>
          <w:szCs w:val="18"/>
          <w:b w:val="1"/>
          <w:bCs w:val="1"/>
          <w:u w:val="single" w:color="auto"/>
          <w:color w:val="auto"/>
        </w:rPr>
        <w:t>matrixservicecompany.com</w:t>
      </w:r>
      <w:r>
        <w:rPr>
          <w:rFonts w:ascii="Arial" w:cs="Arial" w:eastAsia="Arial" w:hAnsi="Arial"/>
          <w:sz w:val="18"/>
          <w:szCs w:val="18"/>
          <w:b w:val="1"/>
          <w:bCs w:val="1"/>
          <w:color w:val="auto"/>
        </w:rPr>
        <w:t>.</w:t>
      </w:r>
    </w:p>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20" w:type="dxa"/>
            <w:vAlign w:val="bottom"/>
            <w:gridSpan w:val="5"/>
          </w:tcPr>
          <w:p>
            <w:pPr>
              <w:ind w:left="500"/>
              <w:spacing w:after="0"/>
              <w:rPr>
                <w:sz w:val="20"/>
                <w:szCs w:val="20"/>
                <w:color w:val="auto"/>
              </w:rPr>
            </w:pPr>
            <w:r>
              <w:rPr>
                <w:rFonts w:ascii="Arial" w:cs="Arial" w:eastAsia="Arial" w:hAnsi="Arial"/>
                <w:sz w:val="18"/>
                <w:szCs w:val="18"/>
                <w:b w:val="1"/>
                <w:bCs w:val="1"/>
                <w:color w:val="auto"/>
              </w:rPr>
              <w:t>MATRIX SERVICE COMPANY</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20" w:type="dxa"/>
            <w:vAlign w:val="bottom"/>
            <w:gridSpan w:val="5"/>
          </w:tcPr>
          <w:p>
            <w:pPr>
              <w:jc w:val="center"/>
              <w:ind w:right="1520"/>
              <w:spacing w:after="0"/>
              <w:rPr>
                <w:sz w:val="20"/>
                <w:szCs w:val="20"/>
                <w:color w:val="auto"/>
              </w:rPr>
            </w:pPr>
            <w:r>
              <w:rPr>
                <w:rFonts w:ascii="Arial" w:cs="Arial" w:eastAsia="Arial" w:hAnsi="Arial"/>
                <w:sz w:val="18"/>
                <w:szCs w:val="18"/>
                <w:b w:val="1"/>
                <w:bCs w:val="1"/>
                <w:color w:val="auto"/>
                <w:w w:val="90"/>
              </w:rPr>
              <w:t>5100 East Skelly Drive, Suite 700</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40" w:type="dxa"/>
            <w:vAlign w:val="bottom"/>
            <w:gridSpan w:val="3"/>
          </w:tcPr>
          <w:p>
            <w:pPr>
              <w:jc w:val="center"/>
              <w:ind w:right="2200"/>
              <w:spacing w:after="0"/>
              <w:rPr>
                <w:sz w:val="20"/>
                <w:szCs w:val="20"/>
                <w:color w:val="auto"/>
              </w:rPr>
            </w:pPr>
            <w:r>
              <w:rPr>
                <w:rFonts w:ascii="Arial" w:cs="Arial" w:eastAsia="Arial" w:hAnsi="Arial"/>
                <w:sz w:val="18"/>
                <w:szCs w:val="18"/>
                <w:b w:val="1"/>
                <w:bCs w:val="1"/>
                <w:color w:val="auto"/>
                <w:w w:val="91"/>
              </w:rPr>
              <w:t>Tulsa, Oklahoma 74135</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80" w:type="dxa"/>
            <w:vAlign w:val="bottom"/>
            <w:gridSpan w:val="6"/>
          </w:tcPr>
          <w:p>
            <w:pPr>
              <w:jc w:val="center"/>
              <w:ind w:right="1260"/>
              <w:spacing w:after="0"/>
              <w:rPr>
                <w:sz w:val="20"/>
                <w:szCs w:val="20"/>
                <w:color w:val="auto"/>
              </w:rPr>
            </w:pPr>
            <w:r>
              <w:rPr>
                <w:rFonts w:ascii="Arial" w:cs="Arial" w:eastAsia="Arial" w:hAnsi="Arial"/>
                <w:sz w:val="18"/>
                <w:szCs w:val="18"/>
                <w:b w:val="1"/>
                <w:bCs w:val="1"/>
                <w:color w:val="auto"/>
                <w:w w:val="99"/>
              </w:rPr>
              <w:t>PROXY STATEMENT - TABLE OF CONTENTS</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7"/>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89"/>
        </w:trPr>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2440" w:type="dxa"/>
            <w:vAlign w:val="bottom"/>
            <w:gridSpan w:val="3"/>
            <w:shd w:val="clear" w:color="auto" w:fill="CCEEFF"/>
          </w:tcPr>
          <w:p>
            <w:pPr>
              <w:ind w:left="1340"/>
              <w:spacing w:after="0"/>
              <w:rPr>
                <w:sz w:val="20"/>
                <w:szCs w:val="20"/>
                <w:color w:val="auto"/>
              </w:rPr>
            </w:pPr>
            <w:r>
              <w:rPr>
                <w:rFonts w:ascii="Arial" w:cs="Arial" w:eastAsia="Arial" w:hAnsi="Arial"/>
                <w:sz w:val="13"/>
                <w:szCs w:val="13"/>
                <w:b w:val="1"/>
                <w:bCs w:val="1"/>
                <w:color w:val="auto"/>
              </w:rPr>
              <w:t>Page</w:t>
            </w:r>
          </w:p>
        </w:tc>
      </w:tr>
      <w:tr>
        <w:trPr>
          <w:trHeight w:val="149"/>
        </w:trPr>
        <w:tc>
          <w:tcPr>
            <w:tcW w:w="8980" w:type="dxa"/>
            <w:vAlign w:val="bottom"/>
            <w:gridSpan w:val="45"/>
          </w:tcPr>
          <w:p>
            <w:pPr>
              <w:ind w:left="40"/>
              <w:spacing w:after="0"/>
              <w:rPr>
                <w:rFonts w:ascii="Arial" w:cs="Arial" w:eastAsia="Arial" w:hAnsi="Arial"/>
                <w:sz w:val="13"/>
                <w:szCs w:val="13"/>
                <w:color w:val="0000FF"/>
              </w:rPr>
            </w:pPr>
            <w:hyperlink w:anchor="page3">
              <w:r>
                <w:rPr>
                  <w:rFonts w:ascii="Arial" w:cs="Arial" w:eastAsia="Arial" w:hAnsi="Arial"/>
                  <w:sz w:val="13"/>
                  <w:szCs w:val="13"/>
                  <w:color w:val="0000FF"/>
                </w:rPr>
                <w:t>Solicitation and Revocation of Proxies</w:t>
              </w:r>
            </w:hyperlink>
          </w:p>
        </w:tc>
        <w:tc>
          <w:tcPr>
            <w:tcW w:w="1540" w:type="dxa"/>
            <w:vAlign w:val="bottom"/>
            <w:gridSpan w:val="2"/>
          </w:tcPr>
          <w:p>
            <w:pPr>
              <w:jc w:val="center"/>
              <w:ind w:left="1337"/>
              <w:spacing w:after="0"/>
              <w:rPr>
                <w:rFonts w:ascii="Arial" w:cs="Arial" w:eastAsia="Arial" w:hAnsi="Arial"/>
                <w:sz w:val="13"/>
                <w:szCs w:val="13"/>
                <w:u w:val="single" w:color="auto"/>
                <w:color w:val="0000FF"/>
                <w:w w:val="82"/>
              </w:rPr>
            </w:pPr>
            <w:hyperlink w:anchor="page3">
              <w:r>
                <w:rPr>
                  <w:rFonts w:ascii="Arial" w:cs="Arial" w:eastAsia="Arial" w:hAnsi="Arial"/>
                  <w:sz w:val="13"/>
                  <w:szCs w:val="13"/>
                  <w:u w:val="single" w:color="auto"/>
                  <w:color w:val="0000FF"/>
                  <w:w w:val="82"/>
                </w:rPr>
                <w:t>1</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8980" w:type="dxa"/>
            <w:vAlign w:val="bottom"/>
            <w:gridSpan w:val="45"/>
            <w:shd w:val="clear" w:color="auto" w:fill="CCEEFF"/>
          </w:tcPr>
          <w:p>
            <w:pPr>
              <w:ind w:left="40"/>
              <w:spacing w:after="0"/>
              <w:rPr>
                <w:rFonts w:ascii="Arial" w:cs="Arial" w:eastAsia="Arial" w:hAnsi="Arial"/>
                <w:sz w:val="13"/>
                <w:szCs w:val="13"/>
                <w:color w:val="0000FF"/>
              </w:rPr>
            </w:pPr>
            <w:hyperlink w:anchor="page4">
              <w:r>
                <w:rPr>
                  <w:rFonts w:ascii="Arial" w:cs="Arial" w:eastAsia="Arial" w:hAnsi="Arial"/>
                  <w:sz w:val="13"/>
                  <w:szCs w:val="13"/>
                  <w:color w:val="0000FF"/>
                </w:rPr>
                <w:t>Stockholders Entitled to Vote</w:t>
              </w:r>
            </w:hyperlink>
          </w:p>
        </w:tc>
        <w:tc>
          <w:tcPr>
            <w:tcW w:w="1540" w:type="dxa"/>
            <w:vAlign w:val="bottom"/>
            <w:gridSpan w:val="2"/>
            <w:shd w:val="clear" w:color="auto" w:fill="CCEEFF"/>
          </w:tcPr>
          <w:p>
            <w:pPr>
              <w:jc w:val="center"/>
              <w:ind w:left="1337"/>
              <w:spacing w:after="0"/>
              <w:rPr>
                <w:rFonts w:ascii="Arial" w:cs="Arial" w:eastAsia="Arial" w:hAnsi="Arial"/>
                <w:sz w:val="13"/>
                <w:szCs w:val="13"/>
                <w:u w:val="single" w:color="auto"/>
                <w:color w:val="0000FF"/>
                <w:w w:val="82"/>
              </w:rPr>
            </w:pPr>
            <w:hyperlink w:anchor="page4">
              <w:r>
                <w:rPr>
                  <w:rFonts w:ascii="Arial" w:cs="Arial" w:eastAsia="Arial" w:hAnsi="Arial"/>
                  <w:sz w:val="13"/>
                  <w:szCs w:val="13"/>
                  <w:u w:val="single" w:color="auto"/>
                  <w:color w:val="0000FF"/>
                  <w:w w:val="82"/>
                </w:rPr>
                <w:t>1</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8980" w:type="dxa"/>
            <w:vAlign w:val="bottom"/>
            <w:gridSpan w:val="45"/>
          </w:tcPr>
          <w:p>
            <w:pPr>
              <w:ind w:left="40"/>
              <w:spacing w:after="0"/>
              <w:rPr>
                <w:rFonts w:ascii="Arial" w:cs="Arial" w:eastAsia="Arial" w:hAnsi="Arial"/>
                <w:sz w:val="13"/>
                <w:szCs w:val="13"/>
                <w:color w:val="0000FF"/>
              </w:rPr>
            </w:pPr>
            <w:hyperlink w:anchor="page4">
              <w:r>
                <w:rPr>
                  <w:rFonts w:ascii="Arial" w:cs="Arial" w:eastAsia="Arial" w:hAnsi="Arial"/>
                  <w:sz w:val="13"/>
                  <w:szCs w:val="13"/>
                  <w:color w:val="0000FF"/>
                </w:rPr>
                <w:t>Proposal Number 1: Election of Directors</w:t>
              </w:r>
            </w:hyperlink>
          </w:p>
        </w:tc>
        <w:tc>
          <w:tcPr>
            <w:tcW w:w="1540" w:type="dxa"/>
            <w:vAlign w:val="bottom"/>
            <w:gridSpan w:val="2"/>
          </w:tcPr>
          <w:p>
            <w:pPr>
              <w:jc w:val="center"/>
              <w:ind w:left="1337"/>
              <w:spacing w:after="0"/>
              <w:rPr>
                <w:rFonts w:ascii="Arial" w:cs="Arial" w:eastAsia="Arial" w:hAnsi="Arial"/>
                <w:sz w:val="13"/>
                <w:szCs w:val="13"/>
                <w:u w:val="single" w:color="auto"/>
                <w:color w:val="0000FF"/>
                <w:w w:val="82"/>
              </w:rPr>
            </w:pPr>
            <w:hyperlink w:anchor="page4">
              <w:r>
                <w:rPr>
                  <w:rFonts w:ascii="Arial" w:cs="Arial" w:eastAsia="Arial" w:hAnsi="Arial"/>
                  <w:sz w:val="13"/>
                  <w:szCs w:val="13"/>
                  <w:u w:val="single" w:color="auto"/>
                  <w:color w:val="0000FF"/>
                  <w:w w:val="82"/>
                </w:rPr>
                <w:t>2</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9"/>
        </w:trPr>
        <w:tc>
          <w:tcPr>
            <w:tcW w:w="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660" w:type="dxa"/>
            <w:vAlign w:val="bottom"/>
            <w:tcBorders>
              <w:bottom w:val="single" w:sz="8" w:color="0000FF"/>
            </w:tcBorders>
            <w:gridSpan w:val="17"/>
            <w:shd w:val="clear" w:color="auto" w:fill="CCEEFF"/>
          </w:tcPr>
          <w:p>
            <w:pPr>
              <w:spacing w:after="0"/>
              <w:rPr>
                <w:rFonts w:ascii="Arial" w:cs="Arial" w:eastAsia="Arial" w:hAnsi="Arial"/>
                <w:sz w:val="13"/>
                <w:szCs w:val="13"/>
                <w:color w:val="0000FF"/>
                <w:w w:val="88"/>
              </w:rPr>
            </w:pPr>
            <w:hyperlink w:anchor="page5">
              <w:r>
                <w:rPr>
                  <w:rFonts w:ascii="Arial" w:cs="Arial" w:eastAsia="Arial" w:hAnsi="Arial"/>
                  <w:sz w:val="13"/>
                  <w:szCs w:val="13"/>
                  <w:color w:val="0000FF"/>
                  <w:w w:val="88"/>
                </w:rPr>
                <w:t>Nominated Director Biographies</w:t>
              </w:r>
            </w:hyperlink>
          </w:p>
        </w:tc>
        <w:tc>
          <w:tcPr>
            <w:tcW w:w="6940" w:type="dxa"/>
            <w:vAlign w:val="bottom"/>
            <w:tcBorders>
              <w:bottom w:val="single" w:sz="8" w:color="CCEEFF"/>
            </w:tcBorders>
            <w:gridSpan w:val="26"/>
            <w:shd w:val="clear" w:color="auto" w:fill="CCEEFF"/>
          </w:tcPr>
          <w:p>
            <w:pPr>
              <w:spacing w:after="0"/>
              <w:rPr>
                <w:sz w:val="14"/>
                <w:szCs w:val="14"/>
                <w:color w:val="auto"/>
              </w:rPr>
            </w:pPr>
          </w:p>
        </w:tc>
        <w:tc>
          <w:tcPr>
            <w:tcW w:w="1540" w:type="dxa"/>
            <w:vAlign w:val="bottom"/>
            <w:tcBorders>
              <w:bottom w:val="single" w:sz="8" w:color="CCEEFF"/>
            </w:tcBorders>
            <w:gridSpan w:val="2"/>
            <w:shd w:val="clear" w:color="auto" w:fill="CCEEFF"/>
          </w:tcPr>
          <w:p>
            <w:pPr>
              <w:jc w:val="center"/>
              <w:ind w:left="1337"/>
              <w:spacing w:after="0"/>
              <w:rPr>
                <w:rFonts w:ascii="Arial" w:cs="Arial" w:eastAsia="Arial" w:hAnsi="Arial"/>
                <w:sz w:val="13"/>
                <w:szCs w:val="13"/>
                <w:u w:val="single" w:color="auto"/>
                <w:color w:val="0000FF"/>
                <w:w w:val="82"/>
              </w:rPr>
            </w:pPr>
            <w:hyperlink w:anchor="page5">
              <w:r>
                <w:rPr>
                  <w:rFonts w:ascii="Arial" w:cs="Arial" w:eastAsia="Arial" w:hAnsi="Arial"/>
                  <w:sz w:val="13"/>
                  <w:szCs w:val="13"/>
                  <w:u w:val="single" w:color="auto"/>
                  <w:color w:val="0000FF"/>
                  <w:w w:val="82"/>
                </w:rPr>
                <w:t>2</w:t>
              </w:r>
            </w:hyperlink>
          </w:p>
        </w:tc>
        <w:tc>
          <w:tcPr>
            <w:tcW w:w="900" w:type="dxa"/>
            <w:vAlign w:val="bottom"/>
            <w:tcBorders>
              <w:bottom w:val="single" w:sz="8" w:color="CCEEFF"/>
            </w:tcBorders>
            <w:shd w:val="clear" w:color="auto" w:fill="CCEEFF"/>
          </w:tcPr>
          <w:p>
            <w:pPr>
              <w:spacing w:after="0"/>
              <w:rPr>
                <w:sz w:val="14"/>
                <w:szCs w:val="14"/>
                <w:color w:val="auto"/>
              </w:rPr>
            </w:pPr>
          </w:p>
        </w:tc>
      </w:tr>
      <w:tr>
        <w:trPr>
          <w:trHeight w:val="149"/>
        </w:trPr>
        <w:tc>
          <w:tcPr>
            <w:tcW w:w="8980" w:type="dxa"/>
            <w:vAlign w:val="bottom"/>
            <w:gridSpan w:val="45"/>
          </w:tcPr>
          <w:p>
            <w:pPr>
              <w:ind w:left="40"/>
              <w:spacing w:after="0"/>
              <w:rPr>
                <w:rFonts w:ascii="Arial" w:cs="Arial" w:eastAsia="Arial" w:hAnsi="Arial"/>
                <w:sz w:val="13"/>
                <w:szCs w:val="13"/>
                <w:color w:val="0000FF"/>
              </w:rPr>
            </w:pPr>
            <w:hyperlink w:anchor="page7">
              <w:r>
                <w:rPr>
                  <w:rFonts w:ascii="Arial" w:cs="Arial" w:eastAsia="Arial" w:hAnsi="Arial"/>
                  <w:sz w:val="13"/>
                  <w:szCs w:val="13"/>
                  <w:color w:val="0000FF"/>
                </w:rPr>
                <w:t>Corporate Governance and Board Matters</w:t>
              </w:r>
            </w:hyperlink>
          </w:p>
        </w:tc>
        <w:tc>
          <w:tcPr>
            <w:tcW w:w="1540" w:type="dxa"/>
            <w:vAlign w:val="bottom"/>
            <w:gridSpan w:val="2"/>
          </w:tcPr>
          <w:p>
            <w:pPr>
              <w:jc w:val="center"/>
              <w:ind w:left="1337"/>
              <w:spacing w:after="0"/>
              <w:rPr>
                <w:rFonts w:ascii="Arial" w:cs="Arial" w:eastAsia="Arial" w:hAnsi="Arial"/>
                <w:sz w:val="13"/>
                <w:szCs w:val="13"/>
                <w:u w:val="single" w:color="auto"/>
                <w:color w:val="0000FF"/>
                <w:w w:val="82"/>
              </w:rPr>
            </w:pPr>
            <w:hyperlink w:anchor="page7">
              <w:r>
                <w:rPr>
                  <w:rFonts w:ascii="Arial" w:cs="Arial" w:eastAsia="Arial" w:hAnsi="Arial"/>
                  <w:sz w:val="13"/>
                  <w:szCs w:val="13"/>
                  <w:u w:val="single" w:color="auto"/>
                  <w:color w:val="0000FF"/>
                  <w:w w:val="82"/>
                </w:rPr>
                <w:t>4</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9"/>
        </w:trPr>
        <w:tc>
          <w:tcPr>
            <w:tcW w:w="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0000FF"/>
            </w:tcBorders>
            <w:gridSpan w:val="18"/>
            <w:shd w:val="clear" w:color="auto" w:fill="CCEEFF"/>
          </w:tcPr>
          <w:p>
            <w:pPr>
              <w:spacing w:after="0"/>
              <w:rPr>
                <w:rFonts w:ascii="Arial" w:cs="Arial" w:eastAsia="Arial" w:hAnsi="Arial"/>
                <w:sz w:val="13"/>
                <w:szCs w:val="13"/>
                <w:color w:val="0000FF"/>
                <w:w w:val="87"/>
              </w:rPr>
            </w:pPr>
            <w:hyperlink w:anchor="page7">
              <w:r>
                <w:rPr>
                  <w:rFonts w:ascii="Arial" w:cs="Arial" w:eastAsia="Arial" w:hAnsi="Arial"/>
                  <w:sz w:val="13"/>
                  <w:szCs w:val="13"/>
                  <w:color w:val="0000FF"/>
                  <w:w w:val="87"/>
                </w:rPr>
                <w:t>Director Independence Guidelines</w:t>
              </w:r>
            </w:hyperlink>
          </w:p>
        </w:tc>
        <w:tc>
          <w:tcPr>
            <w:tcW w:w="6860" w:type="dxa"/>
            <w:vAlign w:val="bottom"/>
            <w:tcBorders>
              <w:bottom w:val="single" w:sz="8" w:color="CCEEFF"/>
            </w:tcBorders>
            <w:gridSpan w:val="25"/>
            <w:shd w:val="clear" w:color="auto" w:fill="CCEEFF"/>
          </w:tcPr>
          <w:p>
            <w:pPr>
              <w:spacing w:after="0"/>
              <w:rPr>
                <w:sz w:val="14"/>
                <w:szCs w:val="14"/>
                <w:color w:val="auto"/>
              </w:rPr>
            </w:pPr>
          </w:p>
        </w:tc>
        <w:tc>
          <w:tcPr>
            <w:tcW w:w="1540" w:type="dxa"/>
            <w:vAlign w:val="bottom"/>
            <w:tcBorders>
              <w:bottom w:val="single" w:sz="8" w:color="CCEEFF"/>
            </w:tcBorders>
            <w:gridSpan w:val="2"/>
            <w:shd w:val="clear" w:color="auto" w:fill="CCEEFF"/>
          </w:tcPr>
          <w:p>
            <w:pPr>
              <w:jc w:val="center"/>
              <w:ind w:left="1337"/>
              <w:spacing w:after="0"/>
              <w:rPr>
                <w:rFonts w:ascii="Arial" w:cs="Arial" w:eastAsia="Arial" w:hAnsi="Arial"/>
                <w:sz w:val="13"/>
                <w:szCs w:val="13"/>
                <w:u w:val="single" w:color="auto"/>
                <w:color w:val="0000FF"/>
                <w:w w:val="82"/>
              </w:rPr>
            </w:pPr>
            <w:hyperlink w:anchor="page7">
              <w:r>
                <w:rPr>
                  <w:rFonts w:ascii="Arial" w:cs="Arial" w:eastAsia="Arial" w:hAnsi="Arial"/>
                  <w:sz w:val="13"/>
                  <w:szCs w:val="13"/>
                  <w:u w:val="single" w:color="auto"/>
                  <w:color w:val="0000FF"/>
                  <w:w w:val="82"/>
                </w:rPr>
                <w:t>4</w:t>
              </w:r>
            </w:hyperlink>
          </w:p>
        </w:tc>
        <w:tc>
          <w:tcPr>
            <w:tcW w:w="900" w:type="dxa"/>
            <w:vAlign w:val="bottom"/>
            <w:tcBorders>
              <w:bottom w:val="single" w:sz="8" w:color="CCEEFF"/>
            </w:tcBorders>
            <w:shd w:val="clear" w:color="auto" w:fill="CCEEFF"/>
          </w:tcPr>
          <w:p>
            <w:pPr>
              <w:spacing w:after="0"/>
              <w:rPr>
                <w:sz w:val="14"/>
                <w:szCs w:val="14"/>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0" w:type="dxa"/>
            <w:vAlign w:val="bottom"/>
            <w:gridSpan w:val="43"/>
          </w:tcPr>
          <w:p>
            <w:pPr>
              <w:spacing w:after="0"/>
              <w:rPr>
                <w:rFonts w:ascii="Arial" w:cs="Arial" w:eastAsia="Arial" w:hAnsi="Arial"/>
                <w:sz w:val="13"/>
                <w:szCs w:val="13"/>
                <w:color w:val="0000FF"/>
              </w:rPr>
            </w:pPr>
            <w:hyperlink w:anchor="page8">
              <w:r>
                <w:rPr>
                  <w:rFonts w:ascii="Arial" w:cs="Arial" w:eastAsia="Arial" w:hAnsi="Arial"/>
                  <w:sz w:val="13"/>
                  <w:szCs w:val="13"/>
                  <w:color w:val="0000FF"/>
                </w:rPr>
                <w:t>Board Leadership Structure and Role in Risk Oversight</w:t>
              </w:r>
            </w:hyperlink>
          </w:p>
        </w:tc>
        <w:tc>
          <w:tcPr>
            <w:tcW w:w="1540" w:type="dxa"/>
            <w:vAlign w:val="bottom"/>
            <w:gridSpan w:val="2"/>
          </w:tcPr>
          <w:p>
            <w:pPr>
              <w:jc w:val="center"/>
              <w:ind w:left="1337"/>
              <w:spacing w:after="0"/>
              <w:rPr>
                <w:rFonts w:ascii="Arial" w:cs="Arial" w:eastAsia="Arial" w:hAnsi="Arial"/>
                <w:sz w:val="13"/>
                <w:szCs w:val="13"/>
                <w:u w:val="single" w:color="auto"/>
                <w:color w:val="0000FF"/>
                <w:w w:val="82"/>
              </w:rPr>
            </w:pPr>
            <w:hyperlink w:anchor="page8">
              <w:r>
                <w:rPr>
                  <w:rFonts w:ascii="Arial" w:cs="Arial" w:eastAsia="Arial" w:hAnsi="Arial"/>
                  <w:sz w:val="13"/>
                  <w:szCs w:val="13"/>
                  <w:u w:val="single" w:color="auto"/>
                  <w:color w:val="0000FF"/>
                  <w:w w:val="82"/>
                </w:rPr>
                <w:t>5</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9"/>
        </w:trPr>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0" w:type="dxa"/>
            <w:vAlign w:val="bottom"/>
            <w:gridSpan w:val="43"/>
            <w:shd w:val="clear" w:color="auto" w:fill="CCEEFF"/>
          </w:tcPr>
          <w:p>
            <w:pPr>
              <w:spacing w:after="0"/>
              <w:rPr>
                <w:rFonts w:ascii="Arial" w:cs="Arial" w:eastAsia="Arial" w:hAnsi="Arial"/>
                <w:sz w:val="13"/>
                <w:szCs w:val="13"/>
                <w:color w:val="0000FF"/>
              </w:rPr>
            </w:pPr>
            <w:hyperlink w:anchor="page8">
              <w:r>
                <w:rPr>
                  <w:rFonts w:ascii="Arial" w:cs="Arial" w:eastAsia="Arial" w:hAnsi="Arial"/>
                  <w:sz w:val="13"/>
                  <w:szCs w:val="13"/>
                  <w:color w:val="0000FF"/>
                </w:rPr>
                <w:t>Meetings and Committees of the Board of Directors</w:t>
              </w:r>
            </w:hyperlink>
          </w:p>
        </w:tc>
        <w:tc>
          <w:tcPr>
            <w:tcW w:w="1540" w:type="dxa"/>
            <w:vAlign w:val="bottom"/>
            <w:gridSpan w:val="2"/>
            <w:shd w:val="clear" w:color="auto" w:fill="CCEEFF"/>
          </w:tcPr>
          <w:p>
            <w:pPr>
              <w:jc w:val="center"/>
              <w:ind w:left="1337"/>
              <w:spacing w:after="0"/>
              <w:rPr>
                <w:rFonts w:ascii="Arial" w:cs="Arial" w:eastAsia="Arial" w:hAnsi="Arial"/>
                <w:sz w:val="13"/>
                <w:szCs w:val="13"/>
                <w:u w:val="single" w:color="auto"/>
                <w:color w:val="0000FF"/>
                <w:w w:val="82"/>
              </w:rPr>
            </w:pPr>
            <w:hyperlink w:anchor="page8">
              <w:r>
                <w:rPr>
                  <w:rFonts w:ascii="Arial" w:cs="Arial" w:eastAsia="Arial" w:hAnsi="Arial"/>
                  <w:sz w:val="13"/>
                  <w:szCs w:val="13"/>
                  <w:u w:val="single" w:color="auto"/>
                  <w:color w:val="0000FF"/>
                  <w:w w:val="82"/>
                </w:rPr>
                <w:t>5</w:t>
              </w:r>
            </w:hyperlink>
          </w:p>
        </w:tc>
        <w:tc>
          <w:tcPr>
            <w:tcW w:w="900" w:type="dxa"/>
            <w:vAlign w:val="bottom"/>
            <w:shd w:val="clear" w:color="auto" w:fill="CCEEFF"/>
          </w:tcPr>
          <w:p>
            <w:pPr>
              <w:spacing w:after="0"/>
              <w:rPr>
                <w:sz w:val="14"/>
                <w:szCs w:val="14"/>
                <w:color w:val="auto"/>
              </w:rPr>
            </w:pPr>
          </w:p>
        </w:tc>
      </w:tr>
      <w:tr>
        <w:trPr>
          <w:trHeight w:val="149"/>
        </w:trPr>
        <w:tc>
          <w:tcPr>
            <w:tcW w:w="4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2620" w:type="dxa"/>
            <w:vAlign w:val="bottom"/>
            <w:tcBorders>
              <w:top w:val="single" w:sz="8" w:color="0000FF"/>
            </w:tcBorders>
            <w:gridSpan w:val="27"/>
          </w:tcPr>
          <w:p>
            <w:pPr>
              <w:spacing w:after="0"/>
              <w:rPr>
                <w:rFonts w:ascii="Arial" w:cs="Arial" w:eastAsia="Arial" w:hAnsi="Arial"/>
                <w:sz w:val="13"/>
                <w:szCs w:val="13"/>
                <w:color w:val="0000FF"/>
              </w:rPr>
            </w:pPr>
            <w:hyperlink w:anchor="page10">
              <w:r>
                <w:rPr>
                  <w:rFonts w:ascii="Arial" w:cs="Arial" w:eastAsia="Arial" w:hAnsi="Arial"/>
                  <w:sz w:val="13"/>
                  <w:szCs w:val="13"/>
                  <w:color w:val="0000FF"/>
                </w:rPr>
                <w:t>Director Nomination Process</w:t>
              </w:r>
            </w:hyperlink>
          </w:p>
        </w:tc>
        <w:tc>
          <w:tcPr>
            <w:tcW w:w="5980" w:type="dxa"/>
            <w:vAlign w:val="bottom"/>
            <w:tcBorders>
              <w:top w:val="single" w:sz="8" w:color="CCEEFF"/>
            </w:tcBorders>
            <w:gridSpan w:val="16"/>
          </w:tcPr>
          <w:p>
            <w:pPr>
              <w:spacing w:after="0"/>
              <w:rPr>
                <w:sz w:val="12"/>
                <w:szCs w:val="12"/>
                <w:color w:val="auto"/>
              </w:rPr>
            </w:pPr>
          </w:p>
        </w:tc>
        <w:tc>
          <w:tcPr>
            <w:tcW w:w="1540" w:type="dxa"/>
            <w:vAlign w:val="bottom"/>
            <w:tcBorders>
              <w:top w:val="single" w:sz="8" w:color="CCEEFF"/>
            </w:tcBorders>
            <w:gridSpan w:val="2"/>
          </w:tcPr>
          <w:p>
            <w:pPr>
              <w:jc w:val="center"/>
              <w:ind w:left="1337"/>
              <w:spacing w:after="0"/>
              <w:rPr>
                <w:rFonts w:ascii="Arial" w:cs="Arial" w:eastAsia="Arial" w:hAnsi="Arial"/>
                <w:sz w:val="13"/>
                <w:szCs w:val="13"/>
                <w:u w:val="single" w:color="auto"/>
                <w:color w:val="0000FF"/>
                <w:w w:val="82"/>
              </w:rPr>
            </w:pPr>
            <w:hyperlink w:anchor="page10">
              <w:r>
                <w:rPr>
                  <w:rFonts w:ascii="Arial" w:cs="Arial" w:eastAsia="Arial" w:hAnsi="Arial"/>
                  <w:sz w:val="13"/>
                  <w:szCs w:val="13"/>
                  <w:u w:val="single" w:color="auto"/>
                  <w:color w:val="0000FF"/>
                  <w:w w:val="82"/>
                </w:rPr>
                <w:t>8</w:t>
              </w:r>
            </w:hyperlink>
          </w:p>
        </w:tc>
        <w:tc>
          <w:tcPr>
            <w:tcW w:w="900" w:type="dxa"/>
            <w:vAlign w:val="bottom"/>
            <w:tcBorders>
              <w:top w:val="single" w:sz="8" w:color="CCEEFF"/>
            </w:tcBorders>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9"/>
        </w:trPr>
        <w:tc>
          <w:tcPr>
            <w:tcW w:w="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0000FF"/>
            </w:tcBorders>
            <w:gridSpan w:val="6"/>
            <w:shd w:val="clear" w:color="auto" w:fill="CCEEFF"/>
          </w:tcPr>
          <w:p>
            <w:pPr>
              <w:spacing w:after="0"/>
              <w:rPr>
                <w:rFonts w:ascii="Arial" w:cs="Arial" w:eastAsia="Arial" w:hAnsi="Arial"/>
                <w:sz w:val="13"/>
                <w:szCs w:val="13"/>
                <w:color w:val="0000FF"/>
                <w:w w:val="85"/>
              </w:rPr>
            </w:pPr>
            <w:hyperlink w:anchor="page11">
              <w:r>
                <w:rPr>
                  <w:rFonts w:ascii="Arial" w:cs="Arial" w:eastAsia="Arial" w:hAnsi="Arial"/>
                  <w:sz w:val="13"/>
                  <w:szCs w:val="13"/>
                  <w:color w:val="0000FF"/>
                  <w:w w:val="85"/>
                </w:rPr>
                <w:t>Executive Sessions</w:t>
              </w:r>
            </w:hyperlink>
          </w:p>
        </w:tc>
        <w:tc>
          <w:tcPr>
            <w:tcW w:w="7620" w:type="dxa"/>
            <w:vAlign w:val="bottom"/>
            <w:tcBorders>
              <w:bottom w:val="single" w:sz="8" w:color="CCEEFF"/>
            </w:tcBorders>
            <w:gridSpan w:val="37"/>
            <w:shd w:val="clear" w:color="auto" w:fill="CCEEFF"/>
          </w:tcPr>
          <w:p>
            <w:pPr>
              <w:spacing w:after="0"/>
              <w:rPr>
                <w:sz w:val="14"/>
                <w:szCs w:val="14"/>
                <w:color w:val="auto"/>
              </w:rPr>
            </w:pPr>
          </w:p>
        </w:tc>
        <w:tc>
          <w:tcPr>
            <w:tcW w:w="1540" w:type="dxa"/>
            <w:vAlign w:val="bottom"/>
            <w:tcBorders>
              <w:bottom w:val="single" w:sz="8" w:color="CCEEFF"/>
            </w:tcBorders>
            <w:gridSpan w:val="2"/>
            <w:shd w:val="clear" w:color="auto" w:fill="CCEEFF"/>
          </w:tcPr>
          <w:p>
            <w:pPr>
              <w:jc w:val="center"/>
              <w:ind w:left="1337"/>
              <w:spacing w:after="0"/>
              <w:rPr>
                <w:rFonts w:ascii="Arial" w:cs="Arial" w:eastAsia="Arial" w:hAnsi="Arial"/>
                <w:sz w:val="13"/>
                <w:szCs w:val="13"/>
                <w:u w:val="single" w:color="auto"/>
                <w:color w:val="0000FF"/>
                <w:w w:val="82"/>
              </w:rPr>
            </w:pPr>
            <w:hyperlink w:anchor="page11">
              <w:r>
                <w:rPr>
                  <w:rFonts w:ascii="Arial" w:cs="Arial" w:eastAsia="Arial" w:hAnsi="Arial"/>
                  <w:sz w:val="13"/>
                  <w:szCs w:val="13"/>
                  <w:u w:val="single" w:color="auto"/>
                  <w:color w:val="0000FF"/>
                  <w:w w:val="82"/>
                </w:rPr>
                <w:t>8</w:t>
              </w:r>
            </w:hyperlink>
          </w:p>
        </w:tc>
        <w:tc>
          <w:tcPr>
            <w:tcW w:w="900" w:type="dxa"/>
            <w:vAlign w:val="bottom"/>
            <w:tcBorders>
              <w:bottom w:val="single" w:sz="8" w:color="CCEEFF"/>
            </w:tcBorders>
            <w:shd w:val="clear" w:color="auto" w:fill="CCEEFF"/>
          </w:tcPr>
          <w:p>
            <w:pPr>
              <w:spacing w:after="0"/>
              <w:rPr>
                <w:sz w:val="14"/>
                <w:szCs w:val="14"/>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0" w:type="dxa"/>
            <w:vAlign w:val="bottom"/>
            <w:gridSpan w:val="43"/>
          </w:tcPr>
          <w:p>
            <w:pPr>
              <w:spacing w:after="0"/>
              <w:rPr>
                <w:rFonts w:ascii="Arial" w:cs="Arial" w:eastAsia="Arial" w:hAnsi="Arial"/>
                <w:sz w:val="13"/>
                <w:szCs w:val="13"/>
                <w:color w:val="0000FF"/>
              </w:rPr>
            </w:pPr>
            <w:hyperlink w:anchor="page11">
              <w:r>
                <w:rPr>
                  <w:rFonts w:ascii="Arial" w:cs="Arial" w:eastAsia="Arial" w:hAnsi="Arial"/>
                  <w:sz w:val="13"/>
                  <w:szCs w:val="13"/>
                  <w:color w:val="0000FF"/>
                </w:rPr>
                <w:t>Communications with the Board of Directors</w:t>
              </w:r>
            </w:hyperlink>
          </w:p>
        </w:tc>
        <w:tc>
          <w:tcPr>
            <w:tcW w:w="1540" w:type="dxa"/>
            <w:vAlign w:val="bottom"/>
            <w:gridSpan w:val="2"/>
          </w:tcPr>
          <w:p>
            <w:pPr>
              <w:jc w:val="center"/>
              <w:ind w:left="1337"/>
              <w:spacing w:after="0"/>
              <w:rPr>
                <w:rFonts w:ascii="Arial" w:cs="Arial" w:eastAsia="Arial" w:hAnsi="Arial"/>
                <w:sz w:val="13"/>
                <w:szCs w:val="13"/>
                <w:u w:val="single" w:color="auto"/>
                <w:color w:val="0000FF"/>
                <w:w w:val="82"/>
              </w:rPr>
            </w:pPr>
            <w:hyperlink w:anchor="page11">
              <w:r>
                <w:rPr>
                  <w:rFonts w:ascii="Arial" w:cs="Arial" w:eastAsia="Arial" w:hAnsi="Arial"/>
                  <w:sz w:val="13"/>
                  <w:szCs w:val="13"/>
                  <w:u w:val="single" w:color="auto"/>
                  <w:color w:val="0000FF"/>
                  <w:w w:val="82"/>
                </w:rPr>
                <w:t>8</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0" w:type="dxa"/>
            <w:vAlign w:val="bottom"/>
            <w:gridSpan w:val="43"/>
            <w:shd w:val="clear" w:color="auto" w:fill="CCEEFF"/>
          </w:tcPr>
          <w:p>
            <w:pPr>
              <w:spacing w:after="0"/>
              <w:rPr>
                <w:rFonts w:ascii="Arial" w:cs="Arial" w:eastAsia="Arial" w:hAnsi="Arial"/>
                <w:sz w:val="13"/>
                <w:szCs w:val="13"/>
                <w:color w:val="0000FF"/>
              </w:rPr>
            </w:pPr>
            <w:hyperlink w:anchor="page12">
              <w:r>
                <w:rPr>
                  <w:rFonts w:ascii="Arial" w:cs="Arial" w:eastAsia="Arial" w:hAnsi="Arial"/>
                  <w:sz w:val="13"/>
                  <w:szCs w:val="13"/>
                  <w:color w:val="0000FF"/>
                </w:rPr>
                <w:t>Equity Ownership Guidelines for Directors</w:t>
              </w:r>
            </w:hyperlink>
          </w:p>
        </w:tc>
        <w:tc>
          <w:tcPr>
            <w:tcW w:w="1540" w:type="dxa"/>
            <w:vAlign w:val="bottom"/>
            <w:gridSpan w:val="2"/>
            <w:shd w:val="clear" w:color="auto" w:fill="CCEEFF"/>
          </w:tcPr>
          <w:p>
            <w:pPr>
              <w:jc w:val="center"/>
              <w:ind w:left="1337"/>
              <w:spacing w:after="0"/>
              <w:rPr>
                <w:rFonts w:ascii="Arial" w:cs="Arial" w:eastAsia="Arial" w:hAnsi="Arial"/>
                <w:sz w:val="13"/>
                <w:szCs w:val="13"/>
                <w:u w:val="single" w:color="auto"/>
                <w:color w:val="0000FF"/>
                <w:w w:val="82"/>
              </w:rPr>
            </w:pPr>
            <w:hyperlink w:anchor="page12">
              <w:r>
                <w:rPr>
                  <w:rFonts w:ascii="Arial" w:cs="Arial" w:eastAsia="Arial" w:hAnsi="Arial"/>
                  <w:sz w:val="13"/>
                  <w:szCs w:val="13"/>
                  <w:u w:val="single" w:color="auto"/>
                  <w:color w:val="0000FF"/>
                  <w:w w:val="82"/>
                </w:rPr>
                <w:t>9</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8980" w:type="dxa"/>
            <w:vAlign w:val="bottom"/>
            <w:gridSpan w:val="45"/>
          </w:tcPr>
          <w:p>
            <w:pPr>
              <w:ind w:left="40"/>
              <w:spacing w:after="0"/>
              <w:rPr>
                <w:rFonts w:ascii="Arial" w:cs="Arial" w:eastAsia="Arial" w:hAnsi="Arial"/>
                <w:sz w:val="13"/>
                <w:szCs w:val="13"/>
                <w:color w:val="0000FF"/>
              </w:rPr>
            </w:pPr>
            <w:hyperlink w:anchor="page12">
              <w:r>
                <w:rPr>
                  <w:rFonts w:ascii="Arial" w:cs="Arial" w:eastAsia="Arial" w:hAnsi="Arial"/>
                  <w:sz w:val="13"/>
                  <w:szCs w:val="13"/>
                  <w:color w:val="0000FF"/>
                </w:rPr>
                <w:t>Director Compensation</w:t>
              </w:r>
            </w:hyperlink>
          </w:p>
        </w:tc>
        <w:tc>
          <w:tcPr>
            <w:tcW w:w="1540" w:type="dxa"/>
            <w:vAlign w:val="bottom"/>
            <w:gridSpan w:val="2"/>
          </w:tcPr>
          <w:p>
            <w:pPr>
              <w:jc w:val="center"/>
              <w:ind w:left="1337"/>
              <w:spacing w:after="0"/>
              <w:rPr>
                <w:rFonts w:ascii="Arial" w:cs="Arial" w:eastAsia="Arial" w:hAnsi="Arial"/>
                <w:sz w:val="13"/>
                <w:szCs w:val="13"/>
                <w:u w:val="single" w:color="auto"/>
                <w:color w:val="0000FF"/>
                <w:w w:val="82"/>
              </w:rPr>
            </w:pPr>
            <w:hyperlink w:anchor="page12">
              <w:r>
                <w:rPr>
                  <w:rFonts w:ascii="Arial" w:cs="Arial" w:eastAsia="Arial" w:hAnsi="Arial"/>
                  <w:sz w:val="13"/>
                  <w:szCs w:val="13"/>
                  <w:u w:val="single" w:color="auto"/>
                  <w:color w:val="0000FF"/>
                  <w:w w:val="82"/>
                </w:rPr>
                <w:t>9</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0" w:type="dxa"/>
            <w:vAlign w:val="bottom"/>
            <w:gridSpan w:val="43"/>
            <w:shd w:val="clear" w:color="auto" w:fill="CCEEFF"/>
          </w:tcPr>
          <w:p>
            <w:pPr>
              <w:spacing w:after="0"/>
              <w:rPr>
                <w:rFonts w:ascii="Arial" w:cs="Arial" w:eastAsia="Arial" w:hAnsi="Arial"/>
                <w:sz w:val="13"/>
                <w:szCs w:val="13"/>
                <w:color w:val="0000FF"/>
              </w:rPr>
            </w:pPr>
            <w:hyperlink w:anchor="page12">
              <w:r>
                <w:rPr>
                  <w:rFonts w:ascii="Arial" w:cs="Arial" w:eastAsia="Arial" w:hAnsi="Arial"/>
                  <w:sz w:val="13"/>
                  <w:szCs w:val="13"/>
                  <w:color w:val="0000FF"/>
                </w:rPr>
                <w:t>General</w:t>
              </w:r>
            </w:hyperlink>
          </w:p>
        </w:tc>
        <w:tc>
          <w:tcPr>
            <w:tcW w:w="1540" w:type="dxa"/>
            <w:vAlign w:val="bottom"/>
            <w:gridSpan w:val="2"/>
            <w:shd w:val="clear" w:color="auto" w:fill="CCEEFF"/>
          </w:tcPr>
          <w:p>
            <w:pPr>
              <w:jc w:val="center"/>
              <w:ind w:left="1337"/>
              <w:spacing w:after="0"/>
              <w:rPr>
                <w:rFonts w:ascii="Arial" w:cs="Arial" w:eastAsia="Arial" w:hAnsi="Arial"/>
                <w:sz w:val="13"/>
                <w:szCs w:val="13"/>
                <w:u w:val="single" w:color="auto"/>
                <w:color w:val="0000FF"/>
                <w:w w:val="82"/>
              </w:rPr>
            </w:pPr>
            <w:hyperlink w:anchor="page12">
              <w:r>
                <w:rPr>
                  <w:rFonts w:ascii="Arial" w:cs="Arial" w:eastAsia="Arial" w:hAnsi="Arial"/>
                  <w:sz w:val="13"/>
                  <w:szCs w:val="13"/>
                  <w:u w:val="single" w:color="auto"/>
                  <w:color w:val="0000FF"/>
                  <w:w w:val="82"/>
                </w:rPr>
                <w:t>9</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0" w:type="dxa"/>
            <w:vAlign w:val="bottom"/>
            <w:gridSpan w:val="43"/>
          </w:tcPr>
          <w:p>
            <w:pPr>
              <w:spacing w:after="0"/>
              <w:rPr>
                <w:rFonts w:ascii="Arial" w:cs="Arial" w:eastAsia="Arial" w:hAnsi="Arial"/>
                <w:sz w:val="13"/>
                <w:szCs w:val="13"/>
                <w:color w:val="0000FF"/>
              </w:rPr>
            </w:pPr>
            <w:hyperlink w:anchor="page13">
              <w:r>
                <w:rPr>
                  <w:rFonts w:ascii="Arial" w:cs="Arial" w:eastAsia="Arial" w:hAnsi="Arial"/>
                  <w:sz w:val="13"/>
                  <w:szCs w:val="13"/>
                  <w:color w:val="0000FF"/>
                </w:rPr>
                <w:t>Director Compensation</w:t>
              </w:r>
            </w:hyperlink>
          </w:p>
        </w:tc>
        <w:tc>
          <w:tcPr>
            <w:tcW w:w="1540" w:type="dxa"/>
            <w:vAlign w:val="bottom"/>
            <w:gridSpan w:val="2"/>
          </w:tcPr>
          <w:p>
            <w:pPr>
              <w:jc w:val="center"/>
              <w:ind w:left="1357"/>
              <w:spacing w:after="0"/>
              <w:rPr>
                <w:rFonts w:ascii="Arial" w:cs="Arial" w:eastAsia="Arial" w:hAnsi="Arial"/>
                <w:sz w:val="13"/>
                <w:szCs w:val="13"/>
                <w:color w:val="0000FF"/>
                <w:w w:val="82"/>
              </w:rPr>
            </w:pPr>
            <w:hyperlink w:anchor="page13">
              <w:r>
                <w:rPr>
                  <w:rFonts w:ascii="Arial" w:cs="Arial" w:eastAsia="Arial" w:hAnsi="Arial"/>
                  <w:sz w:val="13"/>
                  <w:szCs w:val="13"/>
                  <w:color w:val="0000FF"/>
                  <w:w w:val="82"/>
                </w:rPr>
                <w:t>10</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8980" w:type="dxa"/>
            <w:vAlign w:val="bottom"/>
            <w:gridSpan w:val="45"/>
            <w:shd w:val="clear" w:color="auto" w:fill="CCEEFF"/>
          </w:tcPr>
          <w:p>
            <w:pPr>
              <w:ind w:left="40"/>
              <w:spacing w:after="0"/>
              <w:rPr>
                <w:rFonts w:ascii="Arial" w:cs="Arial" w:eastAsia="Arial" w:hAnsi="Arial"/>
                <w:sz w:val="13"/>
                <w:szCs w:val="13"/>
                <w:color w:val="0000FF"/>
              </w:rPr>
            </w:pPr>
            <w:hyperlink w:anchor="page14">
              <w:r>
                <w:rPr>
                  <w:rFonts w:ascii="Arial" w:cs="Arial" w:eastAsia="Arial" w:hAnsi="Arial"/>
                  <w:sz w:val="13"/>
                  <w:szCs w:val="13"/>
                  <w:color w:val="0000FF"/>
                </w:rPr>
                <w:t>Audit Committee Matters</w:t>
              </w:r>
            </w:hyperlink>
          </w:p>
        </w:tc>
        <w:tc>
          <w:tcPr>
            <w:tcW w:w="1540" w:type="dxa"/>
            <w:vAlign w:val="bottom"/>
            <w:gridSpan w:val="2"/>
            <w:shd w:val="clear" w:color="auto" w:fill="CCEEFF"/>
          </w:tcPr>
          <w:p>
            <w:pPr>
              <w:jc w:val="center"/>
              <w:ind w:left="1357"/>
              <w:spacing w:after="0"/>
              <w:rPr>
                <w:rFonts w:ascii="Arial" w:cs="Arial" w:eastAsia="Arial" w:hAnsi="Arial"/>
                <w:sz w:val="13"/>
                <w:szCs w:val="13"/>
                <w:color w:val="0000EE"/>
                <w:w w:val="82"/>
              </w:rPr>
            </w:pPr>
            <w:hyperlink w:anchor="page14">
              <w:r>
                <w:rPr>
                  <w:rFonts w:ascii="Arial" w:cs="Arial" w:eastAsia="Arial" w:hAnsi="Arial"/>
                  <w:sz w:val="13"/>
                  <w:szCs w:val="13"/>
                  <w:color w:val="0000EE"/>
                  <w:w w:val="82"/>
                </w:rPr>
                <w:t>11</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0" w:type="dxa"/>
            <w:vAlign w:val="bottom"/>
            <w:gridSpan w:val="43"/>
          </w:tcPr>
          <w:p>
            <w:pPr>
              <w:spacing w:after="0"/>
              <w:rPr>
                <w:rFonts w:ascii="Arial" w:cs="Arial" w:eastAsia="Arial" w:hAnsi="Arial"/>
                <w:sz w:val="13"/>
                <w:szCs w:val="13"/>
                <w:color w:val="0000FF"/>
              </w:rPr>
            </w:pPr>
            <w:hyperlink w:anchor="page14">
              <w:r>
                <w:rPr>
                  <w:rFonts w:ascii="Arial" w:cs="Arial" w:eastAsia="Arial" w:hAnsi="Arial"/>
                  <w:sz w:val="13"/>
                  <w:szCs w:val="13"/>
                  <w:color w:val="0000FF"/>
                </w:rPr>
                <w:t>Report of the Audit Committee of the Board of Directors</w:t>
              </w:r>
            </w:hyperlink>
          </w:p>
        </w:tc>
        <w:tc>
          <w:tcPr>
            <w:tcW w:w="1540" w:type="dxa"/>
            <w:vAlign w:val="bottom"/>
            <w:gridSpan w:val="2"/>
          </w:tcPr>
          <w:p>
            <w:pPr>
              <w:jc w:val="center"/>
              <w:ind w:left="1357"/>
              <w:spacing w:after="0"/>
              <w:rPr>
                <w:rFonts w:ascii="Arial" w:cs="Arial" w:eastAsia="Arial" w:hAnsi="Arial"/>
                <w:sz w:val="13"/>
                <w:szCs w:val="13"/>
                <w:color w:val="0000FF"/>
                <w:w w:val="82"/>
              </w:rPr>
            </w:pPr>
            <w:hyperlink w:anchor="page14">
              <w:r>
                <w:rPr>
                  <w:rFonts w:ascii="Arial" w:cs="Arial" w:eastAsia="Arial" w:hAnsi="Arial"/>
                  <w:sz w:val="13"/>
                  <w:szCs w:val="13"/>
                  <w:color w:val="0000FF"/>
                  <w:w w:val="82"/>
                </w:rPr>
                <w:t>11</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0" w:type="dxa"/>
            <w:vAlign w:val="bottom"/>
            <w:gridSpan w:val="43"/>
            <w:shd w:val="clear" w:color="auto" w:fill="CCEEFF"/>
          </w:tcPr>
          <w:p>
            <w:pPr>
              <w:spacing w:after="0"/>
              <w:rPr>
                <w:rFonts w:ascii="Arial" w:cs="Arial" w:eastAsia="Arial" w:hAnsi="Arial"/>
                <w:sz w:val="13"/>
                <w:szCs w:val="13"/>
                <w:color w:val="0000FF"/>
              </w:rPr>
            </w:pPr>
            <w:hyperlink w:anchor="page14">
              <w:r>
                <w:rPr>
                  <w:rFonts w:ascii="Arial" w:cs="Arial" w:eastAsia="Arial" w:hAnsi="Arial"/>
                  <w:sz w:val="13"/>
                  <w:szCs w:val="13"/>
                  <w:color w:val="0000FF"/>
                </w:rPr>
                <w:t>Fees of Independent Registered Public Accounting Firm</w:t>
              </w:r>
            </w:hyperlink>
          </w:p>
        </w:tc>
        <w:tc>
          <w:tcPr>
            <w:tcW w:w="1540" w:type="dxa"/>
            <w:vAlign w:val="bottom"/>
            <w:gridSpan w:val="2"/>
            <w:shd w:val="clear" w:color="auto" w:fill="CCEEFF"/>
          </w:tcPr>
          <w:p>
            <w:pPr>
              <w:jc w:val="center"/>
              <w:ind w:left="1357"/>
              <w:spacing w:after="0"/>
              <w:rPr>
                <w:rFonts w:ascii="Arial" w:cs="Arial" w:eastAsia="Arial" w:hAnsi="Arial"/>
                <w:sz w:val="13"/>
                <w:szCs w:val="13"/>
                <w:color w:val="0000FF"/>
                <w:w w:val="82"/>
              </w:rPr>
            </w:pPr>
            <w:hyperlink w:anchor="page14">
              <w:r>
                <w:rPr>
                  <w:rFonts w:ascii="Arial" w:cs="Arial" w:eastAsia="Arial" w:hAnsi="Arial"/>
                  <w:sz w:val="13"/>
                  <w:szCs w:val="13"/>
                  <w:color w:val="0000FF"/>
                  <w:w w:val="82"/>
                </w:rPr>
                <w:t>12</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40" w:type="dxa"/>
            <w:vAlign w:val="bottom"/>
            <w:gridSpan w:val="31"/>
          </w:tcPr>
          <w:p>
            <w:pPr>
              <w:spacing w:after="0"/>
              <w:rPr>
                <w:rFonts w:ascii="Arial" w:cs="Arial" w:eastAsia="Arial" w:hAnsi="Arial"/>
                <w:sz w:val="13"/>
                <w:szCs w:val="13"/>
                <w:color w:val="0000FF"/>
              </w:rPr>
            </w:pPr>
            <w:hyperlink w:anchor="page15">
              <w:r>
                <w:rPr>
                  <w:rFonts w:ascii="Arial" w:cs="Arial" w:eastAsia="Arial" w:hAnsi="Arial"/>
                  <w:sz w:val="13"/>
                  <w:szCs w:val="13"/>
                  <w:color w:val="0000FF"/>
                </w:rPr>
                <w:t>Audit Committee Pre-Approval Policy</w:t>
              </w:r>
            </w:hyperlink>
          </w:p>
        </w:tc>
        <w:tc>
          <w:tcPr>
            <w:tcW w:w="5760" w:type="dxa"/>
            <w:vAlign w:val="bottom"/>
            <w:gridSpan w:val="12"/>
          </w:tcPr>
          <w:p>
            <w:pPr>
              <w:spacing w:after="0"/>
              <w:rPr>
                <w:sz w:val="12"/>
                <w:szCs w:val="12"/>
                <w:color w:val="auto"/>
              </w:rPr>
            </w:pPr>
          </w:p>
        </w:tc>
        <w:tc>
          <w:tcPr>
            <w:tcW w:w="1540" w:type="dxa"/>
            <w:vAlign w:val="bottom"/>
            <w:gridSpan w:val="2"/>
          </w:tcPr>
          <w:p>
            <w:pPr>
              <w:jc w:val="center"/>
              <w:ind w:left="1357"/>
              <w:spacing w:after="0"/>
              <w:rPr>
                <w:rFonts w:ascii="Arial" w:cs="Arial" w:eastAsia="Arial" w:hAnsi="Arial"/>
                <w:sz w:val="13"/>
                <w:szCs w:val="13"/>
                <w:color w:val="0000FF"/>
                <w:w w:val="82"/>
              </w:rPr>
            </w:pPr>
            <w:hyperlink w:anchor="page15">
              <w:r>
                <w:rPr>
                  <w:rFonts w:ascii="Arial" w:cs="Arial" w:eastAsia="Arial" w:hAnsi="Arial"/>
                  <w:sz w:val="13"/>
                  <w:szCs w:val="13"/>
                  <w:color w:val="0000FF"/>
                  <w:w w:val="82"/>
                </w:rPr>
                <w:t>12</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8980" w:type="dxa"/>
            <w:vAlign w:val="bottom"/>
            <w:gridSpan w:val="45"/>
            <w:shd w:val="clear" w:color="auto" w:fill="CCEEFF"/>
          </w:tcPr>
          <w:p>
            <w:pPr>
              <w:ind w:left="40"/>
              <w:spacing w:after="0"/>
              <w:rPr>
                <w:rFonts w:ascii="Arial" w:cs="Arial" w:eastAsia="Arial" w:hAnsi="Arial"/>
                <w:sz w:val="13"/>
                <w:szCs w:val="13"/>
                <w:color w:val="0000FF"/>
              </w:rPr>
            </w:pPr>
            <w:hyperlink w:anchor="page15">
              <w:r>
                <w:rPr>
                  <w:rFonts w:ascii="Arial" w:cs="Arial" w:eastAsia="Arial" w:hAnsi="Arial"/>
                  <w:sz w:val="13"/>
                  <w:szCs w:val="13"/>
                  <w:color w:val="0000FF"/>
                </w:rPr>
                <w:t>Proposal Number 2: Ratification of Selection of Independent Registered Public Accounting Firm</w:t>
              </w:r>
            </w:hyperlink>
          </w:p>
        </w:tc>
        <w:tc>
          <w:tcPr>
            <w:tcW w:w="1540" w:type="dxa"/>
            <w:vAlign w:val="bottom"/>
            <w:gridSpan w:val="2"/>
            <w:shd w:val="clear" w:color="auto" w:fill="CCEEFF"/>
          </w:tcPr>
          <w:p>
            <w:pPr>
              <w:jc w:val="center"/>
              <w:ind w:left="1357"/>
              <w:spacing w:after="0"/>
              <w:rPr>
                <w:rFonts w:ascii="Arial" w:cs="Arial" w:eastAsia="Arial" w:hAnsi="Arial"/>
                <w:sz w:val="13"/>
                <w:szCs w:val="13"/>
                <w:color w:val="0000FF"/>
                <w:w w:val="82"/>
              </w:rPr>
            </w:pPr>
            <w:hyperlink w:anchor="page15">
              <w:r>
                <w:rPr>
                  <w:rFonts w:ascii="Arial" w:cs="Arial" w:eastAsia="Arial" w:hAnsi="Arial"/>
                  <w:sz w:val="13"/>
                  <w:szCs w:val="13"/>
                  <w:color w:val="0000FF"/>
                  <w:w w:val="82"/>
                </w:rPr>
                <w:t>12</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8980" w:type="dxa"/>
            <w:vAlign w:val="bottom"/>
            <w:gridSpan w:val="45"/>
          </w:tcPr>
          <w:p>
            <w:pPr>
              <w:ind w:left="40"/>
              <w:spacing w:after="0"/>
              <w:rPr>
                <w:rFonts w:ascii="Arial" w:cs="Arial" w:eastAsia="Arial" w:hAnsi="Arial"/>
                <w:sz w:val="13"/>
                <w:szCs w:val="13"/>
                <w:color w:val="0000FF"/>
              </w:rPr>
            </w:pPr>
            <w:hyperlink w:anchor="page15">
              <w:r>
                <w:rPr>
                  <w:rFonts w:ascii="Arial" w:cs="Arial" w:eastAsia="Arial" w:hAnsi="Arial"/>
                  <w:sz w:val="13"/>
                  <w:szCs w:val="13"/>
                  <w:color w:val="0000FF"/>
                </w:rPr>
                <w:t>Executive Officer Information</w:t>
              </w:r>
            </w:hyperlink>
          </w:p>
        </w:tc>
        <w:tc>
          <w:tcPr>
            <w:tcW w:w="1540" w:type="dxa"/>
            <w:vAlign w:val="bottom"/>
            <w:gridSpan w:val="2"/>
          </w:tcPr>
          <w:p>
            <w:pPr>
              <w:jc w:val="center"/>
              <w:ind w:left="1357"/>
              <w:spacing w:after="0"/>
              <w:rPr>
                <w:rFonts w:ascii="Arial" w:cs="Arial" w:eastAsia="Arial" w:hAnsi="Arial"/>
                <w:sz w:val="13"/>
                <w:szCs w:val="13"/>
                <w:color w:val="0000FF"/>
                <w:w w:val="82"/>
              </w:rPr>
            </w:pPr>
            <w:hyperlink w:anchor="page15">
              <w:r>
                <w:rPr>
                  <w:rFonts w:ascii="Arial" w:cs="Arial" w:eastAsia="Arial" w:hAnsi="Arial"/>
                  <w:sz w:val="13"/>
                  <w:szCs w:val="13"/>
                  <w:color w:val="0000FF"/>
                  <w:w w:val="82"/>
                </w:rPr>
                <w:t>12</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0" w:type="dxa"/>
            <w:vAlign w:val="bottom"/>
            <w:gridSpan w:val="43"/>
            <w:shd w:val="clear" w:color="auto" w:fill="CCEEFF"/>
          </w:tcPr>
          <w:p>
            <w:pPr>
              <w:spacing w:after="0"/>
              <w:rPr>
                <w:rFonts w:ascii="Arial" w:cs="Arial" w:eastAsia="Arial" w:hAnsi="Arial"/>
                <w:sz w:val="13"/>
                <w:szCs w:val="13"/>
                <w:color w:val="0000FF"/>
              </w:rPr>
            </w:pPr>
            <w:hyperlink w:anchor="page15">
              <w:r>
                <w:rPr>
                  <w:rFonts w:ascii="Arial" w:cs="Arial" w:eastAsia="Arial" w:hAnsi="Arial"/>
                  <w:sz w:val="13"/>
                  <w:szCs w:val="13"/>
                  <w:color w:val="0000FF"/>
                </w:rPr>
                <w:t>Executive Officer Biographies</w:t>
              </w:r>
            </w:hyperlink>
          </w:p>
        </w:tc>
        <w:tc>
          <w:tcPr>
            <w:tcW w:w="1540" w:type="dxa"/>
            <w:vAlign w:val="bottom"/>
            <w:gridSpan w:val="2"/>
            <w:shd w:val="clear" w:color="auto" w:fill="CCEEFF"/>
          </w:tcPr>
          <w:p>
            <w:pPr>
              <w:jc w:val="center"/>
              <w:ind w:left="1357"/>
              <w:spacing w:after="0"/>
              <w:rPr>
                <w:rFonts w:ascii="Arial" w:cs="Arial" w:eastAsia="Arial" w:hAnsi="Arial"/>
                <w:sz w:val="13"/>
                <w:szCs w:val="13"/>
                <w:color w:val="0000FF"/>
                <w:w w:val="82"/>
              </w:rPr>
            </w:pPr>
            <w:hyperlink w:anchor="page15">
              <w:r>
                <w:rPr>
                  <w:rFonts w:ascii="Arial" w:cs="Arial" w:eastAsia="Arial" w:hAnsi="Arial"/>
                  <w:sz w:val="13"/>
                  <w:szCs w:val="13"/>
                  <w:color w:val="0000FF"/>
                  <w:w w:val="82"/>
                </w:rPr>
                <w:t>12</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8980" w:type="dxa"/>
            <w:vAlign w:val="bottom"/>
            <w:gridSpan w:val="45"/>
          </w:tcPr>
          <w:p>
            <w:pPr>
              <w:ind w:left="40"/>
              <w:spacing w:after="0"/>
              <w:rPr>
                <w:rFonts w:ascii="Arial" w:cs="Arial" w:eastAsia="Arial" w:hAnsi="Arial"/>
                <w:sz w:val="13"/>
                <w:szCs w:val="13"/>
                <w:color w:val="0000FF"/>
              </w:rPr>
            </w:pPr>
            <w:hyperlink w:anchor="page16">
              <w:r>
                <w:rPr>
                  <w:rFonts w:ascii="Arial" w:cs="Arial" w:eastAsia="Arial" w:hAnsi="Arial"/>
                  <w:sz w:val="13"/>
                  <w:szCs w:val="13"/>
                  <w:color w:val="0000FF"/>
                </w:rPr>
                <w:t>Compensation Discussion and Analysis</w:t>
              </w:r>
            </w:hyperlink>
          </w:p>
        </w:tc>
        <w:tc>
          <w:tcPr>
            <w:tcW w:w="1540" w:type="dxa"/>
            <w:vAlign w:val="bottom"/>
            <w:gridSpan w:val="2"/>
          </w:tcPr>
          <w:p>
            <w:pPr>
              <w:jc w:val="center"/>
              <w:ind w:left="1357"/>
              <w:spacing w:after="0"/>
              <w:rPr>
                <w:rFonts w:ascii="Arial" w:cs="Arial" w:eastAsia="Arial" w:hAnsi="Arial"/>
                <w:sz w:val="13"/>
                <w:szCs w:val="13"/>
                <w:color w:val="0000FF"/>
                <w:w w:val="82"/>
              </w:rPr>
            </w:pPr>
            <w:hyperlink w:anchor="page16">
              <w:r>
                <w:rPr>
                  <w:rFonts w:ascii="Arial" w:cs="Arial" w:eastAsia="Arial" w:hAnsi="Arial"/>
                  <w:sz w:val="13"/>
                  <w:szCs w:val="13"/>
                  <w:color w:val="0000FF"/>
                  <w:w w:val="82"/>
                </w:rPr>
                <w:t>13</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gridSpan w:val="7"/>
            <w:shd w:val="clear" w:color="auto" w:fill="CCEEFF"/>
          </w:tcPr>
          <w:p>
            <w:pPr>
              <w:spacing w:after="0"/>
              <w:rPr>
                <w:rFonts w:ascii="Arial" w:cs="Arial" w:eastAsia="Arial" w:hAnsi="Arial"/>
                <w:sz w:val="13"/>
                <w:szCs w:val="13"/>
                <w:color w:val="0000FF"/>
                <w:w w:val="88"/>
              </w:rPr>
            </w:pPr>
            <w:hyperlink w:anchor="page16">
              <w:r>
                <w:rPr>
                  <w:rFonts w:ascii="Arial" w:cs="Arial" w:eastAsia="Arial" w:hAnsi="Arial"/>
                  <w:sz w:val="13"/>
                  <w:szCs w:val="13"/>
                  <w:color w:val="0000FF"/>
                  <w:w w:val="88"/>
                </w:rPr>
                <w:t>Executive Summary</w:t>
              </w:r>
            </w:hyperlink>
          </w:p>
        </w:tc>
        <w:tc>
          <w:tcPr>
            <w:tcW w:w="7560" w:type="dxa"/>
            <w:vAlign w:val="bottom"/>
            <w:gridSpan w:val="36"/>
            <w:shd w:val="clear" w:color="auto" w:fill="CCEEFF"/>
          </w:tcPr>
          <w:p>
            <w:pPr>
              <w:spacing w:after="0"/>
              <w:rPr>
                <w:sz w:val="12"/>
                <w:szCs w:val="12"/>
                <w:color w:val="auto"/>
              </w:rPr>
            </w:pPr>
          </w:p>
        </w:tc>
        <w:tc>
          <w:tcPr>
            <w:tcW w:w="1540" w:type="dxa"/>
            <w:vAlign w:val="bottom"/>
            <w:gridSpan w:val="2"/>
            <w:shd w:val="clear" w:color="auto" w:fill="CCEEFF"/>
          </w:tcPr>
          <w:p>
            <w:pPr>
              <w:jc w:val="center"/>
              <w:ind w:left="1357"/>
              <w:spacing w:after="0"/>
              <w:rPr>
                <w:rFonts w:ascii="Arial" w:cs="Arial" w:eastAsia="Arial" w:hAnsi="Arial"/>
                <w:sz w:val="13"/>
                <w:szCs w:val="13"/>
                <w:color w:val="0000FF"/>
                <w:w w:val="82"/>
              </w:rPr>
            </w:pPr>
            <w:hyperlink w:anchor="page16">
              <w:r>
                <w:rPr>
                  <w:rFonts w:ascii="Arial" w:cs="Arial" w:eastAsia="Arial" w:hAnsi="Arial"/>
                  <w:sz w:val="13"/>
                  <w:szCs w:val="13"/>
                  <w:color w:val="0000FF"/>
                  <w:w w:val="82"/>
                </w:rPr>
                <w:t>13</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0" w:type="dxa"/>
            <w:vAlign w:val="bottom"/>
            <w:gridSpan w:val="43"/>
          </w:tcPr>
          <w:p>
            <w:pPr>
              <w:spacing w:after="0"/>
              <w:rPr>
                <w:rFonts w:ascii="Arial" w:cs="Arial" w:eastAsia="Arial" w:hAnsi="Arial"/>
                <w:sz w:val="13"/>
                <w:szCs w:val="13"/>
                <w:color w:val="0000FF"/>
              </w:rPr>
            </w:pPr>
            <w:hyperlink w:anchor="page17">
              <w:r>
                <w:rPr>
                  <w:rFonts w:ascii="Arial" w:cs="Arial" w:eastAsia="Arial" w:hAnsi="Arial"/>
                  <w:sz w:val="13"/>
                  <w:szCs w:val="13"/>
                  <w:color w:val="0000FF"/>
                </w:rPr>
                <w:t>Compensation Philosophy and Objectives</w:t>
              </w:r>
            </w:hyperlink>
          </w:p>
        </w:tc>
        <w:tc>
          <w:tcPr>
            <w:tcW w:w="1540" w:type="dxa"/>
            <w:vAlign w:val="bottom"/>
            <w:gridSpan w:val="2"/>
          </w:tcPr>
          <w:p>
            <w:pPr>
              <w:jc w:val="center"/>
              <w:ind w:left="1357"/>
              <w:spacing w:after="0"/>
              <w:rPr>
                <w:rFonts w:ascii="Arial" w:cs="Arial" w:eastAsia="Arial" w:hAnsi="Arial"/>
                <w:sz w:val="13"/>
                <w:szCs w:val="13"/>
                <w:color w:val="0000FF"/>
                <w:w w:val="82"/>
              </w:rPr>
            </w:pPr>
            <w:hyperlink w:anchor="page17">
              <w:r>
                <w:rPr>
                  <w:rFonts w:ascii="Arial" w:cs="Arial" w:eastAsia="Arial" w:hAnsi="Arial"/>
                  <w:sz w:val="13"/>
                  <w:szCs w:val="13"/>
                  <w:color w:val="0000FF"/>
                  <w:w w:val="82"/>
                </w:rPr>
                <w:t>14</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0" w:type="dxa"/>
            <w:vAlign w:val="bottom"/>
            <w:gridSpan w:val="43"/>
            <w:shd w:val="clear" w:color="auto" w:fill="CCEEFF"/>
          </w:tcPr>
          <w:p>
            <w:pPr>
              <w:spacing w:after="0"/>
              <w:rPr>
                <w:rFonts w:ascii="Arial" w:cs="Arial" w:eastAsia="Arial" w:hAnsi="Arial"/>
                <w:sz w:val="13"/>
                <w:szCs w:val="13"/>
                <w:color w:val="0000EE"/>
              </w:rPr>
            </w:pPr>
            <w:hyperlink w:anchor="page18">
              <w:r>
                <w:rPr>
                  <w:rFonts w:ascii="Arial" w:cs="Arial" w:eastAsia="Arial" w:hAnsi="Arial"/>
                  <w:sz w:val="13"/>
                  <w:szCs w:val="13"/>
                  <w:color w:val="0000EE"/>
                </w:rPr>
                <w:t>Committee Consideration of the 2014 Stockholder Vote on Executive Compensation</w:t>
              </w:r>
            </w:hyperlink>
          </w:p>
        </w:tc>
        <w:tc>
          <w:tcPr>
            <w:tcW w:w="1540" w:type="dxa"/>
            <w:vAlign w:val="bottom"/>
            <w:gridSpan w:val="2"/>
            <w:shd w:val="clear" w:color="auto" w:fill="CCEEFF"/>
          </w:tcPr>
          <w:p>
            <w:pPr>
              <w:jc w:val="center"/>
              <w:ind w:left="1357"/>
              <w:spacing w:after="0"/>
              <w:rPr>
                <w:rFonts w:ascii="Arial" w:cs="Arial" w:eastAsia="Arial" w:hAnsi="Arial"/>
                <w:sz w:val="13"/>
                <w:szCs w:val="13"/>
                <w:color w:val="0000FF"/>
                <w:w w:val="82"/>
              </w:rPr>
            </w:pPr>
            <w:hyperlink w:anchor="page18">
              <w:r>
                <w:rPr>
                  <w:rFonts w:ascii="Arial" w:cs="Arial" w:eastAsia="Arial" w:hAnsi="Arial"/>
                  <w:sz w:val="13"/>
                  <w:szCs w:val="13"/>
                  <w:color w:val="0000FF"/>
                  <w:w w:val="82"/>
                </w:rPr>
                <w:t>15</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60" w:type="dxa"/>
            <w:vAlign w:val="bottom"/>
            <w:gridSpan w:val="40"/>
          </w:tcPr>
          <w:p>
            <w:pPr>
              <w:spacing w:after="0"/>
              <w:rPr>
                <w:rFonts w:ascii="Arial" w:cs="Arial" w:eastAsia="Arial" w:hAnsi="Arial"/>
                <w:sz w:val="13"/>
                <w:szCs w:val="13"/>
                <w:color w:val="0000FF"/>
              </w:rPr>
            </w:pPr>
            <w:hyperlink w:anchor="page19">
              <w:r>
                <w:rPr>
                  <w:rFonts w:ascii="Arial" w:cs="Arial" w:eastAsia="Arial" w:hAnsi="Arial"/>
                  <w:sz w:val="13"/>
                  <w:szCs w:val="13"/>
                  <w:color w:val="0000FF"/>
                </w:rPr>
                <w:t>Key Elements of Executive Compensation</w:t>
              </w:r>
            </w:hyperlink>
          </w:p>
        </w:tc>
        <w:tc>
          <w:tcPr>
            <w:tcW w:w="4340" w:type="dxa"/>
            <w:vAlign w:val="bottom"/>
            <w:gridSpan w:val="3"/>
          </w:tcPr>
          <w:p>
            <w:pPr>
              <w:spacing w:after="0"/>
              <w:rPr>
                <w:sz w:val="12"/>
                <w:szCs w:val="12"/>
                <w:color w:val="auto"/>
              </w:rPr>
            </w:pPr>
          </w:p>
        </w:tc>
        <w:tc>
          <w:tcPr>
            <w:tcW w:w="1540" w:type="dxa"/>
            <w:vAlign w:val="bottom"/>
            <w:gridSpan w:val="2"/>
          </w:tcPr>
          <w:p>
            <w:pPr>
              <w:jc w:val="center"/>
              <w:ind w:left="1357"/>
              <w:spacing w:after="0"/>
              <w:rPr>
                <w:rFonts w:ascii="Arial" w:cs="Arial" w:eastAsia="Arial" w:hAnsi="Arial"/>
                <w:sz w:val="13"/>
                <w:szCs w:val="13"/>
                <w:color w:val="0000FF"/>
                <w:w w:val="82"/>
              </w:rPr>
            </w:pPr>
            <w:hyperlink w:anchor="page19">
              <w:r>
                <w:rPr>
                  <w:rFonts w:ascii="Arial" w:cs="Arial" w:eastAsia="Arial" w:hAnsi="Arial"/>
                  <w:sz w:val="13"/>
                  <w:szCs w:val="13"/>
                  <w:color w:val="0000FF"/>
                  <w:w w:val="82"/>
                </w:rPr>
                <w:t>17</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0" w:type="dxa"/>
            <w:vAlign w:val="bottom"/>
            <w:gridSpan w:val="43"/>
            <w:shd w:val="clear" w:color="auto" w:fill="CCEEFF"/>
          </w:tcPr>
          <w:p>
            <w:pPr>
              <w:spacing w:after="0"/>
              <w:rPr>
                <w:rFonts w:ascii="Arial" w:cs="Arial" w:eastAsia="Arial" w:hAnsi="Arial"/>
                <w:sz w:val="13"/>
                <w:szCs w:val="13"/>
                <w:color w:val="0000FF"/>
              </w:rPr>
            </w:pPr>
            <w:hyperlink w:anchor="page24">
              <w:r>
                <w:rPr>
                  <w:rFonts w:ascii="Arial" w:cs="Arial" w:eastAsia="Arial" w:hAnsi="Arial"/>
                  <w:sz w:val="13"/>
                  <w:szCs w:val="13"/>
                  <w:color w:val="0000FF"/>
                </w:rPr>
                <w:t>Clawback Policy</w:t>
              </w:r>
            </w:hyperlink>
          </w:p>
        </w:tc>
        <w:tc>
          <w:tcPr>
            <w:tcW w:w="1540" w:type="dxa"/>
            <w:vAlign w:val="bottom"/>
            <w:gridSpan w:val="2"/>
            <w:shd w:val="clear" w:color="auto" w:fill="CCEEFF"/>
          </w:tcPr>
          <w:p>
            <w:pPr>
              <w:jc w:val="center"/>
              <w:ind w:left="1357"/>
              <w:spacing w:after="0"/>
              <w:rPr>
                <w:rFonts w:ascii="Arial" w:cs="Arial" w:eastAsia="Arial" w:hAnsi="Arial"/>
                <w:sz w:val="13"/>
                <w:szCs w:val="13"/>
                <w:color w:val="0000FF"/>
                <w:w w:val="82"/>
              </w:rPr>
            </w:pPr>
            <w:hyperlink w:anchor="page24">
              <w:r>
                <w:rPr>
                  <w:rFonts w:ascii="Arial" w:cs="Arial" w:eastAsia="Arial" w:hAnsi="Arial"/>
                  <w:sz w:val="13"/>
                  <w:szCs w:val="13"/>
                  <w:color w:val="0000FF"/>
                  <w:w w:val="82"/>
                </w:rPr>
                <w:t>22</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0" w:type="dxa"/>
            <w:vAlign w:val="bottom"/>
            <w:gridSpan w:val="43"/>
          </w:tcPr>
          <w:p>
            <w:pPr>
              <w:spacing w:after="0"/>
              <w:rPr>
                <w:rFonts w:ascii="Arial" w:cs="Arial" w:eastAsia="Arial" w:hAnsi="Arial"/>
                <w:sz w:val="13"/>
                <w:szCs w:val="13"/>
                <w:color w:val="0000FF"/>
              </w:rPr>
            </w:pPr>
            <w:hyperlink w:anchor="page25">
              <w:r>
                <w:rPr>
                  <w:rFonts w:ascii="Arial" w:cs="Arial" w:eastAsia="Arial" w:hAnsi="Arial"/>
                  <w:sz w:val="13"/>
                  <w:szCs w:val="13"/>
                  <w:color w:val="0000FF"/>
                </w:rPr>
                <w:t>Policy on Hedging and Pledging of Company Securities</w:t>
              </w:r>
            </w:hyperlink>
          </w:p>
        </w:tc>
        <w:tc>
          <w:tcPr>
            <w:tcW w:w="1540" w:type="dxa"/>
            <w:vAlign w:val="bottom"/>
            <w:gridSpan w:val="2"/>
          </w:tcPr>
          <w:p>
            <w:pPr>
              <w:jc w:val="center"/>
              <w:ind w:left="1357"/>
              <w:spacing w:after="0"/>
              <w:rPr>
                <w:rFonts w:ascii="Arial" w:cs="Arial" w:eastAsia="Arial" w:hAnsi="Arial"/>
                <w:sz w:val="13"/>
                <w:szCs w:val="13"/>
                <w:color w:val="0000FF"/>
                <w:w w:val="82"/>
              </w:rPr>
            </w:pPr>
            <w:hyperlink w:anchor="page25">
              <w:r>
                <w:rPr>
                  <w:rFonts w:ascii="Arial" w:cs="Arial" w:eastAsia="Arial" w:hAnsi="Arial"/>
                  <w:sz w:val="13"/>
                  <w:szCs w:val="13"/>
                  <w:color w:val="0000FF"/>
                  <w:w w:val="82"/>
                </w:rPr>
                <w:t>22</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40" w:type="dxa"/>
            <w:vAlign w:val="bottom"/>
            <w:gridSpan w:val="25"/>
            <w:shd w:val="clear" w:color="auto" w:fill="CCEEFF"/>
          </w:tcPr>
          <w:p>
            <w:pPr>
              <w:spacing w:after="0"/>
              <w:rPr>
                <w:rFonts w:ascii="Arial" w:cs="Arial" w:eastAsia="Arial" w:hAnsi="Arial"/>
                <w:sz w:val="13"/>
                <w:szCs w:val="13"/>
                <w:color w:val="0000FF"/>
                <w:w w:val="86"/>
              </w:rPr>
            </w:pPr>
            <w:hyperlink w:anchor="page25">
              <w:r>
                <w:rPr>
                  <w:rFonts w:ascii="Arial" w:cs="Arial" w:eastAsia="Arial" w:hAnsi="Arial"/>
                  <w:sz w:val="13"/>
                  <w:szCs w:val="13"/>
                  <w:color w:val="0000FF"/>
                  <w:w w:val="86"/>
                </w:rPr>
                <w:t>Compensation Program as it Relates to Risk</w:t>
              </w:r>
            </w:hyperlink>
          </w:p>
        </w:tc>
        <w:tc>
          <w:tcPr>
            <w:tcW w:w="6360" w:type="dxa"/>
            <w:vAlign w:val="bottom"/>
            <w:gridSpan w:val="18"/>
            <w:shd w:val="clear" w:color="auto" w:fill="CCEEFF"/>
          </w:tcPr>
          <w:p>
            <w:pPr>
              <w:spacing w:after="0"/>
              <w:rPr>
                <w:sz w:val="12"/>
                <w:szCs w:val="12"/>
                <w:color w:val="auto"/>
              </w:rPr>
            </w:pPr>
          </w:p>
        </w:tc>
        <w:tc>
          <w:tcPr>
            <w:tcW w:w="1540" w:type="dxa"/>
            <w:vAlign w:val="bottom"/>
            <w:gridSpan w:val="2"/>
            <w:shd w:val="clear" w:color="auto" w:fill="CCEEFF"/>
          </w:tcPr>
          <w:p>
            <w:pPr>
              <w:jc w:val="center"/>
              <w:ind w:left="1357"/>
              <w:spacing w:after="0"/>
              <w:rPr>
                <w:rFonts w:ascii="Arial" w:cs="Arial" w:eastAsia="Arial" w:hAnsi="Arial"/>
                <w:sz w:val="13"/>
                <w:szCs w:val="13"/>
                <w:color w:val="0000FF"/>
                <w:w w:val="82"/>
              </w:rPr>
            </w:pPr>
            <w:hyperlink w:anchor="page25">
              <w:r>
                <w:rPr>
                  <w:rFonts w:ascii="Arial" w:cs="Arial" w:eastAsia="Arial" w:hAnsi="Arial"/>
                  <w:sz w:val="13"/>
                  <w:szCs w:val="13"/>
                  <w:color w:val="0000FF"/>
                  <w:w w:val="82"/>
                </w:rPr>
                <w:t>22</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40" w:type="dxa"/>
            <w:vAlign w:val="bottom"/>
            <w:gridSpan w:val="25"/>
          </w:tcPr>
          <w:p>
            <w:pPr>
              <w:spacing w:after="0"/>
              <w:rPr>
                <w:rFonts w:ascii="Arial" w:cs="Arial" w:eastAsia="Arial" w:hAnsi="Arial"/>
                <w:sz w:val="13"/>
                <w:szCs w:val="13"/>
                <w:color w:val="0000FF"/>
              </w:rPr>
            </w:pPr>
            <w:hyperlink w:anchor="page26">
              <w:r>
                <w:rPr>
                  <w:rFonts w:ascii="Arial" w:cs="Arial" w:eastAsia="Arial" w:hAnsi="Arial"/>
                  <w:sz w:val="13"/>
                  <w:szCs w:val="13"/>
                  <w:color w:val="0000FF"/>
                </w:rPr>
                <w:t>Equity Ownership Guidelines</w:t>
              </w:r>
            </w:hyperlink>
          </w:p>
        </w:tc>
        <w:tc>
          <w:tcPr>
            <w:tcW w:w="6360" w:type="dxa"/>
            <w:vAlign w:val="bottom"/>
            <w:gridSpan w:val="18"/>
          </w:tcPr>
          <w:p>
            <w:pPr>
              <w:spacing w:after="0"/>
              <w:rPr>
                <w:sz w:val="12"/>
                <w:szCs w:val="12"/>
                <w:color w:val="auto"/>
              </w:rPr>
            </w:pPr>
          </w:p>
        </w:tc>
        <w:tc>
          <w:tcPr>
            <w:tcW w:w="1540" w:type="dxa"/>
            <w:vAlign w:val="bottom"/>
            <w:gridSpan w:val="2"/>
          </w:tcPr>
          <w:p>
            <w:pPr>
              <w:jc w:val="center"/>
              <w:ind w:left="1357"/>
              <w:spacing w:after="0"/>
              <w:rPr>
                <w:rFonts w:ascii="Arial" w:cs="Arial" w:eastAsia="Arial" w:hAnsi="Arial"/>
                <w:sz w:val="13"/>
                <w:szCs w:val="13"/>
                <w:color w:val="0000FF"/>
                <w:w w:val="82"/>
              </w:rPr>
            </w:pPr>
            <w:hyperlink w:anchor="page26">
              <w:r>
                <w:rPr>
                  <w:rFonts w:ascii="Arial" w:cs="Arial" w:eastAsia="Arial" w:hAnsi="Arial"/>
                  <w:sz w:val="13"/>
                  <w:szCs w:val="13"/>
                  <w:color w:val="0000FF"/>
                  <w:w w:val="82"/>
                </w:rPr>
                <w:t>23</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320" w:type="dxa"/>
            <w:vAlign w:val="bottom"/>
            <w:gridSpan w:val="37"/>
            <w:shd w:val="clear" w:color="auto" w:fill="CCEEFF"/>
          </w:tcPr>
          <w:p>
            <w:pPr>
              <w:spacing w:after="0"/>
              <w:rPr>
                <w:rFonts w:ascii="Arial" w:cs="Arial" w:eastAsia="Arial" w:hAnsi="Arial"/>
                <w:sz w:val="13"/>
                <w:szCs w:val="13"/>
                <w:color w:val="0000FF"/>
                <w:w w:val="88"/>
              </w:rPr>
            </w:pPr>
            <w:hyperlink w:anchor="page26">
              <w:r>
                <w:rPr>
                  <w:rFonts w:ascii="Arial" w:cs="Arial" w:eastAsia="Arial" w:hAnsi="Arial"/>
                  <w:sz w:val="13"/>
                  <w:szCs w:val="13"/>
                  <w:color w:val="0000FF"/>
                  <w:w w:val="88"/>
                </w:rPr>
                <w:t>Report of the Compensation Committee of the Board of Directors</w:t>
              </w:r>
            </w:hyperlink>
          </w:p>
        </w:tc>
        <w:tc>
          <w:tcPr>
            <w:tcW w:w="5280" w:type="dxa"/>
            <w:vAlign w:val="bottom"/>
            <w:gridSpan w:val="6"/>
            <w:shd w:val="clear" w:color="auto" w:fill="CCEEFF"/>
          </w:tcPr>
          <w:p>
            <w:pPr>
              <w:spacing w:after="0"/>
              <w:rPr>
                <w:sz w:val="12"/>
                <w:szCs w:val="12"/>
                <w:color w:val="auto"/>
              </w:rPr>
            </w:pPr>
          </w:p>
        </w:tc>
        <w:tc>
          <w:tcPr>
            <w:tcW w:w="1540" w:type="dxa"/>
            <w:vAlign w:val="bottom"/>
            <w:gridSpan w:val="2"/>
            <w:shd w:val="clear" w:color="auto" w:fill="CCEEFF"/>
          </w:tcPr>
          <w:p>
            <w:pPr>
              <w:jc w:val="center"/>
              <w:ind w:left="1357"/>
              <w:spacing w:after="0"/>
              <w:rPr>
                <w:rFonts w:ascii="Arial" w:cs="Arial" w:eastAsia="Arial" w:hAnsi="Arial"/>
                <w:sz w:val="13"/>
                <w:szCs w:val="13"/>
                <w:color w:val="0000FF"/>
                <w:w w:val="82"/>
              </w:rPr>
            </w:pPr>
            <w:hyperlink w:anchor="page26">
              <w:r>
                <w:rPr>
                  <w:rFonts w:ascii="Arial" w:cs="Arial" w:eastAsia="Arial" w:hAnsi="Arial"/>
                  <w:sz w:val="13"/>
                  <w:szCs w:val="13"/>
                  <w:color w:val="0000FF"/>
                  <w:w w:val="82"/>
                </w:rPr>
                <w:t>23</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8980" w:type="dxa"/>
            <w:vAlign w:val="bottom"/>
            <w:gridSpan w:val="45"/>
          </w:tcPr>
          <w:p>
            <w:pPr>
              <w:ind w:left="40"/>
              <w:spacing w:after="0"/>
              <w:rPr>
                <w:rFonts w:ascii="Arial" w:cs="Arial" w:eastAsia="Arial" w:hAnsi="Arial"/>
                <w:sz w:val="13"/>
                <w:szCs w:val="13"/>
                <w:color w:val="0000FF"/>
              </w:rPr>
            </w:pPr>
            <w:hyperlink w:anchor="page26">
              <w:r>
                <w:rPr>
                  <w:rFonts w:ascii="Arial" w:cs="Arial" w:eastAsia="Arial" w:hAnsi="Arial"/>
                  <w:sz w:val="13"/>
                  <w:szCs w:val="13"/>
                  <w:color w:val="0000FF"/>
                </w:rPr>
                <w:t>Executive Officer Compensation</w:t>
              </w:r>
            </w:hyperlink>
          </w:p>
        </w:tc>
        <w:tc>
          <w:tcPr>
            <w:tcW w:w="1540" w:type="dxa"/>
            <w:vAlign w:val="bottom"/>
            <w:gridSpan w:val="2"/>
          </w:tcPr>
          <w:p>
            <w:pPr>
              <w:jc w:val="center"/>
              <w:ind w:left="1357"/>
              <w:spacing w:after="0"/>
              <w:rPr>
                <w:rFonts w:ascii="Arial" w:cs="Arial" w:eastAsia="Arial" w:hAnsi="Arial"/>
                <w:sz w:val="13"/>
                <w:szCs w:val="13"/>
                <w:color w:val="0000FF"/>
                <w:w w:val="82"/>
              </w:rPr>
            </w:pPr>
            <w:hyperlink w:anchor="page26">
              <w:r>
                <w:rPr>
                  <w:rFonts w:ascii="Arial" w:cs="Arial" w:eastAsia="Arial" w:hAnsi="Arial"/>
                  <w:sz w:val="13"/>
                  <w:szCs w:val="13"/>
                  <w:color w:val="0000FF"/>
                  <w:w w:val="82"/>
                </w:rPr>
                <w:t>24</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0" w:type="dxa"/>
            <w:vAlign w:val="bottom"/>
            <w:gridSpan w:val="43"/>
            <w:shd w:val="clear" w:color="auto" w:fill="CCEEFF"/>
          </w:tcPr>
          <w:p>
            <w:pPr>
              <w:spacing w:after="0"/>
              <w:rPr>
                <w:rFonts w:ascii="Arial" w:cs="Arial" w:eastAsia="Arial" w:hAnsi="Arial"/>
                <w:sz w:val="13"/>
                <w:szCs w:val="13"/>
                <w:color w:val="0000FF"/>
              </w:rPr>
            </w:pPr>
            <w:hyperlink w:anchor="page27">
              <w:r>
                <w:rPr>
                  <w:rFonts w:ascii="Arial" w:cs="Arial" w:eastAsia="Arial" w:hAnsi="Arial"/>
                  <w:sz w:val="13"/>
                  <w:szCs w:val="13"/>
                  <w:color w:val="0000FF"/>
                </w:rPr>
                <w:t>Summary Compensation Table</w:t>
              </w:r>
            </w:hyperlink>
          </w:p>
        </w:tc>
        <w:tc>
          <w:tcPr>
            <w:tcW w:w="1540" w:type="dxa"/>
            <w:vAlign w:val="bottom"/>
            <w:gridSpan w:val="2"/>
            <w:shd w:val="clear" w:color="auto" w:fill="CCEEFF"/>
          </w:tcPr>
          <w:p>
            <w:pPr>
              <w:jc w:val="center"/>
              <w:ind w:left="1357"/>
              <w:spacing w:after="0"/>
              <w:rPr>
                <w:rFonts w:ascii="Arial" w:cs="Arial" w:eastAsia="Arial" w:hAnsi="Arial"/>
                <w:sz w:val="13"/>
                <w:szCs w:val="13"/>
                <w:color w:val="0000FF"/>
                <w:w w:val="82"/>
              </w:rPr>
            </w:pPr>
            <w:hyperlink w:anchor="page27">
              <w:r>
                <w:rPr>
                  <w:rFonts w:ascii="Arial" w:cs="Arial" w:eastAsia="Arial" w:hAnsi="Arial"/>
                  <w:sz w:val="13"/>
                  <w:szCs w:val="13"/>
                  <w:color w:val="0000FF"/>
                  <w:w w:val="82"/>
                </w:rPr>
                <w:t>24</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gridSpan w:val="15"/>
          </w:tcPr>
          <w:p>
            <w:pPr>
              <w:spacing w:after="0"/>
              <w:rPr>
                <w:rFonts w:ascii="Arial" w:cs="Arial" w:eastAsia="Arial" w:hAnsi="Arial"/>
                <w:sz w:val="13"/>
                <w:szCs w:val="13"/>
                <w:color w:val="0000FF"/>
                <w:w w:val="89"/>
              </w:rPr>
            </w:pPr>
            <w:hyperlink w:anchor="page27">
              <w:r>
                <w:rPr>
                  <w:rFonts w:ascii="Arial" w:cs="Arial" w:eastAsia="Arial" w:hAnsi="Arial"/>
                  <w:sz w:val="13"/>
                  <w:szCs w:val="13"/>
                  <w:color w:val="0000FF"/>
                  <w:w w:val="89"/>
                </w:rPr>
                <w:t>Grants of Plan-Based Awards</w:t>
              </w:r>
            </w:hyperlink>
          </w:p>
        </w:tc>
        <w:tc>
          <w:tcPr>
            <w:tcW w:w="7040" w:type="dxa"/>
            <w:vAlign w:val="bottom"/>
            <w:gridSpan w:val="28"/>
          </w:tcPr>
          <w:p>
            <w:pPr>
              <w:spacing w:after="0"/>
              <w:rPr>
                <w:sz w:val="12"/>
                <w:szCs w:val="12"/>
                <w:color w:val="auto"/>
              </w:rPr>
            </w:pPr>
          </w:p>
        </w:tc>
        <w:tc>
          <w:tcPr>
            <w:tcW w:w="1540" w:type="dxa"/>
            <w:vAlign w:val="bottom"/>
            <w:gridSpan w:val="2"/>
          </w:tcPr>
          <w:p>
            <w:pPr>
              <w:jc w:val="center"/>
              <w:ind w:left="1357"/>
              <w:spacing w:after="0"/>
              <w:rPr>
                <w:rFonts w:ascii="Arial" w:cs="Arial" w:eastAsia="Arial" w:hAnsi="Arial"/>
                <w:sz w:val="13"/>
                <w:szCs w:val="13"/>
                <w:color w:val="0000FF"/>
                <w:w w:val="82"/>
              </w:rPr>
            </w:pPr>
            <w:hyperlink w:anchor="page27">
              <w:r>
                <w:rPr>
                  <w:rFonts w:ascii="Arial" w:cs="Arial" w:eastAsia="Arial" w:hAnsi="Arial"/>
                  <w:sz w:val="13"/>
                  <w:szCs w:val="13"/>
                  <w:color w:val="0000FF"/>
                  <w:w w:val="82"/>
                </w:rPr>
                <w:t>25</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0" w:type="dxa"/>
            <w:vAlign w:val="bottom"/>
            <w:gridSpan w:val="43"/>
            <w:shd w:val="clear" w:color="auto" w:fill="CCEEFF"/>
          </w:tcPr>
          <w:p>
            <w:pPr>
              <w:spacing w:after="0"/>
              <w:rPr>
                <w:rFonts w:ascii="Arial" w:cs="Arial" w:eastAsia="Arial" w:hAnsi="Arial"/>
                <w:sz w:val="13"/>
                <w:szCs w:val="13"/>
                <w:color w:val="0000FF"/>
              </w:rPr>
            </w:pPr>
            <w:hyperlink w:anchor="page28">
              <w:r>
                <w:rPr>
                  <w:rFonts w:ascii="Arial" w:cs="Arial" w:eastAsia="Arial" w:hAnsi="Arial"/>
                  <w:sz w:val="13"/>
                  <w:szCs w:val="13"/>
                  <w:color w:val="0000FF"/>
                </w:rPr>
                <w:t>Outstanding Equity Awards</w:t>
              </w:r>
            </w:hyperlink>
          </w:p>
        </w:tc>
        <w:tc>
          <w:tcPr>
            <w:tcW w:w="1540" w:type="dxa"/>
            <w:vAlign w:val="bottom"/>
            <w:gridSpan w:val="2"/>
            <w:shd w:val="clear" w:color="auto" w:fill="CCEEFF"/>
          </w:tcPr>
          <w:p>
            <w:pPr>
              <w:jc w:val="center"/>
              <w:ind w:left="1357"/>
              <w:spacing w:after="0"/>
              <w:rPr>
                <w:rFonts w:ascii="Arial" w:cs="Arial" w:eastAsia="Arial" w:hAnsi="Arial"/>
                <w:sz w:val="13"/>
                <w:szCs w:val="13"/>
                <w:color w:val="0000FF"/>
                <w:w w:val="82"/>
              </w:rPr>
            </w:pPr>
            <w:hyperlink w:anchor="page28">
              <w:r>
                <w:rPr>
                  <w:rFonts w:ascii="Arial" w:cs="Arial" w:eastAsia="Arial" w:hAnsi="Arial"/>
                  <w:sz w:val="13"/>
                  <w:szCs w:val="13"/>
                  <w:color w:val="0000FF"/>
                  <w:w w:val="82"/>
                </w:rPr>
                <w:t>26</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0" w:type="dxa"/>
            <w:vAlign w:val="bottom"/>
            <w:gridSpan w:val="43"/>
          </w:tcPr>
          <w:p>
            <w:pPr>
              <w:spacing w:after="0"/>
              <w:rPr>
                <w:rFonts w:ascii="Arial" w:cs="Arial" w:eastAsia="Arial" w:hAnsi="Arial"/>
                <w:sz w:val="13"/>
                <w:szCs w:val="13"/>
                <w:color w:val="0000FF"/>
              </w:rPr>
            </w:pPr>
            <w:hyperlink w:anchor="page32">
              <w:r>
                <w:rPr>
                  <w:rFonts w:ascii="Arial" w:cs="Arial" w:eastAsia="Arial" w:hAnsi="Arial"/>
                  <w:sz w:val="13"/>
                  <w:szCs w:val="13"/>
                  <w:color w:val="0000FF"/>
                </w:rPr>
                <w:t>Option Exercises and Stock Vested</w:t>
              </w:r>
            </w:hyperlink>
          </w:p>
        </w:tc>
        <w:tc>
          <w:tcPr>
            <w:tcW w:w="1540" w:type="dxa"/>
            <w:vAlign w:val="bottom"/>
            <w:gridSpan w:val="2"/>
          </w:tcPr>
          <w:p>
            <w:pPr>
              <w:jc w:val="center"/>
              <w:ind w:left="1357"/>
              <w:spacing w:after="0"/>
              <w:rPr>
                <w:rFonts w:ascii="Arial" w:cs="Arial" w:eastAsia="Arial" w:hAnsi="Arial"/>
                <w:sz w:val="13"/>
                <w:szCs w:val="13"/>
                <w:color w:val="0000FF"/>
                <w:w w:val="82"/>
              </w:rPr>
            </w:pPr>
            <w:hyperlink w:anchor="page32">
              <w:r>
                <w:rPr>
                  <w:rFonts w:ascii="Arial" w:cs="Arial" w:eastAsia="Arial" w:hAnsi="Arial"/>
                  <w:sz w:val="13"/>
                  <w:szCs w:val="13"/>
                  <w:color w:val="0000FF"/>
                  <w:w w:val="82"/>
                </w:rPr>
                <w:t>28</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40" w:type="dxa"/>
            <w:vAlign w:val="bottom"/>
            <w:gridSpan w:val="34"/>
            <w:shd w:val="clear" w:color="auto" w:fill="CCEEFF"/>
          </w:tcPr>
          <w:p>
            <w:pPr>
              <w:spacing w:after="0"/>
              <w:rPr>
                <w:rFonts w:ascii="Arial" w:cs="Arial" w:eastAsia="Arial" w:hAnsi="Arial"/>
                <w:sz w:val="13"/>
                <w:szCs w:val="13"/>
                <w:color w:val="0000FF"/>
                <w:w w:val="87"/>
              </w:rPr>
            </w:pPr>
            <w:hyperlink w:anchor="page32">
              <w:r>
                <w:rPr>
                  <w:rFonts w:ascii="Arial" w:cs="Arial" w:eastAsia="Arial" w:hAnsi="Arial"/>
                  <w:sz w:val="13"/>
                  <w:szCs w:val="13"/>
                  <w:color w:val="0000FF"/>
                  <w:w w:val="87"/>
                </w:rPr>
                <w:t>Potential Payments Upon Termination or Change of Control</w:t>
              </w:r>
            </w:hyperlink>
          </w:p>
        </w:tc>
        <w:tc>
          <w:tcPr>
            <w:tcW w:w="5560" w:type="dxa"/>
            <w:vAlign w:val="bottom"/>
            <w:gridSpan w:val="9"/>
            <w:shd w:val="clear" w:color="auto" w:fill="CCEEFF"/>
          </w:tcPr>
          <w:p>
            <w:pPr>
              <w:spacing w:after="0"/>
              <w:rPr>
                <w:sz w:val="12"/>
                <w:szCs w:val="12"/>
                <w:color w:val="auto"/>
              </w:rPr>
            </w:pPr>
          </w:p>
        </w:tc>
        <w:tc>
          <w:tcPr>
            <w:tcW w:w="1540" w:type="dxa"/>
            <w:vAlign w:val="bottom"/>
            <w:gridSpan w:val="2"/>
            <w:shd w:val="clear" w:color="auto" w:fill="CCEEFF"/>
          </w:tcPr>
          <w:p>
            <w:pPr>
              <w:jc w:val="center"/>
              <w:ind w:left="1357"/>
              <w:spacing w:after="0"/>
              <w:rPr>
                <w:rFonts w:ascii="Arial" w:cs="Arial" w:eastAsia="Arial" w:hAnsi="Arial"/>
                <w:sz w:val="13"/>
                <w:szCs w:val="13"/>
                <w:color w:val="0000FF"/>
                <w:w w:val="82"/>
              </w:rPr>
            </w:pPr>
            <w:hyperlink w:anchor="page32">
              <w:r>
                <w:rPr>
                  <w:rFonts w:ascii="Arial" w:cs="Arial" w:eastAsia="Arial" w:hAnsi="Arial"/>
                  <w:sz w:val="13"/>
                  <w:szCs w:val="13"/>
                  <w:color w:val="0000FF"/>
                  <w:w w:val="82"/>
                </w:rPr>
                <w:t>28</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8980" w:type="dxa"/>
            <w:vAlign w:val="bottom"/>
            <w:gridSpan w:val="45"/>
          </w:tcPr>
          <w:p>
            <w:pPr>
              <w:ind w:left="40"/>
              <w:spacing w:after="0"/>
              <w:rPr>
                <w:rFonts w:ascii="Arial" w:cs="Arial" w:eastAsia="Arial" w:hAnsi="Arial"/>
                <w:sz w:val="13"/>
                <w:szCs w:val="13"/>
                <w:color w:val="0000FF"/>
              </w:rPr>
            </w:pPr>
            <w:hyperlink w:anchor="page34">
              <w:r>
                <w:rPr>
                  <w:rFonts w:ascii="Arial" w:cs="Arial" w:eastAsia="Arial" w:hAnsi="Arial"/>
                  <w:sz w:val="13"/>
                  <w:szCs w:val="13"/>
                  <w:color w:val="0000FF"/>
                </w:rPr>
                <w:t>Proposal Number 3: Advisory Vote to Approve Named Executive Officer Compensation</w:t>
              </w:r>
            </w:hyperlink>
          </w:p>
        </w:tc>
        <w:tc>
          <w:tcPr>
            <w:tcW w:w="1540" w:type="dxa"/>
            <w:vAlign w:val="bottom"/>
            <w:gridSpan w:val="2"/>
          </w:tcPr>
          <w:p>
            <w:pPr>
              <w:jc w:val="center"/>
              <w:ind w:left="1357"/>
              <w:spacing w:after="0"/>
              <w:rPr>
                <w:rFonts w:ascii="Arial" w:cs="Arial" w:eastAsia="Arial" w:hAnsi="Arial"/>
                <w:sz w:val="13"/>
                <w:szCs w:val="13"/>
                <w:color w:val="0000FF"/>
                <w:w w:val="82"/>
              </w:rPr>
            </w:pPr>
            <w:hyperlink w:anchor="page34">
              <w:r>
                <w:rPr>
                  <w:rFonts w:ascii="Arial" w:cs="Arial" w:eastAsia="Arial" w:hAnsi="Arial"/>
                  <w:sz w:val="13"/>
                  <w:szCs w:val="13"/>
                  <w:color w:val="0000FF"/>
                  <w:w w:val="82"/>
                </w:rPr>
                <w:t>30</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8980" w:type="dxa"/>
            <w:vAlign w:val="bottom"/>
            <w:gridSpan w:val="45"/>
            <w:shd w:val="clear" w:color="auto" w:fill="CCEEFF"/>
          </w:tcPr>
          <w:p>
            <w:pPr>
              <w:ind w:left="40"/>
              <w:spacing w:after="0"/>
              <w:rPr>
                <w:rFonts w:ascii="Arial" w:cs="Arial" w:eastAsia="Arial" w:hAnsi="Arial"/>
                <w:sz w:val="13"/>
                <w:szCs w:val="13"/>
                <w:color w:val="0000FF"/>
              </w:rPr>
            </w:pPr>
            <w:hyperlink w:anchor="page35">
              <w:r>
                <w:rPr>
                  <w:rFonts w:ascii="Arial" w:cs="Arial" w:eastAsia="Arial" w:hAnsi="Arial"/>
                  <w:sz w:val="13"/>
                  <w:szCs w:val="13"/>
                  <w:color w:val="0000FF"/>
                </w:rPr>
                <w:t>Certain Relationships and Related Transactions</w:t>
              </w:r>
            </w:hyperlink>
          </w:p>
        </w:tc>
        <w:tc>
          <w:tcPr>
            <w:tcW w:w="1540" w:type="dxa"/>
            <w:vAlign w:val="bottom"/>
            <w:gridSpan w:val="2"/>
            <w:shd w:val="clear" w:color="auto" w:fill="CCEEFF"/>
          </w:tcPr>
          <w:p>
            <w:pPr>
              <w:jc w:val="center"/>
              <w:ind w:left="1357"/>
              <w:spacing w:after="0"/>
              <w:rPr>
                <w:rFonts w:ascii="Arial" w:cs="Arial" w:eastAsia="Arial" w:hAnsi="Arial"/>
                <w:sz w:val="13"/>
                <w:szCs w:val="13"/>
                <w:color w:val="0000EE"/>
                <w:w w:val="82"/>
              </w:rPr>
            </w:pPr>
            <w:hyperlink w:anchor="page35">
              <w:r>
                <w:rPr>
                  <w:rFonts w:ascii="Arial" w:cs="Arial" w:eastAsia="Arial" w:hAnsi="Arial"/>
                  <w:sz w:val="13"/>
                  <w:szCs w:val="13"/>
                  <w:color w:val="0000EE"/>
                  <w:w w:val="82"/>
                </w:rPr>
                <w:t>31</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0" w:type="dxa"/>
            <w:vAlign w:val="bottom"/>
            <w:gridSpan w:val="43"/>
          </w:tcPr>
          <w:p>
            <w:pPr>
              <w:spacing w:after="0"/>
              <w:rPr>
                <w:rFonts w:ascii="Arial" w:cs="Arial" w:eastAsia="Arial" w:hAnsi="Arial"/>
                <w:sz w:val="13"/>
                <w:szCs w:val="13"/>
                <w:color w:val="0000FF"/>
              </w:rPr>
            </w:pPr>
            <w:hyperlink w:anchor="page35">
              <w:r>
                <w:rPr>
                  <w:rFonts w:ascii="Arial" w:cs="Arial" w:eastAsia="Arial" w:hAnsi="Arial"/>
                  <w:sz w:val="13"/>
                  <w:szCs w:val="13"/>
                  <w:color w:val="0000FF"/>
                </w:rPr>
                <w:t>Review, Approval or Ratification of Transactions with Related Persons</w:t>
              </w:r>
            </w:hyperlink>
          </w:p>
        </w:tc>
        <w:tc>
          <w:tcPr>
            <w:tcW w:w="1540" w:type="dxa"/>
            <w:vAlign w:val="bottom"/>
            <w:gridSpan w:val="2"/>
          </w:tcPr>
          <w:p>
            <w:pPr>
              <w:jc w:val="center"/>
              <w:ind w:left="1357"/>
              <w:spacing w:after="0"/>
              <w:rPr>
                <w:rFonts w:ascii="Arial" w:cs="Arial" w:eastAsia="Arial" w:hAnsi="Arial"/>
                <w:sz w:val="13"/>
                <w:szCs w:val="13"/>
                <w:color w:val="0000FF"/>
                <w:w w:val="82"/>
              </w:rPr>
            </w:pPr>
            <w:hyperlink w:anchor="page35">
              <w:r>
                <w:rPr>
                  <w:rFonts w:ascii="Arial" w:cs="Arial" w:eastAsia="Arial" w:hAnsi="Arial"/>
                  <w:sz w:val="13"/>
                  <w:szCs w:val="13"/>
                  <w:color w:val="0000FF"/>
                  <w:w w:val="82"/>
                </w:rPr>
                <w:t>31</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8980" w:type="dxa"/>
            <w:vAlign w:val="bottom"/>
            <w:gridSpan w:val="45"/>
            <w:shd w:val="clear" w:color="auto" w:fill="CCEEFF"/>
          </w:tcPr>
          <w:p>
            <w:pPr>
              <w:ind w:left="40"/>
              <w:spacing w:after="0"/>
              <w:rPr>
                <w:rFonts w:ascii="Arial" w:cs="Arial" w:eastAsia="Arial" w:hAnsi="Arial"/>
                <w:sz w:val="13"/>
                <w:szCs w:val="13"/>
                <w:color w:val="0000FF"/>
              </w:rPr>
            </w:pPr>
            <w:hyperlink w:anchor="page36">
              <w:r>
                <w:rPr>
                  <w:rFonts w:ascii="Arial" w:cs="Arial" w:eastAsia="Arial" w:hAnsi="Arial"/>
                  <w:sz w:val="13"/>
                  <w:szCs w:val="13"/>
                  <w:color w:val="0000FF"/>
                </w:rPr>
                <w:t>Security Ownership of Certain Beneficial Owners and Management</w:t>
              </w:r>
            </w:hyperlink>
          </w:p>
        </w:tc>
        <w:tc>
          <w:tcPr>
            <w:tcW w:w="1540" w:type="dxa"/>
            <w:vAlign w:val="bottom"/>
            <w:gridSpan w:val="2"/>
            <w:shd w:val="clear" w:color="auto" w:fill="CCEEFF"/>
          </w:tcPr>
          <w:p>
            <w:pPr>
              <w:jc w:val="center"/>
              <w:ind w:left="1357"/>
              <w:spacing w:after="0"/>
              <w:rPr>
                <w:rFonts w:ascii="Arial" w:cs="Arial" w:eastAsia="Arial" w:hAnsi="Arial"/>
                <w:sz w:val="13"/>
                <w:szCs w:val="13"/>
                <w:color w:val="0000FF"/>
                <w:w w:val="82"/>
              </w:rPr>
            </w:pPr>
            <w:hyperlink w:anchor="page36">
              <w:r>
                <w:rPr>
                  <w:rFonts w:ascii="Arial" w:cs="Arial" w:eastAsia="Arial" w:hAnsi="Arial"/>
                  <w:sz w:val="13"/>
                  <w:szCs w:val="13"/>
                  <w:color w:val="0000FF"/>
                  <w:w w:val="82"/>
                </w:rPr>
                <w:t>33</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80" w:type="dxa"/>
            <w:vAlign w:val="bottom"/>
            <w:gridSpan w:val="35"/>
          </w:tcPr>
          <w:p>
            <w:pPr>
              <w:spacing w:after="0"/>
              <w:rPr>
                <w:rFonts w:ascii="Arial" w:cs="Arial" w:eastAsia="Arial" w:hAnsi="Arial"/>
                <w:sz w:val="13"/>
                <w:szCs w:val="13"/>
                <w:color w:val="0000FF"/>
              </w:rPr>
            </w:pPr>
            <w:hyperlink w:anchor="page37">
              <w:r>
                <w:rPr>
                  <w:rFonts w:ascii="Arial" w:cs="Arial" w:eastAsia="Arial" w:hAnsi="Arial"/>
                  <w:sz w:val="13"/>
                  <w:szCs w:val="13"/>
                  <w:color w:val="0000FF"/>
                </w:rPr>
                <w:t>Equity Ownership Guidelines</w:t>
              </w:r>
            </w:hyperlink>
          </w:p>
        </w:tc>
        <w:tc>
          <w:tcPr>
            <w:tcW w:w="5520" w:type="dxa"/>
            <w:vAlign w:val="bottom"/>
            <w:gridSpan w:val="8"/>
          </w:tcPr>
          <w:p>
            <w:pPr>
              <w:spacing w:after="0"/>
              <w:rPr>
                <w:sz w:val="12"/>
                <w:szCs w:val="12"/>
                <w:color w:val="auto"/>
              </w:rPr>
            </w:pPr>
          </w:p>
        </w:tc>
        <w:tc>
          <w:tcPr>
            <w:tcW w:w="1540" w:type="dxa"/>
            <w:vAlign w:val="bottom"/>
            <w:gridSpan w:val="2"/>
          </w:tcPr>
          <w:p>
            <w:pPr>
              <w:jc w:val="center"/>
              <w:ind w:left="1357"/>
              <w:spacing w:after="0"/>
              <w:rPr>
                <w:rFonts w:ascii="Arial" w:cs="Arial" w:eastAsia="Arial" w:hAnsi="Arial"/>
                <w:sz w:val="13"/>
                <w:szCs w:val="13"/>
                <w:color w:val="0000FF"/>
                <w:w w:val="82"/>
              </w:rPr>
            </w:pPr>
            <w:hyperlink w:anchor="page37">
              <w:r>
                <w:rPr>
                  <w:rFonts w:ascii="Arial" w:cs="Arial" w:eastAsia="Arial" w:hAnsi="Arial"/>
                  <w:sz w:val="13"/>
                  <w:szCs w:val="13"/>
                  <w:color w:val="0000FF"/>
                  <w:w w:val="82"/>
                </w:rPr>
                <w:t>33</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0" w:type="dxa"/>
            <w:vAlign w:val="bottom"/>
            <w:gridSpan w:val="33"/>
            <w:shd w:val="clear" w:color="auto" w:fill="CCEEFF"/>
          </w:tcPr>
          <w:p>
            <w:pPr>
              <w:spacing w:after="0"/>
              <w:rPr>
                <w:rFonts w:ascii="Arial" w:cs="Arial" w:eastAsia="Arial" w:hAnsi="Arial"/>
                <w:sz w:val="13"/>
                <w:szCs w:val="13"/>
                <w:color w:val="0000FF"/>
                <w:w w:val="88"/>
              </w:rPr>
            </w:pPr>
            <w:hyperlink w:anchor="page38">
              <w:r>
                <w:rPr>
                  <w:rFonts w:ascii="Arial" w:cs="Arial" w:eastAsia="Arial" w:hAnsi="Arial"/>
                  <w:sz w:val="13"/>
                  <w:szCs w:val="13"/>
                  <w:color w:val="0000FF"/>
                  <w:w w:val="88"/>
                </w:rPr>
                <w:t>Section 16(a) Beneficial Ownership Reporting Compliance</w:t>
              </w:r>
            </w:hyperlink>
          </w:p>
        </w:tc>
        <w:tc>
          <w:tcPr>
            <w:tcW w:w="5600" w:type="dxa"/>
            <w:vAlign w:val="bottom"/>
            <w:gridSpan w:val="10"/>
            <w:shd w:val="clear" w:color="auto" w:fill="CCEEFF"/>
          </w:tcPr>
          <w:p>
            <w:pPr>
              <w:spacing w:after="0"/>
              <w:rPr>
                <w:sz w:val="12"/>
                <w:szCs w:val="12"/>
                <w:color w:val="auto"/>
              </w:rPr>
            </w:pPr>
          </w:p>
        </w:tc>
        <w:tc>
          <w:tcPr>
            <w:tcW w:w="1540" w:type="dxa"/>
            <w:vAlign w:val="bottom"/>
            <w:gridSpan w:val="2"/>
            <w:shd w:val="clear" w:color="auto" w:fill="CCEEFF"/>
          </w:tcPr>
          <w:p>
            <w:pPr>
              <w:jc w:val="center"/>
              <w:ind w:left="1357"/>
              <w:spacing w:after="0"/>
              <w:rPr>
                <w:rFonts w:ascii="Arial" w:cs="Arial" w:eastAsia="Arial" w:hAnsi="Arial"/>
                <w:sz w:val="13"/>
                <w:szCs w:val="13"/>
                <w:color w:val="0000FF"/>
                <w:w w:val="82"/>
              </w:rPr>
            </w:pPr>
            <w:hyperlink w:anchor="page38">
              <w:r>
                <w:rPr>
                  <w:rFonts w:ascii="Arial" w:cs="Arial" w:eastAsia="Arial" w:hAnsi="Arial"/>
                  <w:sz w:val="13"/>
                  <w:szCs w:val="13"/>
                  <w:color w:val="0000FF"/>
                  <w:w w:val="82"/>
                </w:rPr>
                <w:t>34</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8980" w:type="dxa"/>
            <w:vAlign w:val="bottom"/>
            <w:gridSpan w:val="45"/>
          </w:tcPr>
          <w:p>
            <w:pPr>
              <w:ind w:left="40"/>
              <w:spacing w:after="0"/>
              <w:rPr>
                <w:rFonts w:ascii="Arial" w:cs="Arial" w:eastAsia="Arial" w:hAnsi="Arial"/>
                <w:sz w:val="13"/>
                <w:szCs w:val="13"/>
                <w:color w:val="0000FF"/>
              </w:rPr>
            </w:pPr>
            <w:hyperlink w:anchor="page38">
              <w:r>
                <w:rPr>
                  <w:rFonts w:ascii="Arial" w:cs="Arial" w:eastAsia="Arial" w:hAnsi="Arial"/>
                  <w:sz w:val="13"/>
                  <w:szCs w:val="13"/>
                  <w:color w:val="0000FF"/>
                </w:rPr>
                <w:t>Securities Authorized for Issuance Under Equity Compensation Plans</w:t>
              </w:r>
            </w:hyperlink>
          </w:p>
        </w:tc>
        <w:tc>
          <w:tcPr>
            <w:tcW w:w="1540" w:type="dxa"/>
            <w:vAlign w:val="bottom"/>
            <w:gridSpan w:val="2"/>
          </w:tcPr>
          <w:p>
            <w:pPr>
              <w:jc w:val="center"/>
              <w:ind w:left="1357"/>
              <w:spacing w:after="0"/>
              <w:rPr>
                <w:rFonts w:ascii="Arial" w:cs="Arial" w:eastAsia="Arial" w:hAnsi="Arial"/>
                <w:sz w:val="13"/>
                <w:szCs w:val="13"/>
                <w:color w:val="0000FF"/>
                <w:w w:val="82"/>
              </w:rPr>
            </w:pPr>
            <w:hyperlink w:anchor="page38">
              <w:r>
                <w:rPr>
                  <w:rFonts w:ascii="Arial" w:cs="Arial" w:eastAsia="Arial" w:hAnsi="Arial"/>
                  <w:sz w:val="13"/>
                  <w:szCs w:val="13"/>
                  <w:color w:val="0000FF"/>
                  <w:w w:val="82"/>
                </w:rPr>
                <w:t>35</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8980" w:type="dxa"/>
            <w:vAlign w:val="bottom"/>
            <w:gridSpan w:val="45"/>
            <w:shd w:val="clear" w:color="auto" w:fill="CCEEFF"/>
          </w:tcPr>
          <w:p>
            <w:pPr>
              <w:ind w:left="40"/>
              <w:spacing w:after="0"/>
              <w:rPr>
                <w:rFonts w:ascii="Arial" w:cs="Arial" w:eastAsia="Arial" w:hAnsi="Arial"/>
                <w:sz w:val="13"/>
                <w:szCs w:val="13"/>
                <w:color w:val="0000FF"/>
              </w:rPr>
            </w:pPr>
            <w:hyperlink w:anchor="page39">
              <w:r>
                <w:rPr>
                  <w:rFonts w:ascii="Arial" w:cs="Arial" w:eastAsia="Arial" w:hAnsi="Arial"/>
                  <w:sz w:val="13"/>
                  <w:szCs w:val="13"/>
                  <w:color w:val="0000FF"/>
                </w:rPr>
                <w:t>Proposals of Stockholders</w:t>
              </w:r>
            </w:hyperlink>
          </w:p>
        </w:tc>
        <w:tc>
          <w:tcPr>
            <w:tcW w:w="1540" w:type="dxa"/>
            <w:vAlign w:val="bottom"/>
            <w:gridSpan w:val="2"/>
            <w:shd w:val="clear" w:color="auto" w:fill="CCEEFF"/>
          </w:tcPr>
          <w:p>
            <w:pPr>
              <w:jc w:val="center"/>
              <w:ind w:left="1357"/>
              <w:spacing w:after="0"/>
              <w:rPr>
                <w:rFonts w:ascii="Arial" w:cs="Arial" w:eastAsia="Arial" w:hAnsi="Arial"/>
                <w:sz w:val="13"/>
                <w:szCs w:val="13"/>
                <w:color w:val="0000FF"/>
                <w:w w:val="82"/>
              </w:rPr>
            </w:pPr>
            <w:hyperlink w:anchor="page39">
              <w:r>
                <w:rPr>
                  <w:rFonts w:ascii="Arial" w:cs="Arial" w:eastAsia="Arial" w:hAnsi="Arial"/>
                  <w:sz w:val="13"/>
                  <w:szCs w:val="13"/>
                  <w:color w:val="0000FF"/>
                  <w:w w:val="82"/>
                </w:rPr>
                <w:t>35</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8980" w:type="dxa"/>
            <w:vAlign w:val="bottom"/>
            <w:gridSpan w:val="45"/>
          </w:tcPr>
          <w:p>
            <w:pPr>
              <w:ind w:left="40"/>
              <w:spacing w:after="0"/>
              <w:rPr>
                <w:rFonts w:ascii="Arial" w:cs="Arial" w:eastAsia="Arial" w:hAnsi="Arial"/>
                <w:sz w:val="13"/>
                <w:szCs w:val="13"/>
                <w:color w:val="0000FF"/>
              </w:rPr>
            </w:pPr>
            <w:hyperlink w:anchor="page39">
              <w:r>
                <w:rPr>
                  <w:rFonts w:ascii="Arial" w:cs="Arial" w:eastAsia="Arial" w:hAnsi="Arial"/>
                  <w:sz w:val="13"/>
                  <w:szCs w:val="13"/>
                  <w:color w:val="0000FF"/>
                </w:rPr>
                <w:t>Other Matters</w:t>
              </w:r>
            </w:hyperlink>
          </w:p>
        </w:tc>
        <w:tc>
          <w:tcPr>
            <w:tcW w:w="1540" w:type="dxa"/>
            <w:vAlign w:val="bottom"/>
            <w:gridSpan w:val="2"/>
          </w:tcPr>
          <w:p>
            <w:pPr>
              <w:jc w:val="center"/>
              <w:ind w:left="1357"/>
              <w:spacing w:after="0"/>
              <w:rPr>
                <w:rFonts w:ascii="Arial" w:cs="Arial" w:eastAsia="Arial" w:hAnsi="Arial"/>
                <w:sz w:val="13"/>
                <w:szCs w:val="13"/>
                <w:color w:val="0000FF"/>
                <w:w w:val="82"/>
              </w:rPr>
            </w:pPr>
            <w:hyperlink w:anchor="page39">
              <w:r>
                <w:rPr>
                  <w:rFonts w:ascii="Arial" w:cs="Arial" w:eastAsia="Arial" w:hAnsi="Arial"/>
                  <w:sz w:val="13"/>
                  <w:szCs w:val="13"/>
                  <w:color w:val="0000FF"/>
                  <w:w w:val="82"/>
                </w:rPr>
                <w:t>36</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0" w:type="dxa"/>
            <w:vAlign w:val="bottom"/>
            <w:gridSpan w:val="43"/>
            <w:shd w:val="clear" w:color="auto" w:fill="CCEEFF"/>
          </w:tcPr>
          <w:p>
            <w:pPr>
              <w:spacing w:after="0"/>
              <w:rPr>
                <w:rFonts w:ascii="Arial" w:cs="Arial" w:eastAsia="Arial" w:hAnsi="Arial"/>
                <w:sz w:val="13"/>
                <w:szCs w:val="13"/>
                <w:color w:val="0000FF"/>
              </w:rPr>
            </w:pPr>
            <w:hyperlink w:anchor="page40">
              <w:r>
                <w:rPr>
                  <w:rFonts w:ascii="Arial" w:cs="Arial" w:eastAsia="Arial" w:hAnsi="Arial"/>
                  <w:sz w:val="13"/>
                  <w:szCs w:val="13"/>
                  <w:color w:val="0000FF"/>
                </w:rPr>
                <w:t>Matters That May Come Before the Annual Meeting</w:t>
              </w:r>
            </w:hyperlink>
          </w:p>
        </w:tc>
        <w:tc>
          <w:tcPr>
            <w:tcW w:w="1540" w:type="dxa"/>
            <w:vAlign w:val="bottom"/>
            <w:gridSpan w:val="2"/>
            <w:shd w:val="clear" w:color="auto" w:fill="CCEEFF"/>
          </w:tcPr>
          <w:p>
            <w:pPr>
              <w:jc w:val="center"/>
              <w:ind w:left="1357"/>
              <w:spacing w:after="0"/>
              <w:rPr>
                <w:rFonts w:ascii="Arial" w:cs="Arial" w:eastAsia="Arial" w:hAnsi="Arial"/>
                <w:sz w:val="13"/>
                <w:szCs w:val="13"/>
                <w:color w:val="0000FF"/>
                <w:w w:val="82"/>
              </w:rPr>
            </w:pPr>
            <w:hyperlink w:anchor="page40">
              <w:r>
                <w:rPr>
                  <w:rFonts w:ascii="Arial" w:cs="Arial" w:eastAsia="Arial" w:hAnsi="Arial"/>
                  <w:sz w:val="13"/>
                  <w:szCs w:val="13"/>
                  <w:color w:val="0000FF"/>
                  <w:w w:val="82"/>
                </w:rPr>
                <w:t>36</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gridSpan w:val="28"/>
          </w:tcPr>
          <w:p>
            <w:pPr>
              <w:spacing w:after="0"/>
              <w:rPr>
                <w:rFonts w:ascii="Arial" w:cs="Arial" w:eastAsia="Arial" w:hAnsi="Arial"/>
                <w:sz w:val="13"/>
                <w:szCs w:val="13"/>
                <w:color w:val="0000FF"/>
              </w:rPr>
            </w:pPr>
            <w:hyperlink w:anchor="page40">
              <w:r>
                <w:rPr>
                  <w:rFonts w:ascii="Arial" w:cs="Arial" w:eastAsia="Arial" w:hAnsi="Arial"/>
                  <w:sz w:val="13"/>
                  <w:szCs w:val="13"/>
                  <w:color w:val="0000FF"/>
                </w:rPr>
                <w:t>Availability of Form 10-K</w:t>
              </w:r>
            </w:hyperlink>
          </w:p>
        </w:tc>
        <w:tc>
          <w:tcPr>
            <w:tcW w:w="5940" w:type="dxa"/>
            <w:vAlign w:val="bottom"/>
            <w:gridSpan w:val="15"/>
          </w:tcPr>
          <w:p>
            <w:pPr>
              <w:spacing w:after="0"/>
              <w:rPr>
                <w:sz w:val="12"/>
                <w:szCs w:val="12"/>
                <w:color w:val="auto"/>
              </w:rPr>
            </w:pPr>
          </w:p>
        </w:tc>
        <w:tc>
          <w:tcPr>
            <w:tcW w:w="1540" w:type="dxa"/>
            <w:vAlign w:val="bottom"/>
            <w:gridSpan w:val="2"/>
          </w:tcPr>
          <w:p>
            <w:pPr>
              <w:jc w:val="center"/>
              <w:ind w:left="1357"/>
              <w:spacing w:after="0"/>
              <w:rPr>
                <w:rFonts w:ascii="Arial" w:cs="Arial" w:eastAsia="Arial" w:hAnsi="Arial"/>
                <w:sz w:val="13"/>
                <w:szCs w:val="13"/>
                <w:color w:val="0000FF"/>
                <w:w w:val="82"/>
              </w:rPr>
            </w:pPr>
            <w:hyperlink w:anchor="page40">
              <w:r>
                <w:rPr>
                  <w:rFonts w:ascii="Arial" w:cs="Arial" w:eastAsia="Arial" w:hAnsi="Arial"/>
                  <w:sz w:val="13"/>
                  <w:szCs w:val="13"/>
                  <w:color w:val="0000FF"/>
                  <w:w w:val="82"/>
                </w:rPr>
                <w:t>36</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0" w:type="dxa"/>
            <w:vAlign w:val="bottom"/>
            <w:gridSpan w:val="43"/>
            <w:shd w:val="clear" w:color="auto" w:fill="CCEEFF"/>
          </w:tcPr>
          <w:p>
            <w:pPr>
              <w:spacing w:after="0"/>
              <w:rPr>
                <w:rFonts w:ascii="Arial" w:cs="Arial" w:eastAsia="Arial" w:hAnsi="Arial"/>
                <w:sz w:val="13"/>
                <w:szCs w:val="13"/>
                <w:color w:val="0000EE"/>
              </w:rPr>
            </w:pPr>
            <w:hyperlink w:anchor="page40">
              <w:r>
                <w:rPr>
                  <w:rFonts w:ascii="Arial" w:cs="Arial" w:eastAsia="Arial" w:hAnsi="Arial"/>
                  <w:sz w:val="13"/>
                  <w:szCs w:val="13"/>
                  <w:color w:val="0000EE"/>
                </w:rPr>
                <w:t>Important Notice Regarding the Availability of Proxy Materials for the Stockholders Meeting to be held on November 12, 2015</w:t>
              </w:r>
            </w:hyperlink>
          </w:p>
        </w:tc>
        <w:tc>
          <w:tcPr>
            <w:tcW w:w="1540" w:type="dxa"/>
            <w:vAlign w:val="bottom"/>
            <w:gridSpan w:val="2"/>
            <w:shd w:val="clear" w:color="auto" w:fill="CCEEFF"/>
          </w:tcPr>
          <w:p>
            <w:pPr>
              <w:jc w:val="center"/>
              <w:ind w:left="1357"/>
              <w:spacing w:after="0"/>
              <w:rPr>
                <w:rFonts w:ascii="Arial" w:cs="Arial" w:eastAsia="Arial" w:hAnsi="Arial"/>
                <w:sz w:val="13"/>
                <w:szCs w:val="13"/>
                <w:color w:val="0000FF"/>
                <w:w w:val="82"/>
              </w:rPr>
            </w:pPr>
            <w:hyperlink w:anchor="page40">
              <w:r>
                <w:rPr>
                  <w:rFonts w:ascii="Arial" w:cs="Arial" w:eastAsia="Arial" w:hAnsi="Arial"/>
                  <w:sz w:val="13"/>
                  <w:szCs w:val="13"/>
                  <w:color w:val="0000FF"/>
                  <w:w w:val="82"/>
                </w:rPr>
                <w:t>36</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900" w:type="dxa"/>
            <w:vAlign w:val="bottom"/>
            <w:tcBorders>
              <w:top w:val="single" w:sz="8" w:color="0000EE"/>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5100 East Skelly Drive, Suite 500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Tulsa, Oklahoma 74135</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FOR 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November 12, 2015</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AND REVOCATION OF PROXIES</w:t>
      </w:r>
    </w:p>
    <w:p>
      <w:pPr>
        <w:spacing w:after="0" w:line="17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accompanying proxy is solicited by the Board of Directors of Matrix Service Company (“Matrix”, the “Company”, “we”, “our” or “us”) for use at the Annual Meeting of Stockholders to be held on November 12, 2015, and at any adjournments thereof for the purposes set forth in the accompanying Notice of 2015 Annual Meeting of Stockholders. The Annual Meeting will be held at 2:00 p.m., Central time, at the Company’s Corporate Headquarters, 5100 East Skelly Drive, Tulsa, Oklahoma. This proxy statement and accompanying proxy were first sent on or about October 9, 2015 to stockholders of record on September 25, 2015. The annual report of the Company on Form 10-K for the fiscal year ended June 30, 2015 accompanies this proxy statement.</w:t>
      </w:r>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the accompanying proxy is properly executed and returned or a stockholder votes his or her proxy by Internet or telephone, the shares represented by the proxy will be voted at the meeting in accordance with the directions noted thereon or, if no direction is indicated, that stockholder’s shares will be voted in favor of the proposals described in this proxy statement. In addition, the proxy confers authority on the persons named in the proxy to vote, in their discretion, on any other matters properly presented at the Annual Meeting. The Board of Directors is not currently aware of any other such matters. Any stockholder who has given a proxy, whether by mail, Internet or telephone, has the power to revoke it at any time before it is voted by executing a subsequent proxy and sending it to Kevin S. Cavanah, Secretary, Matrix Service Company, 5100 East Skelly Drive, Suite 500, Tulsa, Oklahoma, 74135, or by a later dated vote by Internet or by telephone. The proxy also may be revoked if the stockholder is present at the meeting and elects to vote in person.</w:t>
      </w:r>
    </w:p>
    <w:p>
      <w:pPr>
        <w:spacing w:after="0" w:line="11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expenses of this proxy solicitation, including the cost of preparing and mailing this proxy statement and accompanying proxy, will be borne by the Company. Such expenses will also include the charges and expenses of banks, brokerage firms and other custodians, nominees or fiduciaries for forwarding solicitation material regarding the Annual Meeting to beneficial owners of the Company’s common stock. In addition to solicitation by mail, certain directors, officers and regular employees of the Company may solicit proxies in person or by telephone, electronic transmission and facsimile transmission. Any such directors, officers or employees will not be additionally compensated, but may be reimbursed for their out-of-pocket expenses in connection therewith.</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ENTITLED TO VOTE</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the close of business on the record date of September 25, 2015 there were 26,520,455 shares of the Company’s common stock, par value $0.01 per share (the “Common Stock”), outstanding. Each outstanding share of Common Stock is entitled to one vote upon each of the matters to be voted on at the meeting. There is no cumulative voting with respect to the election of directors. The presence, in person or by proxy, of at least a majority of the outstanding shares of common stock is required for a quorum for the transaction of business.</w:t>
      </w:r>
    </w:p>
    <w:p>
      <w:pPr>
        <w:spacing w:after="0" w:line="13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affirmative vote of a plurality of the votes cast at the meeting is required for the election of directors. Votes withheld from nominees for directors, abstentions and broker non-votes will be counted for purposes of determining whether a quorum has been reached. Votes will be tabulated by an inspector of election appointed by the Board of Directors of the Company. With regard to the election of directors, votes may be cast in favor of or withheld from each nominee; votes that are withheld will have no effect on the vote. Abstentions may be specified on all proposals, except the election of directors. Abstentions on Proposal Numbers 2 and 3 will have the effect of a negative vote. A “broker non-vote” will have no effect on the outcome of the election of directors or the other proposals.</w:t>
      </w:r>
    </w:p>
    <w:p>
      <w:pPr>
        <w:spacing w:after="0" w:line="24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If you hold your shares through an account with a bank or broker, the bank or broker may vote your shares on some matters even if you do not provide voting instructions. Brokerage firms have the authority to vote shares on certain matters (such as the ratification of auditors) when their customers do not provide voting instructions. However, on other matters (such as the election of directors), when the brokerage firm has not received voting instructions from its customers, the brokerage firm cannot vote the shares on that matter and a “broker non-vote” occurs. </w:t>
      </w:r>
      <w:r>
        <w:rPr>
          <w:rFonts w:ascii="Arial" w:cs="Arial" w:eastAsia="Arial" w:hAnsi="Arial"/>
          <w:sz w:val="16"/>
          <w:szCs w:val="16"/>
          <w:b w:val="1"/>
          <w:bCs w:val="1"/>
          <w:color w:val="auto"/>
        </w:rPr>
        <w:t>Please note that an uncontested election of directors is</w:t>
      </w:r>
      <w:r>
        <w:rPr>
          <w:rFonts w:ascii="Arial" w:cs="Arial" w:eastAsia="Arial" w:hAnsi="Arial"/>
          <w:sz w:val="16"/>
          <w:szCs w:val="16"/>
          <w:color w:val="auto"/>
        </w:rPr>
        <w:t xml:space="preserve"> </w:t>
      </w:r>
      <w:r>
        <w:rPr>
          <w:rFonts w:ascii="Arial" w:cs="Arial" w:eastAsia="Arial" w:hAnsi="Arial"/>
          <w:sz w:val="16"/>
          <w:szCs w:val="16"/>
          <w:b w:val="1"/>
          <w:bCs w:val="1"/>
          <w:color w:val="auto"/>
        </w:rPr>
        <w:t>no longer considered a routine matter. This means that brokers may not vote your shares on the election of directors if you have not given your broker specific instructions as to how to vote. Please be sure to give specific voting instructions to your broker so that your vote can be counted.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NUMBER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5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Company’s Certificate of Incorporation and Bylaws provide that the number of directors on the Board shall be fixed from time to time by the Board of Directors but shall not be less than three nor more than 15 persons. The Board has fixed its size at seven members. Directors hold office until the next annual meeting of the stockholders of the Company or until their successors have been elected and qualified. Vacancies may be filled by a majority vote of the remaining directors based on the recommendations of the Nominating and Corporate Governance Committee.</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accordance with the recommendation of the Nominating and Corporate Governance Committee, the Board of Directors has nominated and recommends that you vote “For” the election of the seven nominees identified below who have been nominated to serve as directors until the next annual meeting of stockholders or until their successors are duly elected and qualified. Proxies solicited hereby will be voted “For” all seven nominees unless stockholders specify otherwise in their proxies. The seven nominees who receive the highest number of affirmative votes of the shares voting shall be elected as directors.</w:t>
      </w:r>
    </w:p>
    <w:p>
      <w:pPr>
        <w:spacing w:after="0" w:line="1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at the time of the 2015 Annual Meeting of Stockholders, any of the nominees should be unable or decline to serve, the discretionary authority provided in the proxy may be used to vote for a substitute or substitutes who may be recommended by the Nominating and Corporate Governance Committee and who the Board of Directors may propose to replace such nominee. The Board of Directors has no reason to believe that any substitute nominee or nominees will be required.</w:t>
      </w:r>
    </w:p>
    <w:p>
      <w:pPr>
        <w:spacing w:after="0" w:line="13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Each of our directors possesses a combination of attributes that qualifies him for service on the Board of Directors. The directors were specifically recruited for these attributes, which include business experience specifically related to the industries in which we operate, knowledge based on specialized education or training such as accounting and finance, and senior executive management experience that demonstrates leadership qualities and a practical understanding of organizations, processes, business strategies, risk management and how to drive change and growth. We believe that the qualifications, skills and experiences of the directors, individually and collectively, have resulted in the Board of Directors being effective.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Nominated Director Biographies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nominees for director, and certain additional information with respect to each of them, are as follows:</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Michael J. Hall</w:t>
      </w:r>
      <w:r>
        <w:rPr>
          <w:rFonts w:ascii="Arial" w:cs="Arial" w:eastAsia="Arial" w:hAnsi="Arial"/>
          <w:sz w:val="17"/>
          <w:szCs w:val="17"/>
          <w:color w:val="auto"/>
        </w:rPr>
        <w:t>, age 71, was first elected as a director of the Company effective October 1998 and was elected Chairman of the Board in November 2006.</w:t>
      </w:r>
      <w:r>
        <w:rPr>
          <w:rFonts w:ascii="Arial" w:cs="Arial" w:eastAsia="Arial" w:hAnsi="Arial"/>
          <w:sz w:val="17"/>
          <w:szCs w:val="17"/>
          <w:b w:val="1"/>
          <w:bCs w:val="1"/>
          <w:color w:val="auto"/>
        </w:rPr>
        <w:t xml:space="preserve"> </w:t>
      </w:r>
      <w:r>
        <w:rPr>
          <w:rFonts w:ascii="Arial" w:cs="Arial" w:eastAsia="Arial" w:hAnsi="Arial"/>
          <w:sz w:val="17"/>
          <w:szCs w:val="17"/>
          <w:color w:val="auto"/>
        </w:rPr>
        <w:t>Mr. Hall previously served as President and Chief Executive Officer of the Company from March 2005 until his retirement in November 2006. Mr. Hall also served as Vice President, Finance and Chief Financial Officer of the Company from November 1998 until his initial retirement in May 2004. Prior to working for Matrix Service Company, Mr. Hall was Vice President and Chief Financial Officer for Pexco Holdings, Inc. from 1994 to 1997 and Vice President, Finance and Chief Financial Officer for Worldwide Sports &amp; Recreation, Inc., an affiliate of Pexco Holding, from 1996 to 1997. From 1984 to 1994, Mr. Hall worked for T.D. Williamson, Inc., as Senior Vice President, Chief Financial and Administrative Officer and Director of Operations, Europe, Africa and Middle East Region. Mr. Hall graduated Summa Cum Laude from Boston College with a degree in Accounting and earned his Masters of Business Administration degree with honors from Stanford Graduate School of Business. Mr. Hall is a former member of the Board of Directors of Alliance G.P., LLC (the general partner of Alliance Holdings, G.P., L.P.); a former member of the Board of Directors of Alliance Resource Management G.P., LLC (the managing general partner of Alliance Resources Partners, L.P.); former director and Chairman of the Board of Integrated Electrical Services, Inc.; and a former Independent Trustee and Chairman of the Board of Trustees for American Performance Funds.</w:t>
      </w:r>
    </w:p>
    <w:p>
      <w:pPr>
        <w:spacing w:after="0" w:line="12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specific experience, qualifications, attributes or skills that led to the conclusion Mr. Hall should serve as a Director include his long history of service in senior corporate leadership positions, his significant knowledge of the construction and energy industries, and his extensive experience and expertise in complex financial and operational matters gained from his service as a Chief Financial Officer and a Chief Executive Officer.</w:t>
      </w:r>
    </w:p>
    <w:p>
      <w:pPr>
        <w:spacing w:after="0" w:line="10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color w:val="auto"/>
        </w:rPr>
        <w:t>John R. Hewitt</w:t>
      </w:r>
      <w:r>
        <w:rPr>
          <w:rFonts w:ascii="Arial" w:cs="Arial" w:eastAsia="Arial" w:hAnsi="Arial"/>
          <w:sz w:val="18"/>
          <w:szCs w:val="18"/>
          <w:color w:val="auto"/>
        </w:rPr>
        <w:t>, age 57, was appointed as President and Chief Executive Officer and as a director of the Company in May 2011. Mr. Hewitt has spent his</w:t>
      </w:r>
      <w:r>
        <w:rPr>
          <w:rFonts w:ascii="Arial" w:cs="Arial" w:eastAsia="Arial" w:hAnsi="Arial"/>
          <w:sz w:val="18"/>
          <w:szCs w:val="18"/>
          <w:b w:val="1"/>
          <w:bCs w:val="1"/>
          <w:color w:val="auto"/>
        </w:rPr>
        <w:t xml:space="preserve"> </w:t>
      </w:r>
      <w:r>
        <w:rPr>
          <w:rFonts w:ascii="Arial" w:cs="Arial" w:eastAsia="Arial" w:hAnsi="Arial"/>
          <w:sz w:val="18"/>
          <w:szCs w:val="18"/>
          <w:color w:val="auto"/>
        </w:rPr>
        <w:t>entire career in the engineering, procurement, and construction industry. Prior to joining Matrix in May 2011, Mr. Hewitt worked for approximately 25 years for various operating businesses of Aker Solutions ASA (“Aker”) and its predecessor companies, which provide engineering and construction services, technology products, and integrated solutions to the energy and process industries worldwide. Up until his appointment with the Company, Mr. Hewitt served as Vice President of Aker Solutions, where he was responsible for providing executive oversight on major capital projects in the power and liquefied natural gas industries. He also served as President, United States Operations, Aker Solutions E&amp;C US, Inc. from 2007 to 2009 where he was responsible for managing all construction services in North America. Prior to that, he served as President, Aker Construction Inc. where he had full profit and loss responsibility for a multi-disciplined direct hire industrial construction business operating throughout North America. Mr. Hewitt is a member of the board of directors of Junior</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Achievement of Oklahoma, the Tulsa Area Chamber of Commerce, the Tulsa Area United Way, the Tulsa Area Salvation Army and the Philbrook Museum of Art.</w:t>
      </w:r>
    </w:p>
    <w:p>
      <w:pPr>
        <w:spacing w:after="0" w:line="11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the current President and CEO of the Company, Mr. Hewitt provides a management representative on the Board of Directors with extensive knowledge of day-to-day operations. As a result, he can facilitate the Board of Directors’ access to timely and relevant information and its oversight of management’s strategy, planning and performance. In addition, Mr. Hewitt brings to the Board of Directors considerable management and leadership experience, extensive knowledge of the energy industry and our business, and significant experience with mergers and acquisitions.</w:t>
      </w:r>
    </w:p>
    <w:p>
      <w:pPr>
        <w:spacing w:after="0" w:line="11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I. Edgar (Ed) Hendrix</w:t>
      </w:r>
      <w:r>
        <w:rPr>
          <w:rFonts w:ascii="Arial" w:cs="Arial" w:eastAsia="Arial" w:hAnsi="Arial"/>
          <w:sz w:val="17"/>
          <w:szCs w:val="17"/>
          <w:color w:val="auto"/>
        </w:rPr>
        <w:t>, age 71, was first elected as a director of the Company effective October 2000 and served as Chairman of the Board of Directors from</w:t>
      </w:r>
      <w:r>
        <w:rPr>
          <w:rFonts w:ascii="Arial" w:cs="Arial" w:eastAsia="Arial" w:hAnsi="Arial"/>
          <w:sz w:val="17"/>
          <w:szCs w:val="17"/>
          <w:b w:val="1"/>
          <w:bCs w:val="1"/>
          <w:color w:val="auto"/>
        </w:rPr>
        <w:t xml:space="preserve"> </w:t>
      </w:r>
      <w:r>
        <w:rPr>
          <w:rFonts w:ascii="Arial" w:cs="Arial" w:eastAsia="Arial" w:hAnsi="Arial"/>
          <w:sz w:val="17"/>
          <w:szCs w:val="17"/>
          <w:color w:val="auto"/>
        </w:rPr>
        <w:t>March 2005 until November 2006. Mr. Hendrix served as President of Patriot Energy Resources, LLC from 2005 to 2012. Mr. Hendrix served as Executive Vice President and Chief Financial Officer of Loudfire, Inc. from 2002 to 2004. Prior to 2002, Mr. Hendrix served as Executive Vice President and Chief Financial Officer of Spectrum Field Services, Inc., and as Vice President-Treasurer for Parker Drilling, a New York Stock Exchange company engaged in worldwide oil and gas drilling and equipment services. He also was a management consultant with Ernst &amp; Young LLP. Mr. Hendrix has an undergraduate degree from Oklahoma Christian University and a Masters of Business Administration degree from the University of Oklahoma. Mr. Hendrix is a former member of the Board of Trustees for American Performance Funds and former Chairman of the Board of Red River Energy, Inc.</w:t>
      </w:r>
    </w:p>
    <w:p>
      <w:pPr>
        <w:spacing w:after="0" w:line="12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specific experience, qualifications, attributes or skills that led to the conclusion Mr. Hendrix should serve as a Director include his long history of service in senior corporate leadership positions, his significant knowledge of the energy industry, and his extensive experience and expertise in complex financial matters gained from his service as Treasurer of a public company.</w:t>
      </w:r>
    </w:p>
    <w:p>
      <w:pPr>
        <w:spacing w:after="0" w:line="12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color w:val="auto"/>
        </w:rPr>
        <w:t>Paul K. Lackey</w:t>
      </w:r>
      <w:r>
        <w:rPr>
          <w:rFonts w:ascii="Arial" w:cs="Arial" w:eastAsia="Arial" w:hAnsi="Arial"/>
          <w:sz w:val="17"/>
          <w:szCs w:val="17"/>
          <w:color w:val="auto"/>
        </w:rPr>
        <w:t>, age 72, was first elected as a director of the Company effective October 2000. Mr. Lackey has served as Chairman of the Board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NORDAM Group (“NORDAM”), an aircraft component manufacturing and repair firm, since October 2005 and as Chief Executive Officer of NORDAM from April 2002 until January 2009. Prior to joining NORDAM in July 2001, Mr. Lackey was President of the University of Oklahoma (OU) – Tulsa and Senior Vice President of the OU system. Prior to joining OU in August 1999, Mr. Lackey was a key member of former Oklahoma Governor Frank Keating’s administration. He was the Governor’s Chief of Staff from February 1997 to July 1999. From 1995 to 1997, he served in the Oklahoma Cabinet as Secretary of Health and Human Services. Before his service in state government, Mr. Lackey was President of Flint Industries, an oil and gas services and commercial construction firm. He was appointed Chief Financial Officer for Flint in 1977, later became Chief Operating Officer (COO) and, ultimately, President. A graduate of the University of Mississippi with a Bachelor of Science degree in Mathematics, Mr. Lackey earned a Masters of Business Administration degree in Finance from the University of Texas. He also served in the United States Army as an artillery officer. Mr. Lackey is a director of Aaon, Inc., an advisory director of Commerce Bank, a director of the Tulsa Chamber of Commerce, Chairman of the Board of St. John Health Systems and a member of the Economic Policy Council of the Kansas City Federal Reserve Bank.</w:t>
      </w:r>
    </w:p>
    <w:p>
      <w:pPr>
        <w:spacing w:after="0" w:line="1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specific experience, qualifications, attributes or skills that led to the conclusion Mr. Lackey should serve as a Director include his long history of service in senior corporate leadership positions and his extensive experience in the manufacturing, construction and energy industries, including his experience as both a COO and CFO of a leading commercial construction contractor.</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Tom E. Maxwell</w:t>
      </w:r>
      <w:r>
        <w:rPr>
          <w:rFonts w:ascii="Arial" w:cs="Arial" w:eastAsia="Arial" w:hAnsi="Arial"/>
          <w:sz w:val="17"/>
          <w:szCs w:val="17"/>
          <w:color w:val="555555"/>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age 70, was first elected as a director of the Company effective May 2003. Mr. Maxwell was Chairman of Flintco LLC ("Flintco") from</w:t>
      </w:r>
      <w:r>
        <w:rPr>
          <w:rFonts w:ascii="Arial" w:cs="Arial" w:eastAsia="Arial" w:hAnsi="Arial"/>
          <w:sz w:val="17"/>
          <w:szCs w:val="17"/>
          <w:b w:val="1"/>
          <w:bCs w:val="1"/>
          <w:color w:val="auto"/>
        </w:rPr>
        <w:t xml:space="preserve"> </w:t>
      </w:r>
      <w:r>
        <w:rPr>
          <w:rFonts w:ascii="Arial" w:cs="Arial" w:eastAsia="Arial" w:hAnsi="Arial"/>
          <w:sz w:val="17"/>
          <w:szCs w:val="17"/>
          <w:color w:val="auto"/>
        </w:rPr>
        <w:t>January 2013 until his retirement in December of 2014. Prior to the assuming the Chairman role, he was President and CEO and a Director of Flintco for 26 years. Prior to his election as President and Chief Executive Officer, Mr. Maxwell was the Chief Financial Officer and Division President of Flintco for four years. Mr. Maxwell began his career with five years at Deloitte &amp; Touche and was the Chief Financial Officer of a public company, Kinark Corporation, for seven years. Mr. Maxwell earned Undergraduate and Masters Degrees in Accounting at the University of Oklahoma and is a Certified Public Accountant (inactive). Mr. Maxwell is an advisory director of Commerce Bank in Tulsa, Oklahoma. In addition, Mr. Maxwell serves as a director for the Tulsa Metro Chamber of Commerce and Hillcrest Hospital and is a member of the State of Oklahoma Bond Oversight Council.</w:t>
      </w:r>
    </w:p>
    <w:p>
      <w:pPr>
        <w:spacing w:after="0" w:line="23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specific experience, qualifications, attributes or skills that led to the conclusion Mr. Maxwell should serve as a Director include his long history of service in senior corporate leadership positions and his extensive experience in the construction and the energy industries, including his experience as both a CEO and CFO of a leading commercial construction contractor.</w:t>
      </w:r>
    </w:p>
    <w:p>
      <w:pPr>
        <w:spacing w:after="0" w:line="123"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Jim W. Mogg, </w:t>
      </w:r>
      <w:r>
        <w:rPr>
          <w:rFonts w:ascii="Arial" w:cs="Arial" w:eastAsia="Arial" w:hAnsi="Arial"/>
          <w:sz w:val="18"/>
          <w:szCs w:val="18"/>
          <w:color w:val="auto"/>
        </w:rPr>
        <w:t>age 66, has served as a director since August 2013. Mr. Mogg has also served on the Board of Directors of ONEOK, Inc., a publicly traded</w:t>
      </w:r>
      <w:r>
        <w:rPr>
          <w:rFonts w:ascii="Arial" w:cs="Arial" w:eastAsia="Arial" w:hAnsi="Arial"/>
          <w:sz w:val="18"/>
          <w:szCs w:val="18"/>
          <w:b w:val="1"/>
          <w:bCs w:val="1"/>
          <w:color w:val="auto"/>
        </w:rPr>
        <w:t xml:space="preserve"> </w:t>
      </w:r>
      <w:r>
        <w:rPr>
          <w:rFonts w:ascii="Arial" w:cs="Arial" w:eastAsia="Arial" w:hAnsi="Arial"/>
          <w:sz w:val="18"/>
          <w:szCs w:val="18"/>
          <w:color w:val="auto"/>
        </w:rPr>
        <w:t>diversified energy company since July 2007 and ONEOK Partners, L.P., a publicly traded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master limited partnership that operates natural gas and natural gas liquids gathering, processing, pipelines, and fractionation assets, since August 2009. Mr. Mogg served as Chairman of the Board of DCP Midstream GP, LLC, the general partner of DCP Midstream Partners, L.P., ("DCP Midstream") from August 2005 to April 2007. From January 2004 to September 2006, Mr. Mogg served as Group Vice President, Chief Development Officer and advisor to the Chairman of Duke Energy Corporation. Additionally, Duke Energy affiliates, Crescent Resources and TEPPCO Partners, LP ("TEPPCO") reported to Mr. Mogg. Mr. Mogg served as President and Chief Executive Officer of DCP Midstream, LLC from December 1994 to March 2000, and as Chairman, President and Chief Executive Officer from April 2000 through December 2003. DCP Midstream was the general partner of TEPPCO and, as a result, Mr. Mogg was Vice Chairman of TEPPCO from April 2000 to May 2002 and Chairman from May 2002 to February 2005. Mr. Mogg also serves on the Board of Directors of Bill Barrett Corporation, an exploration and production company, where he is currently the non-executive Chairman. Finally, Mr. Mogg serves on the Board of the Southwestern Oklahoma State University Foundation.</w:t>
      </w:r>
    </w:p>
    <w:p>
      <w:pPr>
        <w:spacing w:after="0" w:line="12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specific experience, qualifications, attributes or skills that led to the conclusion Mr. Mogg should serve as a Director include his long history of service in senior executive leadership positions, including as a chief executive officer and his significant knowledge of the energy industry. Mr. Mogg also brings financial expertise to the Board, including through his previous supervision of principal accounting officers, involvement in financing transactions, and his service on the audit committees of other companies. His current and previous directorships also provide Mr. Mogg with extensive corporate governance experience.</w:t>
      </w:r>
    </w:p>
    <w:p>
      <w:pPr>
        <w:spacing w:after="0" w:line="13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color w:val="auto"/>
        </w:rPr>
        <w:t xml:space="preserve">James H. Miller, </w:t>
      </w:r>
      <w:r>
        <w:rPr>
          <w:rFonts w:ascii="Arial" w:cs="Arial" w:eastAsia="Arial" w:hAnsi="Arial"/>
          <w:sz w:val="16"/>
          <w:szCs w:val="16"/>
          <w:color w:val="auto"/>
        </w:rPr>
        <w:t>age 60, has served as a director of the Company since since May 2014. Mr. Miller is currently Executive Vice President - Americas of</w:t>
      </w:r>
      <w:r>
        <w:rPr>
          <w:rFonts w:ascii="Arial" w:cs="Arial" w:eastAsia="Arial" w:hAnsi="Arial"/>
          <w:sz w:val="16"/>
          <w:szCs w:val="16"/>
          <w:b w:val="1"/>
          <w:bCs w:val="1"/>
          <w:color w:val="auto"/>
        </w:rPr>
        <w:t xml:space="preserve"> </w:t>
      </w:r>
      <w:r>
        <w:rPr>
          <w:rFonts w:ascii="Arial" w:cs="Arial" w:eastAsia="Arial" w:hAnsi="Arial"/>
          <w:sz w:val="16"/>
          <w:szCs w:val="16"/>
          <w:color w:val="auto"/>
        </w:rPr>
        <w:t>Kvaerner U.S., a position he has held since June 2011. He is also a Director and Officer for all Kvaerner U.S. based legal and operating entities. From June 2008 through June 2011, Mr. Miller served as Chief Executive Officer &amp; President of Aker Philadelphia Shipyard. From June 2011 to April 2014, Mr. Miller also served as Chairman of the Board for Aker Philadelphia Shipyard ASA. Before going to the shipyard, Mr. Miller was President of Aker Solutions Process</w:t>
      </w:r>
    </w:p>
    <w:p>
      <w:pPr>
        <w:spacing w:after="0" w:line="3" w:lineRule="exact"/>
        <w:rPr>
          <w:sz w:val="20"/>
          <w:szCs w:val="20"/>
          <w:color w:val="auto"/>
        </w:rPr>
      </w:pPr>
    </w:p>
    <w:p>
      <w:pPr>
        <w:jc w:val="both"/>
        <w:ind w:firstLine="8"/>
        <w:spacing w:after="0" w:line="254" w:lineRule="auto"/>
        <w:tabs>
          <w:tab w:leader="none" w:pos="18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Construction Americas, where he was responsible for financial operations of seven business units which generated in excess of $1.0 billion in revenues per year. Prior to joining Aker Solutions Process &amp; Construction Americas, Mr. Miller held the position of President of Aker Construction, Inc., which was one of the largest union construction companies in North America. Mr. Miller graduated from the University of Edinboro in Pennsylvania with a Bachelors of Arts degree.</w:t>
      </w:r>
    </w:p>
    <w:p>
      <w:pPr>
        <w:spacing w:after="0" w:line="13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Mr. Miller's extensive progressive leadership positions with a large multi-national industrial construction contractor have led to the conclusion that Mr. Miller should serve as a Director. Mr. Miller has significant operational experience and a thorough understanding of the challenges and risks that face industrial construction contractors. He is experienced with merger and acquisition activity, partnering with other companies, and the management of large multi-year construction projects. Mr. Miller is also knowledgeable in many of the Company's key markets including power generation and iron and steel.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of Directors recommends that the stockholders vote “For” the election of each of the above named nominees.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Board of Directors and corporate management use their best efforts to adopt and implement sound corporate governance practices and believe strongly that effective corporate governance practices are an important component of their efforts to focus the entire organization on generating long-term stockholder value through conscientious, safe and ethical operations.</w:t>
      </w:r>
    </w:p>
    <w:p>
      <w:pPr>
        <w:spacing w:after="0" w:line="1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The Board of Directors has adopted and implemented Corporate Governance Guidelines and a Code of Business Conduct and Ethics. The Code of Business Conduct and Ethics applies to all of the Company’s directors, officers (including its Chief Executive Officer, Chief Operating Officer, Chief Financial Officer, Controller and any person performing similar functions) and employees. The Corporate Governance Guidelines and Code of Business Conduct and Ethics are available on the Corporate Governance page included in the “Investor Relations” section of the Company’s website at </w:t>
      </w:r>
      <w:r>
        <w:rPr>
          <w:rFonts w:ascii="Arial" w:cs="Arial" w:eastAsia="Arial" w:hAnsi="Arial"/>
          <w:sz w:val="16"/>
          <w:szCs w:val="16"/>
          <w:u w:val="single" w:color="auto"/>
          <w:color w:val="auto"/>
        </w:rPr>
        <w:t>matrixservicecompany.com</w:t>
      </w:r>
      <w:r>
        <w:rPr>
          <w:rFonts w:ascii="Arial" w:cs="Arial" w:eastAsia="Arial" w:hAnsi="Arial"/>
          <w:sz w:val="16"/>
          <w:szCs w:val="16"/>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Guidelines</w:t>
      </w:r>
    </w:p>
    <w:p>
      <w:pPr>
        <w:spacing w:after="0" w:line="94"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Pursuant to the applicable rules for companies traded on the NASDAQ Global Market System (“NASDAQ”) and the rules and regulations of the Securities and Exchange Commission (“SEC”), the Board of Directors has adopted director independence guidelines. In accordance with these guidelines, each independent director must be determined to have no relationship with the Company which, in the opinion of the Company’s Board of Directors, would interfere with the exercise of independent judgment in carrying out the responsibilities of a director. The guidelines specify criteria by which the independence of the Company’s directors will be determined, including strict guidelines for directors and their immediate families with respect to past employment or affiliation with the Company or its independent registered public accounting firm.</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Board of Directors has affirmatively determined that each of Mr. Hall, Mr. Hendrix, Mr. Lackey, Mr. Maxwell, Mr. Mogg and Mr. Miller are “independent” under the guidelines. Mr. Hewitt is not considered to be independent because of his current employment as President and Chief Executive Officer of the Company. In evaluating Mr. Miller's independence, the Board considered his indirect interest, as an executive officer of the seller, in the December 2013 acquisition of Kvaerner North American Construction. The acquisition is described in the Company's fiscal 2015 Annual Report on Form 10-K. The Board concluded that his independence was not impaired since Mr. Miller joined the Board approximately five months after the transaction closed and, subsequent to the acquisition, the companies have had no client/customer, vendor/supplier, contractor/subcontractor or other relationship that could potentially impair Mr. Miller's independent judgment.</w:t>
      </w:r>
    </w:p>
    <w:p>
      <w:pPr>
        <w:spacing w:after="0" w:line="1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also considered Mr. Miller's familial relationships in assessing his independence. Mr. Miller's son and son-in-law are employees of Kvaerner North American Construction, subsequently renamed Matrix North American Construction. The Board concluded that these relationships do not impair Mr. Miller's independence as neither his son nor his son-in-law hold executive officer positions within Matrix North American Construction and are several levels below the level of executive officers of Matrix Service Company.</w:t>
      </w:r>
    </w:p>
    <w:p>
      <w:pPr>
        <w:spacing w:after="0" w:line="133"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 xml:space="preserve">The full text of the Company’s director independence guidelines is included in the Company’s Corporate Governance Guidelines, which is available on the Corporate Governance page included in the “Investor Relations” section of the Company’s website at </w:t>
      </w:r>
      <w:r>
        <w:rPr>
          <w:rFonts w:ascii="Arial" w:cs="Arial" w:eastAsia="Arial" w:hAnsi="Arial"/>
          <w:sz w:val="17"/>
          <w:szCs w:val="17"/>
          <w:u w:val="single" w:color="auto"/>
          <w:color w:val="auto"/>
        </w:rPr>
        <w:t>matrixservicecompany.com</w:t>
      </w:r>
      <w:r>
        <w:rPr>
          <w:rFonts w:ascii="Arial" w:cs="Arial" w:eastAsia="Arial" w:hAnsi="Arial"/>
          <w:sz w:val="17"/>
          <w:szCs w:val="17"/>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9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Board of Directors has no policy mandating the separation of the offices of Chairman of the Board and Chief Executive Officer. However, as the oversight responsibilities of directors continues to increase, we believe it is beneficial to have an independent chairman whose sole job for the Company is leading the Board. We believe the separation of the Chairman and Chief Executive Officer roles provides strong leadership for our board, while positioning our Chief Executive Officer as the leader of the Company in the eyes of our customers, employees and other stakeholders.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If, in the future, the Chief Executive Officer is serving as Chairman of the Board, then the Board of Directors will name a lead director who would, among other specified responsibilities, serve as the leader of the independent directors and facilitate communication between the Chairman/CEO and the other directors.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Board of Directors has six independent members and only one non-independent member. A number of our independent board members have served as members of senior management or as directors of other public companies. Our Audit, Compensation and Nominating and Corporate Governance Committees are comprised solely of independent directors, each with a different independent director serving as chair of the committee. We believe that the number of independent, experienced directors that make up our Board of Directors, along with the independent oversight of the board by the non-executive Chairman, benefits our Company and our stockholders.</w:t>
      </w:r>
    </w:p>
    <w:p>
      <w:pPr>
        <w:spacing w:after="0" w:line="13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Audit Committee and full Board jointly oversee the Company’s risk management processes. The Audit Committee receives regular reports from management regarding the Company’s assessment of risks. In addition, the Audit Committee and the full Board of Directors focus on the most significant risks facing the Company and the Company’s general risk management strategy, and also ensure that risks undertaken by the Company are consistent with the Board of Directors’ appetite for risk. While the Board of Directors oversees the Company’s risk management, Company management is responsible for day-to-day risk management processes. We believe this division of responsibilities is the most effective approach for addressing the risks facing our Company and that our Board leadership structure supports this approach.</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 of Directors</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Company’s Board of Directors met nine times during fiscal year 2015. The Board has three standing committees – the Audit Committee, the Compensation Committee, and the Nominating and Corporate Governance Committee. Each of the members of each of the committees qualifies as an “independent director” under the NASDAQ listing standards. During fiscal 2015, each director attended a minimum of 75% of the total number of meetings of the Board and of the total number of meetings held by all committees of which he was a member.</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Corporate Governance Guidelines provide that each director is expected to attend the annual meetings of stockholders of the Company. All of the members of the Company’s Board of Directors attended the 2014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6380" w:type="dxa"/>
            <w:vAlign w:val="bottom"/>
            <w:gridSpan w:val="4"/>
          </w:tcPr>
          <w:p>
            <w:pPr>
              <w:spacing w:after="0"/>
              <w:rPr>
                <w:sz w:val="20"/>
                <w:szCs w:val="20"/>
                <w:color w:val="auto"/>
              </w:rPr>
            </w:pPr>
            <w:r>
              <w:rPr>
                <w:rFonts w:ascii="Arial" w:cs="Arial" w:eastAsia="Arial" w:hAnsi="Arial"/>
                <w:sz w:val="18"/>
                <w:szCs w:val="18"/>
                <w:b w:val="1"/>
                <w:bCs w:val="1"/>
                <w:color w:val="auto"/>
              </w:rPr>
              <w:t>Audit Committee</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547"/>
        </w:trPr>
        <w:tc>
          <w:tcPr>
            <w:tcW w:w="5040" w:type="dxa"/>
            <w:vAlign w:val="bottom"/>
            <w:gridSpan w:val="3"/>
          </w:tcPr>
          <w:p>
            <w:pPr>
              <w:ind w:left="40"/>
              <w:spacing w:after="0"/>
              <w:rPr>
                <w:sz w:val="20"/>
                <w:szCs w:val="20"/>
                <w:color w:val="auto"/>
              </w:rPr>
            </w:pPr>
            <w:r>
              <w:rPr>
                <w:rFonts w:ascii="Arial" w:cs="Arial" w:eastAsia="Arial" w:hAnsi="Arial"/>
                <w:sz w:val="18"/>
                <w:szCs w:val="18"/>
                <w:b w:val="1"/>
                <w:bCs w:val="1"/>
                <w:color w:val="auto"/>
              </w:rPr>
              <w:t>Director</w:t>
            </w:r>
          </w:p>
        </w:tc>
        <w:tc>
          <w:tcPr>
            <w:tcW w:w="700" w:type="dxa"/>
            <w:vAlign w:val="bottom"/>
          </w:tcPr>
          <w:p>
            <w:pPr>
              <w:spacing w:after="0"/>
              <w:rPr>
                <w:sz w:val="24"/>
                <w:szCs w:val="24"/>
                <w:color w:val="auto"/>
              </w:rPr>
            </w:pPr>
          </w:p>
        </w:tc>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Fiscal 2015 Committee Service</w:t>
            </w:r>
          </w:p>
        </w:tc>
      </w:tr>
      <w:tr>
        <w:trPr>
          <w:trHeight w:val="48"/>
        </w:trPr>
        <w:tc>
          <w:tcPr>
            <w:tcW w:w="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720" w:type="dxa"/>
            <w:vAlign w:val="bottom"/>
            <w:tcBorders>
              <w:top w:val="single" w:sz="8" w:color="auto"/>
            </w:tcBorders>
          </w:tcPr>
          <w:p>
            <w:pPr>
              <w:spacing w:after="0"/>
              <w:rPr>
                <w:sz w:val="4"/>
                <w:szCs w:val="4"/>
                <w:color w:val="auto"/>
              </w:rPr>
            </w:pPr>
          </w:p>
        </w:tc>
        <w:tc>
          <w:tcPr>
            <w:tcW w:w="3320" w:type="dxa"/>
            <w:vAlign w:val="bottom"/>
          </w:tcPr>
          <w:p>
            <w:pPr>
              <w:spacing w:after="0"/>
              <w:rPr>
                <w:sz w:val="4"/>
                <w:szCs w:val="4"/>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 Edgar Hendrix, Chairman</w:t>
            </w:r>
          </w:p>
        </w:tc>
        <w:tc>
          <w:tcPr>
            <w:tcW w:w="7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Served all of Fiscal 2015</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Paul K. Lackey, Member</w:t>
            </w:r>
          </w:p>
        </w:tc>
        <w:tc>
          <w:tcPr>
            <w:tcW w:w="7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Served all of Fiscal 2015</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Tom. E. Maxwell, Member</w:t>
            </w:r>
          </w:p>
        </w:tc>
        <w:tc>
          <w:tcPr>
            <w:tcW w:w="7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Served all of Fiscal 2015</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Jim W. Mogg, Member</w:t>
            </w:r>
          </w:p>
        </w:tc>
        <w:tc>
          <w:tcPr>
            <w:tcW w:w="7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Served all of Fiscal 2015</w:t>
            </w:r>
          </w:p>
        </w:tc>
      </w:tr>
    </w:tbl>
    <w:p>
      <w:pPr>
        <w:spacing w:after="0" w:line="17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The Audit Committee assists the Board of Directors in monitoring the integrity of the financial statements of the Company, the independent registered public accounting firm’s qualifications and independence, the performance of the Company’s internal audit function and independent registered public accounting firm and the Company’s compliance with legal and regulatory requirements. In carrying out these purposes, the Audit Committee, among other things, appoints, evaluates and approves the compensation of the Company’s independent registered public accounting firm, reviews and approves the scope of the annual audit and the audit fee, pre-approves all auditing services and permitted non-audit services, annually considers the qualifications and independence of the independent registered public accounting firm, reviews the results of internal audits, compliance with certain of the Company’s written policies and procedures and the adequacy of the Company’s system of internal accounting controls, prepares the Audit Committee report for inclusion in the annual proxy statement and annually reviews the Audit Committee charter and the committee’s performance. The Audit Committee has also established procedures for the receipt, retention and treatment of complaints received by the Company regarding accounting, internal accounting controls or auditing matters and the confidential, anonymous submission by employees of the Company of concerns regarding accounting or auditing matters. The Audit Committee operates under a written charter. A copy of the Audit Committee Charter is available on the Corporate Governance page included in the “Investor Relations” section of the Company’s website at </w:t>
      </w:r>
      <w:r>
        <w:rPr>
          <w:rFonts w:ascii="Arial" w:cs="Arial" w:eastAsia="Arial" w:hAnsi="Arial"/>
          <w:sz w:val="16"/>
          <w:szCs w:val="16"/>
          <w:u w:val="single" w:color="auto"/>
          <w:color w:val="auto"/>
        </w:rPr>
        <w:t>matrixservicecompany.com</w:t>
      </w:r>
      <w:r>
        <w:rPr>
          <w:rFonts w:ascii="Arial" w:cs="Arial" w:eastAsia="Arial" w:hAnsi="Arial"/>
          <w:sz w:val="16"/>
          <w:szCs w:val="16"/>
          <w:color w:val="auto"/>
        </w:rPr>
        <w:t>. The Audit Committee held four meetings during fiscal 2015.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080" w:type="dxa"/>
            <w:vAlign w:val="bottom"/>
            <w:gridSpan w:val="5"/>
          </w:tcPr>
          <w:p>
            <w:pPr>
              <w:ind w:left="1380"/>
              <w:spacing w:after="0"/>
              <w:rPr>
                <w:sz w:val="20"/>
                <w:szCs w:val="20"/>
                <w:color w:val="auto"/>
              </w:rPr>
            </w:pPr>
            <w:r>
              <w:rPr>
                <w:rFonts w:ascii="Arial" w:cs="Arial" w:eastAsia="Arial" w:hAnsi="Arial"/>
                <w:sz w:val="18"/>
                <w:szCs w:val="18"/>
                <w:b w:val="1"/>
                <w:bCs w:val="1"/>
                <w:color w:val="auto"/>
              </w:rPr>
              <w:t>Compensation Committee</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547"/>
        </w:trPr>
        <w:tc>
          <w:tcPr>
            <w:tcW w:w="3340" w:type="dxa"/>
            <w:vAlign w:val="bottom"/>
            <w:gridSpan w:val="3"/>
          </w:tcPr>
          <w:p>
            <w:pPr>
              <w:ind w:left="40"/>
              <w:spacing w:after="0"/>
              <w:rPr>
                <w:sz w:val="20"/>
                <w:szCs w:val="20"/>
                <w:color w:val="auto"/>
              </w:rPr>
            </w:pPr>
            <w:r>
              <w:rPr>
                <w:rFonts w:ascii="Arial" w:cs="Arial" w:eastAsia="Arial" w:hAnsi="Arial"/>
                <w:sz w:val="18"/>
                <w:szCs w:val="18"/>
                <w:b w:val="1"/>
                <w:bCs w:val="1"/>
                <w:color w:val="auto"/>
              </w:rPr>
              <w:t>Director</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Fiscal 2015 Committee Service</w:t>
            </w:r>
          </w:p>
        </w:tc>
      </w:tr>
      <w:tr>
        <w:trPr>
          <w:trHeight w:val="48"/>
        </w:trPr>
        <w:tc>
          <w:tcPr>
            <w:tcW w:w="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3320" w:type="dxa"/>
            <w:vAlign w:val="bottom"/>
          </w:tcPr>
          <w:p>
            <w:pPr>
              <w:spacing w:after="0"/>
              <w:rPr>
                <w:sz w:val="4"/>
                <w:szCs w:val="4"/>
                <w:color w:val="auto"/>
              </w:rPr>
            </w:pPr>
          </w:p>
        </w:tc>
      </w:tr>
      <w:tr>
        <w:trPr>
          <w:trHeight w:val="25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Paul K. Lackey, Chairman</w:t>
            </w:r>
          </w:p>
        </w:tc>
        <w:tc>
          <w:tcPr>
            <w:tcW w:w="1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Served all of Fiscal 2015</w:t>
            </w: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I. Edgar Hendrix, Member</w:t>
            </w:r>
          </w:p>
        </w:tc>
        <w:tc>
          <w:tcPr>
            <w:tcW w:w="1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Served all of Fiscal 2015</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Tom E. Maxwell, Member</w:t>
            </w:r>
          </w:p>
        </w:tc>
        <w:tc>
          <w:tcPr>
            <w:tcW w:w="1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Served all of Fiscal 2015</w:t>
            </w: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Jim W. Mogg, Member</w:t>
            </w:r>
          </w:p>
        </w:tc>
        <w:tc>
          <w:tcPr>
            <w:tcW w:w="1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Served all of Fiscal 2015</w:t>
            </w:r>
          </w:p>
        </w:tc>
      </w:tr>
    </w:tbl>
    <w:p>
      <w:pPr>
        <w:spacing w:after="0" w:line="17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Compensation Committee’s functions include reviewing and approving executive salary, bonus, long-term incentive awards and other benefits. In addition, the Compensation Committee, in conjunction with the Board of Directors, reviews the Company’s strategic and financial plans to determine their relationship to the Company’s compensation program. Additional information describing the Compensation Committee’s processes and procedures for considering and determining executive compensation, including the role of our Chief Executive Officer and consultants in determining or recommending the amount or form of executive compensation, is included in the Compensation Discussion and Analysis below.</w:t>
      </w:r>
    </w:p>
    <w:p>
      <w:pPr>
        <w:spacing w:after="0" w:line="11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The Compensation Committee operates under a written charter. The Company has made a copy of its Compensation Committee Charter available on the Corporate Governance page included in the “Investor Relations” section of the Company’s website at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 The Compensation Committee held five meetings during fiscal 2015. The Compensation Committee has no authority under its charter to delegate some or all of its authority to subcommittees or other persons and it has no current plans to do so.</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fiscal 2015, the Compensation Committee was composed of I. Edgar Hendrix, Paul K. Lackey, Tom E. Maxwell and Jim W. Mogg, all of whom are non-employee directors of the Company. During fiscal 2015, none of the Company’s executive officers served on the Board of Directors or on the Compensation Committee of any other entity who had an executive officer that served either on the Company’s Board of Directors or on its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290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898"/>
        </w:trPr>
        <w:tc>
          <w:tcPr>
            <w:tcW w:w="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8520" w:type="dxa"/>
            <w:vAlign w:val="bottom"/>
            <w:gridSpan w:val="5"/>
          </w:tcPr>
          <w:p>
            <w:pPr>
              <w:ind w:left="840"/>
              <w:spacing w:after="0"/>
              <w:rPr>
                <w:sz w:val="20"/>
                <w:szCs w:val="20"/>
                <w:color w:val="auto"/>
              </w:rPr>
            </w:pPr>
            <w:r>
              <w:rPr>
                <w:rFonts w:ascii="Arial" w:cs="Arial" w:eastAsia="Arial" w:hAnsi="Arial"/>
                <w:sz w:val="18"/>
                <w:szCs w:val="18"/>
                <w:b w:val="1"/>
                <w:bCs w:val="1"/>
                <w:color w:val="auto"/>
              </w:rPr>
              <w:t>Nominating and Corporate Governance Committee</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547"/>
        </w:trPr>
        <w:tc>
          <w:tcPr>
            <w:tcW w:w="2900" w:type="dxa"/>
            <w:vAlign w:val="bottom"/>
            <w:gridSpan w:val="4"/>
          </w:tcPr>
          <w:p>
            <w:pPr>
              <w:ind w:left="40"/>
              <w:spacing w:after="0"/>
              <w:rPr>
                <w:sz w:val="20"/>
                <w:szCs w:val="20"/>
                <w:color w:val="auto"/>
              </w:rPr>
            </w:pPr>
            <w:r>
              <w:rPr>
                <w:rFonts w:ascii="Arial" w:cs="Arial" w:eastAsia="Arial" w:hAnsi="Arial"/>
                <w:sz w:val="18"/>
                <w:szCs w:val="18"/>
                <w:b w:val="1"/>
                <w:bCs w:val="1"/>
                <w:color w:val="auto"/>
              </w:rPr>
              <w:t>Director</w:t>
            </w:r>
          </w:p>
        </w:tc>
        <w:tc>
          <w:tcPr>
            <w:tcW w:w="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Fiscal 2015 Committee Service</w:t>
            </w:r>
          </w:p>
        </w:tc>
      </w:tr>
      <w:tr>
        <w:trPr>
          <w:trHeight w:val="48"/>
        </w:trPr>
        <w:tc>
          <w:tcPr>
            <w:tcW w:w="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9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320" w:type="dxa"/>
            <w:vAlign w:val="bottom"/>
          </w:tcPr>
          <w:p>
            <w:pPr>
              <w:spacing w:after="0"/>
              <w:rPr>
                <w:sz w:val="4"/>
                <w:szCs w:val="4"/>
                <w:color w:val="auto"/>
              </w:rPr>
            </w:pPr>
          </w:p>
        </w:tc>
      </w:tr>
      <w:tr>
        <w:trPr>
          <w:trHeight w:val="250"/>
        </w:trPr>
        <w:tc>
          <w:tcPr>
            <w:tcW w:w="2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Tom E. Maxwell, Chairman</w:t>
            </w:r>
          </w:p>
        </w:tc>
        <w:tc>
          <w:tcPr>
            <w:tcW w:w="8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Served all of Fiscal 2015</w:t>
            </w:r>
          </w:p>
        </w:tc>
      </w:tr>
      <w:tr>
        <w:trPr>
          <w:trHeight w:val="243"/>
        </w:trPr>
        <w:tc>
          <w:tcPr>
            <w:tcW w:w="2900" w:type="dxa"/>
            <w:vAlign w:val="bottom"/>
            <w:gridSpan w:val="4"/>
          </w:tcPr>
          <w:p>
            <w:pPr>
              <w:ind w:left="40"/>
              <w:spacing w:after="0"/>
              <w:rPr>
                <w:sz w:val="20"/>
                <w:szCs w:val="20"/>
                <w:color w:val="auto"/>
              </w:rPr>
            </w:pPr>
            <w:r>
              <w:rPr>
                <w:rFonts w:ascii="Arial" w:cs="Arial" w:eastAsia="Arial" w:hAnsi="Arial"/>
                <w:sz w:val="18"/>
                <w:szCs w:val="18"/>
                <w:color w:val="auto"/>
              </w:rPr>
              <w:t>I. Edgar Hendrix, Member</w:t>
            </w:r>
          </w:p>
        </w:tc>
        <w:tc>
          <w:tcPr>
            <w:tcW w:w="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Served all of Fiscal 2015</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2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Paul K. Lackey, Member</w:t>
            </w:r>
          </w:p>
        </w:tc>
        <w:tc>
          <w:tcPr>
            <w:tcW w:w="8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Served all of Fiscal 2015</w:t>
            </w:r>
          </w:p>
        </w:tc>
      </w:tr>
      <w:tr>
        <w:trPr>
          <w:trHeight w:val="243"/>
        </w:trPr>
        <w:tc>
          <w:tcPr>
            <w:tcW w:w="2900" w:type="dxa"/>
            <w:vAlign w:val="bottom"/>
            <w:gridSpan w:val="4"/>
          </w:tcPr>
          <w:p>
            <w:pPr>
              <w:ind w:left="40"/>
              <w:spacing w:after="0"/>
              <w:rPr>
                <w:sz w:val="20"/>
                <w:szCs w:val="20"/>
                <w:color w:val="auto"/>
              </w:rPr>
            </w:pPr>
            <w:r>
              <w:rPr>
                <w:rFonts w:ascii="Arial" w:cs="Arial" w:eastAsia="Arial" w:hAnsi="Arial"/>
                <w:sz w:val="18"/>
                <w:szCs w:val="18"/>
                <w:color w:val="auto"/>
              </w:rPr>
              <w:t>Jim W. Mogg, Member</w:t>
            </w:r>
          </w:p>
        </w:tc>
        <w:tc>
          <w:tcPr>
            <w:tcW w:w="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Served all of Fiscal 2015</w:t>
            </w:r>
          </w:p>
        </w:tc>
      </w:tr>
    </w:tbl>
    <w:p>
      <w:pPr>
        <w:spacing w:after="0" w:line="17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The Nominating and Corporate Governance Committee was established to assist the Board in identifying qualified individuals to become directors of the Company, recommend to the Board qualified director nominees for election by the stockholders or to fill vacancies on the Board, recommend to the Board membership on Board committees, recommend to the Board proposed Corporate Governance Guidelines and report annually to the Board on the status of the CEO succession plan. The Nominating and Corporate Governance Committee operates under a written charter. The Company has made a copy of its Nominating and Corporate Governance Committee Charter available on the Corporate Governance page included in the “Investor Relations” section of the Company’s website at </w:t>
      </w:r>
      <w:r>
        <w:rPr>
          <w:rFonts w:ascii="Arial" w:cs="Arial" w:eastAsia="Arial" w:hAnsi="Arial"/>
          <w:sz w:val="16"/>
          <w:szCs w:val="16"/>
          <w:u w:val="single" w:color="auto"/>
          <w:color w:val="auto"/>
        </w:rPr>
        <w:t>matrixservicecompany.com</w:t>
      </w:r>
      <w:r>
        <w:rPr>
          <w:rFonts w:ascii="Arial" w:cs="Arial" w:eastAsia="Arial" w:hAnsi="Arial"/>
          <w:sz w:val="16"/>
          <w:szCs w:val="16"/>
          <w:color w:val="auto"/>
        </w:rPr>
        <w:t>. The Nominating and Corporate Governance Committee has the authority under its charter to retain a professional search firm to identify candidates. The Nominating and Corporate Governance Committee held four meetings during fiscal 2015.</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8"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9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Nominating and Corporate Governance Committee will consider director candidates submitted to it by other directors, employees and stockholders. In evaluating such nominations, the Nominating and Corporate Governance Committee seeks to achieve a balance of knowledge, experience and capability to address the director qualifications discussed below.</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Nominating and Corporate Governance Committee regularly assesses the appropriate size of the Board of Directors and whether any vacancies on the Board are expected due to retirement or otherwise. In the event that vacancies are anticipated or otherwise arise, the Committee considers various potential candidates. Candidates may come to the attention of the Committee through current directors, senior management, professional search firms, stockholders or other persons.</w:t>
      </w:r>
    </w:p>
    <w:p>
      <w:pPr>
        <w:spacing w:after="0" w:line="133"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Once a prospective nominee has been identified, the Committee makes an initial determination as to whether to conduct a full evaluation of the candidate. The initial determination involves an evaluation of the candidate against the qualifications set forth in the Corporate Governance Guidelines, which require broad experience, wisdom, integrity, the ability to make independent analytical inquiries, an understanding of the Company’s business environment and a willingness to devote adequate time to Board duties, including service on no more than four other public company boards.</w:t>
      </w:r>
    </w:p>
    <w:p>
      <w:pPr>
        <w:spacing w:after="0" w:line="10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Committee does not assign specific weights to particular criteria and no particular criterion is a prerequisite for each prospective nominee. Our Board of Directors believes that the backgrounds and qualifications of its directors, considered as a group, should provide a composite mix of experience, knowledge and abilities that will allow it to fulfill its responsibilities. Although the Committee may also consider other aspects of diversity, including geographic, gender, age and ethnic diversity, these factors are not a prerequisite for any prospective nominee. Consequently, while the Committee evaluates the mix of experience and skills of the Board of Directors as a group, the Committee does not monitor the effectiveness of its policies with respect to geographic, gender, age or ethnic diversity.</w:t>
      </w:r>
    </w:p>
    <w:p>
      <w:pPr>
        <w:spacing w:after="0" w:line="13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Committee also assesses the candidate’s qualifications as an “independent director” under the NASDAQ’s current director independence standards and the Company’s director independence guidelines. If the Committee determines that additional consideration is warranted, it may request a professional search firm to gather additional information about the candidate. The Committee designates, after consultation with the CEO, which candidates are to be interviewed. After completing its evaluation, the Committee makes a recommendation to the full Board of Directors as to the persons who should be nominated by the Board and the Board determines the nominees after considering the recommendation of the Committee.</w:t>
      </w:r>
    </w:p>
    <w:p>
      <w:pPr>
        <w:spacing w:after="0" w:line="11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Holders of common stock wishing to recommend a person for consideration as a nominee for election to the Board can do so in accordance with the Company’s Bylaws by giving timely written notice to Kevin S. Cavanah, Secretary of Matrix Service Company, at 5100 East Skelly Drive, Suite 500, Tulsa, Oklahoma 74135. The written notice should give each such nominee’s name, address, appropriate biographical information, a description of all arrangements or understandings between the stockholder and each such nominee and any other person or persons (naming such person or persons), relating to such nominee’s service on the Board of Directors, if elected, as well as any other information that would be required in a proxy statement. Any such recommendation should be accompanied by a written statement from the person recommended, giving his or her consent to be named as a nominee and, if nominated and elected, to serve as a director. The written notice must be delivered to the Secretary of the Company not later than 80 days prior to the date of any annual or special meeting; provided, however, that in the event that the date of such annual or special meeting is not publicly announced by the Company more than 90 days prior to the meeting, notice by the stockholder must be delivered to the Secretary of the Company not later than the close of business on the tenth day following the day on which public announcement of the date of such meeting is communicated to the stockholders. The written notice to the Secretary of the Company must also set forth the name and address of the stockholder who intends to make the nomination and a representation that the stockholder is a holder of record of stock of the Company entitled to vote at such meeting and intends to appear in person or by proxy at the meeting to nominate the person or persons specified in the notice.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9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Executive sessions of the Board of Directors are held periodically. The sessions are chaired by the independent, non-executive Chairman of the Board. Any non-management director may request that an additional executive session be scheduled. Executive sessions of the independent directors are held on an as needed basis.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Board of Directors provides a process by which stockholders and other interested parties may communicate with the Board or any of the directors. Stockholders and other interested parties may send written communications to the Board of Directors or any of the directors at the following address: Board of Directors of Matrix Service Company c/o Matrix Service Company, 5100 East Skelly Drive, Suite 500, Tulsa, Oklahoma 74135. Stockholders and other interested parties may also contact the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Board or any of the directors via the Company’s online submission form by clicking on the “Contact the Board” link included on the Corporate Governance page included in the “Investor Relations” section of the Company’s website at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 All communications will be compiled by the Company’s Corporate Secretary and submitted to the Board or the individual director on a periodic basis.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Guidelines for Directors</w:t>
      </w:r>
    </w:p>
    <w:p>
      <w:pPr>
        <w:spacing w:after="0" w:line="9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Each non-employee director is strongly encouraged to have a significant investment in the Company. The Company’s Stock Ownership Guidelines for Directors, which were revised in August 2014, require each non-employee director own a number shares of our common stock equal to five times the annual cash retainer. For purposes of determining the guideline, the cash retainer does not include fees earned as Chairman of the Board or as Chairman of the Audit, Compensation or Nominating and Corporate Governance committees. The following types of equity can be used to satisfy the stock ownership requirements:</w:t>
      </w:r>
    </w:p>
    <w:p>
      <w:pPr>
        <w:spacing w:after="0" w:line="100" w:lineRule="exact"/>
        <w:rPr>
          <w:sz w:val="20"/>
          <w:szCs w:val="20"/>
          <w:color w:val="auto"/>
        </w:rPr>
      </w:pPr>
    </w:p>
    <w:p>
      <w:pPr>
        <w:ind w:left="920" w:right="780" w:hanging="331"/>
        <w:spacing w:after="0" w:line="258"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shares owned separately by the director or owned either jointly with, or separately by, immediate family members residing in the same household;</w:t>
      </w:r>
    </w:p>
    <w:p>
      <w:pPr>
        <w:spacing w:after="0" w:line="1" w:lineRule="exact"/>
        <w:rPr>
          <w:rFonts w:ascii="Arial" w:cs="Arial" w:eastAsia="Arial" w:hAnsi="Arial"/>
          <w:sz w:val="18"/>
          <w:szCs w:val="18"/>
          <w:color w:val="auto"/>
        </w:rPr>
      </w:pPr>
    </w:p>
    <w:p>
      <w:pPr>
        <w:ind w:left="920" w:hanging="331"/>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shares held in trust for the benefit of the director or his immediate family members;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shares purchased in the open market;</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shares purchased through the Company’s Employee Stock Purchase Plan;</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vested and unvested time-based restricted stock or restricted stock units;</w:t>
      </w:r>
    </w:p>
    <w:p>
      <w:pPr>
        <w:spacing w:after="0" w:line="9" w:lineRule="exact"/>
        <w:rPr>
          <w:rFonts w:ascii="Arial" w:cs="Arial" w:eastAsia="Arial" w:hAnsi="Arial"/>
          <w:sz w:val="18"/>
          <w:szCs w:val="18"/>
          <w:color w:val="auto"/>
        </w:rPr>
      </w:pPr>
    </w:p>
    <w:p>
      <w:pPr>
        <w:ind w:left="920" w:right="60" w:hanging="331"/>
        <w:spacing w:after="0" w:line="250"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unvested performance or market based restricted stock or restricted stock units but only to the extent that the Company recognizes compensation expense with respect to such restricted stock or restricted stock units;</w:t>
      </w:r>
    </w:p>
    <w:p>
      <w:pPr>
        <w:ind w:left="920" w:hanging="331"/>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in-the-money vested unexercised stock options; and</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phantom shares held on behalf of a director under the Board’s deferred compensation plan.</w:t>
      </w:r>
    </w:p>
    <w:p>
      <w:pPr>
        <w:spacing w:after="0" w:line="15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Existing directors have five years from the August 2014 date of adoption or revision of the guidelines to attain this level of ownership. Directors elected or appointed after the date of the adoption of the Stock Ownership Guidelines will have five years from the date of their election or appointment to the Board to attain this level of ownership. Furthermore, once the guidelines are met, the directors will remain in compliance with the stock ownership guidelines if a drop in the Company's stock price causes the director's ownership level to drop below five times the annual retainer so long as the director has not sold any shares subsequent to passing the ownership test. All of the non-employee directors with the exception of Mr. Jim W. Mogg, who was appointed in August 2013, and Mr. James H. Miller, who was appointed in May 2014, currently satisfy the requirements.</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Since Mr. Hewitt is the Chief Executive Officer of the Company, he must comply with the Equity Ownership Guidelines for Executive Officers, which are discussed in this proxy statement under the caption “Equity Ownership Guidelines.”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Management directors receive no additional compensation for service on the Board of Directors or any committee thereof. Directors of the Company are reimbursed for out-of-pocket expenses incurred in attending the Board of Directors and committee meetings.</w:t>
      </w:r>
    </w:p>
    <w:p>
      <w:pPr>
        <w:spacing w:after="0" w:line="11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elements of our non-employee director compensation consist of cash and equity. Our objective with director compensation is to position ourselves to attract and retain individuals with relevant business and leadership backgrounds and experience by providing a competitive package of cash and equity compensation.</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Total compensation for the Company’s non-employee directors is determined in a manner similar to that for executives, which is described under the caption “Compensation Discussion and Analysis.” The Compensation Committee of the Board of Directors (the “Committee”) engages a third party compensation consultant to periodically review director compensation and make recommendations. The Committee reviews benchmark data from outside consultants and makes recommendations to the full Board for approval.</w:t>
      </w:r>
    </w:p>
    <w:p>
      <w:pPr>
        <w:spacing w:after="0" w:line="13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Director compensation is generally reviewed on a bi-annual basis. In August 2014, the Committee engaged a third party compensation consultant, Meridian Compensation Partners, LLC (“Meridian”), to conduct a market study of director compensation. Meridian obtained benchmark data using published compensation surveys and proxy analysis of selected benchmark companies similar in size, location and industry. The companies included in the survey are consistent with those that we use to benchmark executive compensation.</w:t>
      </w:r>
    </w:p>
    <w:p>
      <w:pPr>
        <w:spacing w:after="0" w:line="1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Based on the consultant’s findings and recommendations, the Committee concluded that total annual compensation for directors, exclusive of retainers for services as a committee chair, of $150,000 was slightly below the median amount. Since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compensation was below the median and is reviewed only on a bi-annual basis, the Compensation Committee approved an increase of the annual compensation to $170,000. The Committee reiterated that the objective of director compensation is to provide both a short-term cash component and a long-term equity component that aligns the interests of directors with those of our stockholders through stock ownership. Therefore, the Committee recommended that the relative values of the equity component and cash component should continue to be equal. The Committee also concluded that the form of equity compensation remain unchanged and should continue to be time-based restricted stock units (“RSUs”) that cliff vest on the earlier of three years after the grant date or the directors' departure from the Board for any reason. The Committee also concluded that retainers for other Board duties are appropriate and should remain at the following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gridSpan w:val="2"/>
          </w:tcPr>
          <w:p>
            <w:pPr>
              <w:ind w:left="3980"/>
              <w:spacing w:after="0"/>
              <w:rPr>
                <w:sz w:val="20"/>
                <w:szCs w:val="20"/>
                <w:color w:val="auto"/>
              </w:rPr>
            </w:pPr>
            <w:r>
              <w:rPr>
                <w:rFonts w:ascii="Arial" w:cs="Arial" w:eastAsia="Arial" w:hAnsi="Arial"/>
                <w:sz w:val="18"/>
                <w:szCs w:val="18"/>
                <w:color w:val="auto"/>
              </w:rPr>
              <w:t>Retainer</w:t>
            </w:r>
          </w:p>
        </w:tc>
        <w:tc>
          <w:tcPr>
            <w:tcW w:w="2620" w:type="dxa"/>
            <w:vAlign w:val="bottom"/>
          </w:tcPr>
          <w:p>
            <w:pPr>
              <w:jc w:val="right"/>
              <w:ind w:right="790"/>
              <w:spacing w:after="0"/>
              <w:rPr>
                <w:sz w:val="20"/>
                <w:szCs w:val="20"/>
                <w:color w:val="auto"/>
              </w:rPr>
            </w:pPr>
            <w:r>
              <w:rPr>
                <w:rFonts w:ascii="Arial" w:cs="Arial" w:eastAsia="Arial" w:hAnsi="Arial"/>
                <w:sz w:val="18"/>
                <w:szCs w:val="18"/>
                <w:color w:val="auto"/>
              </w:rPr>
              <w:t>Amount ($)</w:t>
            </w:r>
          </w:p>
        </w:tc>
      </w:tr>
      <w:tr>
        <w:trPr>
          <w:trHeight w:val="34"/>
        </w:trPr>
        <w:tc>
          <w:tcPr>
            <w:tcW w:w="8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Audit Committee Chair</w:t>
            </w:r>
          </w:p>
        </w:tc>
        <w:tc>
          <w:tcPr>
            <w:tcW w:w="2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Compensation Committee Chair</w:t>
            </w:r>
          </w:p>
        </w:tc>
        <w:tc>
          <w:tcPr>
            <w:tcW w:w="262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Nominating and Corporate Governance Committee Chair</w:t>
            </w:r>
          </w:p>
        </w:tc>
        <w:tc>
          <w:tcPr>
            <w:tcW w:w="2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Chairman of the Board</w:t>
            </w:r>
          </w:p>
        </w:tc>
        <w:tc>
          <w:tcPr>
            <w:tcW w:w="2620" w:type="dxa"/>
            <w:vAlign w:val="bottom"/>
          </w:tcPr>
          <w:p>
            <w:pPr>
              <w:jc w:val="right"/>
              <w:ind w:right="10"/>
              <w:spacing w:after="0"/>
              <w:rPr>
                <w:sz w:val="20"/>
                <w:szCs w:val="20"/>
                <w:color w:val="auto"/>
              </w:rPr>
            </w:pPr>
            <w:r>
              <w:rPr>
                <w:rFonts w:ascii="Arial" w:cs="Arial" w:eastAsia="Arial" w:hAnsi="Arial"/>
                <w:sz w:val="18"/>
                <w:szCs w:val="18"/>
                <w:color w:val="auto"/>
              </w:rPr>
              <w:t>50,000</w:t>
            </w:r>
          </w:p>
        </w:tc>
      </w:tr>
    </w:tbl>
    <w:p>
      <w:pPr>
        <w:spacing w:after="0" w:line="175"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The Board of Directors also has a Deferred Fee Plan which allows directors to defer all or a portion of their cash compensation with interest. The effective interest rate for the subsequent calendar year is researched and approved by the Committee at the regularly-scheduled meeting each November. For fiscal 2015, the average interest rate was 5.0%. Non-employee directors are also permitted to invest their cash retainer in Company common stock through the Company’s 2011 Employee Stock Purchase Plan (“ESPP”). Investment through the ESPP is limited to $60,000 per calendar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earned by each director in fiscal 2015 is summarized in the table below:</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Change in</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Pension Value</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1"/>
              </w:rPr>
              <w:t>Fees</w:t>
            </w: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and</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Restricted</w:t>
            </w: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Earned</w:t>
            </w:r>
          </w:p>
        </w:tc>
        <w:tc>
          <w:tcPr>
            <w:tcW w:w="150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Deferred</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or Paid</w:t>
            </w: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Option</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440" w:type="dxa"/>
            <w:vAlign w:val="bottom"/>
            <w:gridSpan w:val="2"/>
            <w:vMerge w:val="continue"/>
          </w:tcPr>
          <w:p>
            <w:pPr>
              <w:spacing w:after="0"/>
              <w:rPr>
                <w:sz w:val="12"/>
                <w:szCs w:val="12"/>
                <w:color w:val="auto"/>
              </w:rPr>
            </w:pPr>
          </w:p>
        </w:tc>
        <w:tc>
          <w:tcPr>
            <w:tcW w:w="136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52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Name (1)</w:t>
            </w:r>
          </w:p>
        </w:tc>
        <w:tc>
          <w:tcPr>
            <w:tcW w:w="120" w:type="dxa"/>
            <w:vAlign w:val="bottom"/>
            <w:vMerge w:val="restart"/>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 Cash</w:t>
            </w: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Awards</w:t>
            </w: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Awards</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Earnings</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(2)</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(3)</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(4)</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(5)</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Michael J. Hall</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135,000</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85,390</w:t>
            </w:r>
          </w:p>
        </w:tc>
        <w:tc>
          <w:tcPr>
            <w:tcW w:w="12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5,626</w:t>
            </w:r>
          </w:p>
        </w:tc>
        <w:tc>
          <w:tcPr>
            <w:tcW w:w="1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226,016</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I. Edgar Hendrix</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85,390</w:t>
            </w:r>
          </w:p>
        </w:tc>
        <w:tc>
          <w:tcPr>
            <w:tcW w:w="120" w:type="dxa"/>
            <w:vAlign w:val="bottom"/>
          </w:tcPr>
          <w:p>
            <w:pPr>
              <w:spacing w:after="0"/>
              <w:rPr>
                <w:sz w:val="22"/>
                <w:szCs w:val="22"/>
                <w:color w:val="auto"/>
              </w:rPr>
            </w:pPr>
          </w:p>
        </w:tc>
        <w:tc>
          <w:tcPr>
            <w:tcW w:w="150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4,810</w:t>
            </w:r>
          </w:p>
        </w:tc>
        <w:tc>
          <w:tcPr>
            <w:tcW w:w="120" w:type="dxa"/>
            <w:vAlign w:val="bottom"/>
          </w:tcPr>
          <w:p>
            <w:pPr>
              <w:spacing w:after="0"/>
              <w:rPr>
                <w:sz w:val="22"/>
                <w:szCs w:val="22"/>
                <w:color w:val="auto"/>
              </w:rPr>
            </w:pPr>
          </w:p>
        </w:tc>
        <w:tc>
          <w:tcPr>
            <w:tcW w:w="144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190,200</w:t>
            </w: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Paul K. Lackey</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95,000</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85,390</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7,807</w:t>
            </w:r>
          </w:p>
        </w:tc>
        <w:tc>
          <w:tcPr>
            <w:tcW w:w="1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188,197</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Tom E. Maxwell</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92,500</w:t>
            </w:r>
          </w:p>
        </w:tc>
        <w:tc>
          <w:tcPr>
            <w:tcW w:w="12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85,390</w:t>
            </w:r>
          </w:p>
        </w:tc>
        <w:tc>
          <w:tcPr>
            <w:tcW w:w="120" w:type="dxa"/>
            <w:vAlign w:val="bottom"/>
          </w:tcPr>
          <w:p>
            <w:pPr>
              <w:spacing w:after="0"/>
              <w:rPr>
                <w:sz w:val="22"/>
                <w:szCs w:val="22"/>
                <w:color w:val="auto"/>
              </w:rPr>
            </w:pPr>
          </w:p>
        </w:tc>
        <w:tc>
          <w:tcPr>
            <w:tcW w:w="150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7,862</w:t>
            </w:r>
          </w:p>
        </w:tc>
        <w:tc>
          <w:tcPr>
            <w:tcW w:w="120" w:type="dxa"/>
            <w:vAlign w:val="bottom"/>
          </w:tcPr>
          <w:p>
            <w:pPr>
              <w:spacing w:after="0"/>
              <w:rPr>
                <w:sz w:val="22"/>
                <w:szCs w:val="22"/>
                <w:color w:val="auto"/>
              </w:rPr>
            </w:pPr>
          </w:p>
        </w:tc>
        <w:tc>
          <w:tcPr>
            <w:tcW w:w="144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185,752</w:t>
            </w: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Jim W. Mogg</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85,000</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85,390</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1,797</w:t>
            </w:r>
          </w:p>
        </w:tc>
        <w:tc>
          <w:tcPr>
            <w:tcW w:w="1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172,187</w:t>
            </w:r>
          </w:p>
        </w:tc>
        <w:tc>
          <w:tcPr>
            <w:tcW w:w="0" w:type="dxa"/>
            <w:vAlign w:val="bottom"/>
          </w:tcPr>
          <w:p>
            <w:pPr>
              <w:spacing w:after="0"/>
              <w:rPr>
                <w:sz w:val="1"/>
                <w:szCs w:val="1"/>
                <w:color w:val="auto"/>
              </w:rPr>
            </w:pPr>
          </w:p>
        </w:tc>
      </w:tr>
      <w:tr>
        <w:trPr>
          <w:trHeight w:val="258"/>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James H. Miller</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85,000</w:t>
            </w:r>
          </w:p>
        </w:tc>
        <w:tc>
          <w:tcPr>
            <w:tcW w:w="12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128,097</w:t>
            </w:r>
          </w:p>
        </w:tc>
        <w:tc>
          <w:tcPr>
            <w:tcW w:w="120" w:type="dxa"/>
            <w:vAlign w:val="bottom"/>
          </w:tcPr>
          <w:p>
            <w:pPr>
              <w:spacing w:after="0"/>
              <w:rPr>
                <w:sz w:val="22"/>
                <w:szCs w:val="22"/>
                <w:color w:val="auto"/>
              </w:rPr>
            </w:pPr>
          </w:p>
        </w:tc>
        <w:tc>
          <w:tcPr>
            <w:tcW w:w="150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213,097</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460" w:right="260" w:hanging="330"/>
        <w:spacing w:after="0" w:line="273"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John R. Hewitt is not included in this table since he is a current employee and thus received no compensation for his service as a director. The compensation received by Mr. Hewitt as an employee is shown in the Summary Compensation Table for our Named Executive Officers.</w:t>
      </w:r>
    </w:p>
    <w:p>
      <w:pPr>
        <w:spacing w:after="0" w:line="119" w:lineRule="exact"/>
        <w:rPr>
          <w:rFonts w:ascii="Arial" w:cs="Arial" w:eastAsia="Arial" w:hAnsi="Arial"/>
          <w:sz w:val="14"/>
          <w:szCs w:val="14"/>
          <w:color w:val="auto"/>
        </w:rPr>
      </w:pPr>
    </w:p>
    <w:p>
      <w:pPr>
        <w:ind w:left="460" w:right="20" w:hanging="330"/>
        <w:spacing w:after="0" w:line="257"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retainer fees earned in the fiscal year but paid subsequent to the completion of the fiscal year and fees earned in the fiscal year but deferred under the Deferred Fee Plan for members of the Board of Directors of Matrix Service Company. Mr. Hall deferred $135,000 in fees, Mr. Hendrix deferred $90,000 in fees, Mr. Lackey deferred $95,000 in fees, Mr. Maxwell deferred $92,500 in fees, and Mr. Mogg deferred $85,000 in fees. Mr. Miller did not defer any fees. The Deferred Fee Plan is discussed in note (5) below.</w:t>
      </w:r>
    </w:p>
    <w:p>
      <w:pPr>
        <w:spacing w:after="0" w:line="131" w:lineRule="exact"/>
        <w:rPr>
          <w:rFonts w:ascii="Arial" w:cs="Arial" w:eastAsia="Arial" w:hAnsi="Arial"/>
          <w:sz w:val="14"/>
          <w:szCs w:val="14"/>
          <w:color w:val="auto"/>
        </w:rPr>
      </w:pPr>
    </w:p>
    <w:p>
      <w:pPr>
        <w:ind w:left="460" w:right="80" w:hanging="330"/>
        <w:spacing w:after="0" w:line="270" w:lineRule="auto"/>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amounts shown represent the grant date fair value for awards granted during the period determined in accordance with the applicable accounting guidance for equity-based awards. For further information on the valuation of these awards, see Notes 1 and 10 to the Consolidated Financial Statements included in our fiscal 2015 Annual Report on Form 10-K. For services provided as a member of the Board of Directors, each non-employee director received an award of 3,629 RSUs with a grant date fair value of $85,390, with the exception of Mr. Miller, who received an award of 5,444 RSUs with a grant date fair value of $128,097 which represented Mr. Miller's award for fiscal 2015 service and an additional pro rata equity award for the period commencing with his appointment to the Board in May 2014 and ending with his election to a full term in November 2014. As of June 30, 2015, Mr. Hall, Mr. Hendrix, Mr. Lackey, and Mr. Maxwell each had 15,429 unvested RSUs, Mr. Mogg had 8,329 unvested RSUs and Mr. Miller had 5,444 unvested RSUs.</w:t>
      </w:r>
    </w:p>
    <w:p>
      <w:pPr>
        <w:spacing w:after="0" w:line="125" w:lineRule="exact"/>
        <w:rPr>
          <w:rFonts w:ascii="Arial" w:cs="Arial" w:eastAsia="Arial" w:hAnsi="Arial"/>
          <w:sz w:val="13"/>
          <w:szCs w:val="13"/>
          <w:color w:val="auto"/>
        </w:rPr>
      </w:pPr>
    </w:p>
    <w:p>
      <w:pPr>
        <w:ind w:left="460" w:hanging="330"/>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There were no stock option awards granted to non-employee directors in fiscal 2015. As of June 30, 2015, Mr. Hendrix had 5,000 stock options outstanding.</w:t>
      </w:r>
    </w:p>
    <w:p>
      <w:pPr>
        <w:spacing w:after="0" w:line="163" w:lineRule="exact"/>
        <w:rPr>
          <w:rFonts w:ascii="Arial" w:cs="Arial" w:eastAsia="Arial" w:hAnsi="Arial"/>
          <w:sz w:val="14"/>
          <w:szCs w:val="14"/>
          <w:color w:val="auto"/>
        </w:rPr>
      </w:pPr>
    </w:p>
    <w:p>
      <w:pPr>
        <w:ind w:left="460" w:right="200" w:hanging="330"/>
        <w:spacing w:after="0" w:line="257"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 non-employee director may defer all or part of director fees earned into the Deferred Fee Plan for Members of the Board of Directors of Matrix Service Company (the “Deferred Fee Plan”). Under the Deferred Fee Plan, directors are allowed to defer fees and earn interest. The amounts shown represent interest earned under the plan in excess of a market rate. For fiscal 2015, the market rate for the deferrals was 3.0% as compared to the actual average rate paid of 5.0%.</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60" w:right="100"/>
        <w:spacing w:after="0" w:line="273" w:lineRule="auto"/>
        <w:rPr>
          <w:sz w:val="20"/>
          <w:szCs w:val="20"/>
          <w:color w:val="auto"/>
        </w:rPr>
      </w:pPr>
      <w:r>
        <w:rPr>
          <w:rFonts w:ascii="Arial" w:cs="Arial" w:eastAsia="Arial" w:hAnsi="Arial"/>
          <w:sz w:val="14"/>
          <w:szCs w:val="14"/>
          <w:color w:val="auto"/>
        </w:rPr>
        <w:t>Previously, directors were allowed to defer fees in the form of phantom shares. The fees were converted into phantom shares based on the price of our stock on the deferral election date. At June 30, 2014, Mr. Maxwell held 1,565 phantom shares valued at $51,316. These shares vested in fiscal 2015 and Mr. Maxwell received cash of $30,048.</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AUDIT COMMITTEE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Audit Committee oversees the Company’s financial reporting process, including the system of internal controls, on behalf of the Board of Directors. Management has the primary responsibility for the financial statements and the associated system of internal controls. The Company’s independent registered public accounting firm is responsible for performing an independent audit of the Company’s financial statements and internal control over financial reporting in accordance with the Public Company Accounting Oversight Board standards and to issue a report thereon. The Audit Committee monitors these processes. The Audit Committee’s role does not provide any special assurance with regard to the Company’s financial statements, nor does it involve a professional evaluation of the quality of the audits performed by the independent registered public accounting firm. As part of its oversight responsibilities, the Audit Committee has:</w:t>
      </w:r>
    </w:p>
    <w:p>
      <w:pPr>
        <w:spacing w:after="0" w:line="270" w:lineRule="exact"/>
        <w:rPr>
          <w:sz w:val="20"/>
          <w:szCs w:val="20"/>
          <w:color w:val="auto"/>
        </w:rPr>
      </w:pPr>
    </w:p>
    <w:p>
      <w:pPr>
        <w:ind w:left="540" w:right="500" w:hanging="316"/>
        <w:spacing w:after="0" w:line="342"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reviewed and discussed with the Company’s internal auditors and independent registered public accounting firm, with and without management present, their evaluations of the Company’s internal accounting controls and the overall quality of the Company’s financial reporting;</w:t>
      </w:r>
    </w:p>
    <w:p>
      <w:pPr>
        <w:spacing w:after="0" w:line="123" w:lineRule="exact"/>
        <w:rPr>
          <w:rFonts w:ascii="Arial" w:cs="Arial" w:eastAsia="Arial" w:hAnsi="Arial"/>
          <w:sz w:val="16"/>
          <w:szCs w:val="16"/>
          <w:color w:val="auto"/>
        </w:rPr>
      </w:pPr>
    </w:p>
    <w:p>
      <w:pPr>
        <w:ind w:left="540" w:right="20" w:hanging="316"/>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reviewed and discussed with management and the independent registered public accounting firm the Company’s audited financial statements as of and for the year ended June 30, 2015;</w:t>
      </w:r>
    </w:p>
    <w:p>
      <w:pPr>
        <w:spacing w:after="0" w:line="170" w:lineRule="exact"/>
        <w:rPr>
          <w:rFonts w:ascii="Arial" w:cs="Arial" w:eastAsia="Arial" w:hAnsi="Arial"/>
          <w:sz w:val="18"/>
          <w:szCs w:val="18"/>
          <w:color w:val="auto"/>
        </w:rPr>
      </w:pPr>
    </w:p>
    <w:p>
      <w:pPr>
        <w:ind w:left="540" w:right="460" w:hanging="316"/>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discussed with the independent registered public accounting firm the matters required to be discussed by Auditing Standard No. 16 of the Public Company Accounting Oversight Board; and</w:t>
      </w:r>
    </w:p>
    <w:p>
      <w:pPr>
        <w:spacing w:after="0" w:line="170" w:lineRule="exact"/>
        <w:rPr>
          <w:rFonts w:ascii="Arial" w:cs="Arial" w:eastAsia="Arial" w:hAnsi="Arial"/>
          <w:sz w:val="18"/>
          <w:szCs w:val="18"/>
          <w:color w:val="auto"/>
        </w:rPr>
      </w:pPr>
    </w:p>
    <w:p>
      <w:pPr>
        <w:ind w:left="540" w:hanging="316"/>
        <w:spacing w:after="0" w:line="312"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received and reviewed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the independent registered public accounting firm its independence.</w:t>
      </w:r>
    </w:p>
    <w:p>
      <w:pPr>
        <w:spacing w:after="0" w:line="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Based on the reviews and discussions above, the Audit Committee recommended to the Board of Directors that the audited financial statements referred to above be included in the Company’s Annual Report on Form 10-K for the year ended June 30, 2015 for filing with the Securities and Exchange Commission. The Audit Committee, subject to ratification by the stockholders, has selected Deloitte &amp; Touche LLP as the Company’s independent registered public accounting firm for the year ending June 30, 2016.</w:t>
      </w:r>
    </w:p>
    <w:p>
      <w:pPr>
        <w:spacing w:after="0" w:line="13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Audit Committee is governed by a written charter. The Board of Directors has determined that the members of the Audit Committee are independent and financially literate as defined by the applicable standards. The Board has also determined that I. Edgar Hendrix qualifies as a financial expert as defined by the SEC rules adopted pursuant to the Sarbanes-Oxley Act of 2002.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Audit Committee: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Edgar Hendrix, Audit Committee Chairman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Paul K. Lackey, Audit Committee Member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Tom E. Maxwell, Audit Committee Member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Jim W. Mogg, Audit Committee Member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of Independent Registered Public Accounting Firm</w:t>
      </w:r>
    </w:p>
    <w:p>
      <w:pPr>
        <w:spacing w:after="0" w:line="94"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Fees billed for audit services in fiscal 2015 and 2014 include fees associated with the annual audit, the reviews of our quarterly reports on Form 10-Q, the audit of our internal controls, and services performed in connection with other filings with the SEC. Fees for other services in fiscal 2014 represent fees associated with the tax due diligence and acquisition structuring in connection with the December 20, 2013 acquisition of Kvaerner North American Construction. The acquisition is described in the Company's fiscal 2015 Annual Report on Form 10-K.</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4"/>
          </w:tcPr>
          <w:p>
            <w:pPr>
              <w:jc w:val="right"/>
              <w:ind w:right="1114"/>
              <w:spacing w:after="0"/>
              <w:rPr>
                <w:sz w:val="20"/>
                <w:szCs w:val="20"/>
                <w:color w:val="auto"/>
              </w:rPr>
            </w:pPr>
            <w:r>
              <w:rPr>
                <w:rFonts w:ascii="Arial" w:cs="Arial" w:eastAsia="Arial" w:hAnsi="Arial"/>
                <w:sz w:val="14"/>
                <w:szCs w:val="14"/>
                <w:b w:val="1"/>
                <w:bCs w:val="1"/>
                <w:color w:val="auto"/>
              </w:rPr>
              <w:t>Deloitte &amp; Touche LLP</w:t>
            </w:r>
          </w:p>
        </w:tc>
      </w:tr>
      <w:tr>
        <w:trPr>
          <w:trHeight w:val="264"/>
        </w:trPr>
        <w:tc>
          <w:tcPr>
            <w:tcW w:w="7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Fiscal 2015</w:t>
            </w:r>
          </w:p>
        </w:tc>
        <w:tc>
          <w:tcPr>
            <w:tcW w:w="380" w:type="dxa"/>
            <w:vAlign w:val="bottom"/>
          </w:tcPr>
          <w:p>
            <w:pPr>
              <w:spacing w:after="0"/>
              <w:rPr>
                <w:sz w:val="22"/>
                <w:szCs w:val="22"/>
                <w:color w:val="auto"/>
              </w:rPr>
            </w:pPr>
          </w:p>
        </w:tc>
        <w:tc>
          <w:tcPr>
            <w:tcW w:w="1560" w:type="dxa"/>
            <w:vAlign w:val="bottom"/>
          </w:tcPr>
          <w:p>
            <w:pPr>
              <w:jc w:val="right"/>
              <w:ind w:right="534"/>
              <w:spacing w:after="0"/>
              <w:rPr>
                <w:sz w:val="20"/>
                <w:szCs w:val="20"/>
                <w:color w:val="auto"/>
              </w:rPr>
            </w:pPr>
            <w:r>
              <w:rPr>
                <w:rFonts w:ascii="Arial" w:cs="Arial" w:eastAsia="Arial" w:hAnsi="Arial"/>
                <w:sz w:val="14"/>
                <w:szCs w:val="14"/>
                <w:b w:val="1"/>
                <w:bCs w:val="1"/>
                <w:color w:val="auto"/>
              </w:rPr>
              <w:t>Fiscal 2014</w:t>
            </w:r>
          </w:p>
        </w:tc>
      </w:tr>
      <w:tr>
        <w:trPr>
          <w:trHeight w:val="250"/>
        </w:trPr>
        <w:tc>
          <w:tcPr>
            <w:tcW w:w="7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Services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1,600,478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1,238,493</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Other Services</w:t>
            </w:r>
          </w:p>
        </w:tc>
        <w:tc>
          <w:tcPr>
            <w:tcW w:w="34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133,646</w:t>
            </w:r>
          </w:p>
        </w:tc>
      </w:tr>
      <w:tr>
        <w:trPr>
          <w:trHeight w:val="27"/>
        </w:trPr>
        <w:tc>
          <w:tcPr>
            <w:tcW w:w="7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1,600,478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1,372,139</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9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Audit Committee’s policy is to pre-approve all audit, audit-related, tax and permissible non-audit services provided by the independent registered public accounting firm on a periodic basis up to a specified dollar amount in order to assure that the provision of such services does not impair the auditor’s independence. If the dollar amount of any anticipated services is expected to exceed the predetermined limit, pre-approval of the Audit Committee is required.</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NUMBER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the Sarbanes-Oxley Act of 2002, the Audit Committee of the Board of Directors of the Company has been charged with the exclusive power and authority to engage or terminate the independent registered public accounting firm. The Audit Committee of the Board of Directors has engaged the firm of Deloitte &amp; Touche LLP as the Company’s independent registered public accounting firm for the fiscal year ending June 30, 2016. Deloitte &amp; Touche LLP has served as independent auditors for the Company since January 2006.</w:t>
      </w:r>
    </w:p>
    <w:p>
      <w:pPr>
        <w:spacing w:after="0" w:line="133"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A proposal will be presented at the annual meeting asking the stockholders to ratify the appointment of Deloitte &amp; Touche LLP as the Company’s independent registered public accounting firm. If the stockholders do not ratify the appointment of Deloitte &amp; Touche LLP, the Audit Committee will reconsider the appointment.</w:t>
      </w:r>
    </w:p>
    <w:p>
      <w:pPr>
        <w:spacing w:after="0" w:line="12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 xml:space="preserve">The affirmative vote of holders of a majority of the shares of common stock present in person or represented by proxy at the annual meeting is required for the adoption of this proposal. </w:t>
      </w:r>
      <w:r>
        <w:rPr>
          <w:rFonts w:ascii="Arial" w:cs="Arial" w:eastAsia="Arial" w:hAnsi="Arial"/>
          <w:sz w:val="16"/>
          <w:szCs w:val="16"/>
          <w:b w:val="1"/>
          <w:bCs w:val="1"/>
          <w:i w:val="1"/>
          <w:iCs w:val="1"/>
          <w:color w:val="auto"/>
        </w:rPr>
        <w:t>The Board of Directors recommends that the stockholders vote “For” ratification of Deloitte &amp; Touche LLP’s engagement.</w:t>
      </w:r>
    </w:p>
    <w:p>
      <w:pPr>
        <w:spacing w:after="0" w:line="70"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A representative of Deloitte &amp; Touche LLP is expected to be present at the Annual Meeting of Stockholders and will have an opportunity to make a statement, if he or she desires to do so, and to respond to appropriate questions from those attending the meeting.</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Biographies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addition to Mr. Hewitt, the Company’s President and Chief Executive Officer, who serves on the Board of Directors and whose biographical information is set forth under the caption, “Nominated Director Biographies,” the executive officers of the Company are:</w:t>
      </w:r>
    </w:p>
    <w:p>
      <w:pPr>
        <w:spacing w:after="0" w:line="112"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b w:val="1"/>
          <w:bCs w:val="1"/>
          <w:color w:val="auto"/>
        </w:rPr>
        <w:t>Joseph F. Montalbano</w:t>
      </w:r>
      <w:r>
        <w:rPr>
          <w:rFonts w:ascii="Arial" w:cs="Arial" w:eastAsia="Arial" w:hAnsi="Arial"/>
          <w:sz w:val="17"/>
          <w:szCs w:val="17"/>
          <w:color w:val="auto"/>
        </w:rPr>
        <w:t>, age 66, has served as Vice President and Chief Operating Officer since May 2008. From 2002 to 2008, Mr. Montalbano served as</w:t>
      </w:r>
      <w:r>
        <w:rPr>
          <w:rFonts w:ascii="Arial" w:cs="Arial" w:eastAsia="Arial" w:hAnsi="Arial"/>
          <w:sz w:val="17"/>
          <w:szCs w:val="17"/>
          <w:b w:val="1"/>
          <w:bCs w:val="1"/>
          <w:color w:val="auto"/>
        </w:rPr>
        <w:t xml:space="preserve"> </w:t>
      </w:r>
      <w:r>
        <w:rPr>
          <w:rFonts w:ascii="Arial" w:cs="Arial" w:eastAsia="Arial" w:hAnsi="Arial"/>
          <w:sz w:val="17"/>
          <w:szCs w:val="17"/>
          <w:color w:val="auto"/>
        </w:rPr>
        <w:t>Senior Vice President – Senior Project Director Energy Sector of Black &amp; Veatch, where he was responsible for all construction projects under his direction. Prior to working at Black &amp; Veatch, from 1972 to 2002 Mr. Montalbano served numerous project management roles with a national construction firm serving the energy sector. Mr. Montalbano holds a Bachelor of Science degree in Electrical Engineering and a Masters of Science degree in Electrical Engineering from Polytechnic Institute of Brooklyn. He earned a Masters in Business Administration degree from New York Institute of Technology and is registered as a Professional Engineer in multiple states.</w:t>
      </w:r>
    </w:p>
    <w:p>
      <w:pPr>
        <w:spacing w:after="0" w:line="120" w:lineRule="exact"/>
        <w:rPr>
          <w:sz w:val="20"/>
          <w:szCs w:val="20"/>
          <w:color w:val="auto"/>
        </w:rPr>
      </w:pPr>
    </w:p>
    <w:p>
      <w:pPr>
        <w:ind w:right="880"/>
        <w:spacing w:after="0" w:line="282" w:lineRule="auto"/>
        <w:rPr>
          <w:sz w:val="20"/>
          <w:szCs w:val="20"/>
          <w:color w:val="auto"/>
        </w:rPr>
      </w:pPr>
      <w:r>
        <w:rPr>
          <w:rFonts w:ascii="Arial" w:cs="Arial" w:eastAsia="Arial" w:hAnsi="Arial"/>
          <w:sz w:val="18"/>
          <w:szCs w:val="18"/>
          <w:b w:val="1"/>
          <w:bCs w:val="1"/>
          <w:color w:val="auto"/>
        </w:rPr>
        <w:t xml:space="preserve">Kevin S. Cavanah, </w:t>
      </w:r>
      <w:r>
        <w:rPr>
          <w:rFonts w:ascii="Arial" w:cs="Arial" w:eastAsia="Arial" w:hAnsi="Arial"/>
          <w:sz w:val="18"/>
          <w:szCs w:val="18"/>
          <w:color w:val="auto"/>
        </w:rPr>
        <w:t>age 51, has served as Vice President – Finance, Chief Financial Officer and Secretary for the Company since December 2010.</w:t>
      </w:r>
      <w:r>
        <w:rPr>
          <w:rFonts w:ascii="Arial" w:cs="Arial" w:eastAsia="Arial" w:hAnsi="Arial"/>
          <w:sz w:val="18"/>
          <w:szCs w:val="18"/>
          <w:b w:val="1"/>
          <w:bCs w:val="1"/>
          <w:color w:val="auto"/>
        </w:rPr>
        <w:t xml:space="preserve"> </w:t>
      </w:r>
      <w:r>
        <w:rPr>
          <w:rFonts w:ascii="Arial" w:cs="Arial" w:eastAsia="Arial" w:hAnsi="Arial"/>
          <w:sz w:val="18"/>
          <w:szCs w:val="18"/>
          <w:color w:val="auto"/>
        </w:rPr>
        <w:t>Mr. Cavanah served as Vice President, Accounting and Financial Reporting for the Company from</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August 2007 to December 2010 and as Controller from April 2003 to December 2010. Prior to joining the Company, Mr. Cavanah served as an Accounting Manager for Williams Communications from 2001 to 2003 and as an Accounting Manager for The Williams Companies, Inc. from 1998 to 2001. Prior to joining The Williams Companies, Inc., Mr. Cavanah served as an Audit Manager for Ernst &amp; Young, LLP. Mr. Cavanah has a Bachelor of Science in Business Administration degree in Accounting from the University of Arkansas. Mr. Cavanah is a member of Financial Executives International.</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James P. Ryan</w:t>
      </w:r>
      <w:r>
        <w:rPr>
          <w:rFonts w:ascii="Arial" w:cs="Arial" w:eastAsia="Arial" w:hAnsi="Arial"/>
          <w:sz w:val="18"/>
          <w:szCs w:val="18"/>
          <w:color w:val="auto"/>
        </w:rPr>
        <w:t>, age 60, has served as President, Matrix Service Inc., one of the Company's principal operating subsidiaries, since August 2005. He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served the Company as Chief Operating Officer from October 2004 to August 2005 and as Vice President of Matrix Service Inc. from October 1999 to October 2004. Prior to joining the Company, Mr. Ryan worked for Gibraltar Construction Company from January 1993 to September 1999 providing construction management services. Previous employers include MW Kellogg, Kiewit Industrial Company and Hoffman Construction Company. Mr. Ryan also previously provided independent consulting services to the power industry. Mr. Ryan graduated from Purdue University with a degree in Civil Engineering.</w:t>
      </w:r>
    </w:p>
    <w:p>
      <w:pPr>
        <w:spacing w:after="0" w:line="13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color w:val="auto"/>
        </w:rPr>
        <w:t>Jason W. Turner</w:t>
      </w:r>
      <w:r>
        <w:rPr>
          <w:rFonts w:ascii="Arial" w:cs="Arial" w:eastAsia="Arial" w:hAnsi="Arial"/>
          <w:sz w:val="17"/>
          <w:szCs w:val="17"/>
          <w:color w:val="auto"/>
        </w:rPr>
        <w:t>, age 44, has served as President, Matrix North American Construction, since December 2013. He previously served as Vice 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Development and Treasurer from August of 2012 to December 2013 and as Vice President and Treasurer from May 2010 to August 2012. Prior to that, Mr. Turner served as Director of Finance for Matrix Service Company from March 2006 to May 2010. Prior to joining the Company, Mr. Turner served as Vice President Credit Products Officer for Bank of America. From May 1996 to February 2005, Mr. Turner held various positions with Gemstar-TV Guide including Vice President of Finance for TV Guide Networks. Prior to 1996, Mr. Turner worked for the Federal Reserve Bank and in commercial banking. Mr. Turner has a Bachelor of Science Degree in Finance from Oklahoma State University and an MBA from the University of Tulsa. Mr. Turner is a member of Financial Executives International and the National Investor Relations Institute.</w:t>
      </w:r>
    </w:p>
    <w:p>
      <w:pPr>
        <w:spacing w:after="0" w:line="118"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b w:val="1"/>
          <w:bCs w:val="1"/>
          <w:color w:val="auto"/>
        </w:rPr>
        <w:t xml:space="preserve">Nancy E. Austin, </w:t>
      </w:r>
      <w:r>
        <w:rPr>
          <w:rFonts w:ascii="Arial" w:cs="Arial" w:eastAsia="Arial" w:hAnsi="Arial"/>
          <w:sz w:val="18"/>
          <w:szCs w:val="18"/>
          <w:color w:val="auto"/>
        </w:rPr>
        <w:t>age 48, has served as Vice President, Human Resources for the Company since January 2006. Mrs. Austin served as Director of Human</w:t>
      </w:r>
      <w:r>
        <w:rPr>
          <w:rFonts w:ascii="Arial" w:cs="Arial" w:eastAsia="Arial" w:hAnsi="Arial"/>
          <w:sz w:val="18"/>
          <w:szCs w:val="18"/>
          <w:b w:val="1"/>
          <w:bCs w:val="1"/>
          <w:color w:val="auto"/>
        </w:rPr>
        <w:t xml:space="preserve"> </w:t>
      </w:r>
      <w:r>
        <w:rPr>
          <w:rFonts w:ascii="Arial" w:cs="Arial" w:eastAsia="Arial" w:hAnsi="Arial"/>
          <w:sz w:val="18"/>
          <w:szCs w:val="18"/>
          <w:color w:val="auto"/>
        </w:rPr>
        <w:t>Resources from September 2000 to January 2006. Prior to joining the Company, Mrs. Austin worked for TV Guide, Samson Resources and Villareal &amp; Associates specializing in human resource management, employee relations, and consulting. Mrs. Austin holds a Bachelor of Science degree in Political Science from Oklahoma State University and is a certified Professional in Human Resources. She is also a member of the Society for Human Resource Management and World-at-Work.</w:t>
      </w:r>
    </w:p>
    <w:p>
      <w:pPr>
        <w:spacing w:after="0" w:line="130"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b w:val="1"/>
          <w:bCs w:val="1"/>
          <w:color w:val="333333"/>
        </w:rPr>
        <w:t>Rick J. Bennett</w:t>
      </w:r>
      <w:r>
        <w:rPr>
          <w:rFonts w:ascii="Arial" w:cs="Arial" w:eastAsia="Arial" w:hAnsi="Arial"/>
          <w:sz w:val="16"/>
          <w:szCs w:val="16"/>
          <w:color w:val="333333"/>
        </w:rPr>
        <w:t>,</w:t>
      </w:r>
      <w:r>
        <w:rPr>
          <w:rFonts w:ascii="Arial" w:cs="Arial" w:eastAsia="Arial" w:hAnsi="Arial"/>
          <w:sz w:val="16"/>
          <w:szCs w:val="16"/>
          <w:b w:val="1"/>
          <w:bCs w:val="1"/>
          <w:color w:val="333333"/>
        </w:rPr>
        <w:t xml:space="preserve"> </w:t>
      </w:r>
      <w:r>
        <w:rPr>
          <w:rFonts w:ascii="Arial" w:cs="Arial" w:eastAsia="Arial" w:hAnsi="Arial"/>
          <w:sz w:val="16"/>
          <w:szCs w:val="16"/>
          <w:color w:val="000000"/>
        </w:rPr>
        <w:t>age 50, joined the Company as Vice President and Chief Information Officer in October 2014. Prior to Matrix, Rick served ten years as the</w:t>
      </w:r>
      <w:r>
        <w:rPr>
          <w:rFonts w:ascii="Arial" w:cs="Arial" w:eastAsia="Arial" w:hAnsi="Arial"/>
          <w:sz w:val="16"/>
          <w:szCs w:val="16"/>
          <w:b w:val="1"/>
          <w:bCs w:val="1"/>
          <w:color w:val="333333"/>
        </w:rPr>
        <w:t xml:space="preserve"> </w:t>
      </w:r>
      <w:r>
        <w:rPr>
          <w:rFonts w:ascii="Arial" w:cs="Arial" w:eastAsia="Arial" w:hAnsi="Arial"/>
          <w:sz w:val="16"/>
          <w:szCs w:val="16"/>
          <w:color w:val="000000"/>
        </w:rPr>
        <w:t>Chief Information Officer at T.D. Williamson based in Tulsa, Oklahoma. Prior to that, he held leadership positions in information technology at Blue Cross Blue Shield of Oklahoma, Blakely Crop Hail Insurance, National Farmers Organization, Taylor Ball Construction Management and The Principal Financial Group. Mr. Bennett holds an Executive Certificate from the Massachusetts Institute of Technology (MIT) Sloan School of Management, a Bachelor of Business degree with emphasis in Management Information Systems from Western Illinois University, and is currently pursuing his Masters of Energy Business degree at the University of Tulsa. Early in his career he served in the United States Navy as an Interior Communications Electrician.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Summary</w:t>
      </w:r>
    </w:p>
    <w:p>
      <w:pPr>
        <w:spacing w:after="0" w:line="94"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This Compensation Discussion and Analysis explains our compensation philosophy, objectives and practices in place for our President and Chief Executive Officer (“CEO”), our Chief Financial Officer (“CFO”) and our other named executive officers (collectively, the “Named Executive Officers”) during fiscal 2015. Compensation for our Named Executive Officers is determined by the Compensation Committee of the Board of Directors (the “Committee”) and is supported by market data and advice from their independent compensation consultant, Meridian Compensation Partners, LLC (“Meridian”).</w:t>
      </w:r>
    </w:p>
    <w:p>
      <w:pPr>
        <w:spacing w:after="0" w:line="10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Fiscal 2015 operating results were adversely affected by recorded charges on an acquired EPC joint venture project that reduced operating income by $53.4 million and after tax income attributable to Matrix Service Company by $18.3 million. The charges were recorded in the second fiscal quarter ended December 31, 2014 and the third fiscal quarter ended March 31, 2015 and are more fully discussed in Note 3 - Customer Contracts, included in the Company's fiscal 2015 Annual Report on Form 10-K. These charges had a direct negative impact on the fiscal 2015 short-term incentive compensation of the Named Executive Officers as well as amounts which are likely to be earned on the long-term incentive compensation awards which is determined based on the Company's Average Return on Invested Capital. However, since the acquired EPC joint venture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project charges occurred subsequent to the annual review and effective date of the annual salary adjustments, the charges had no impact on the fiscal 2015 base salary compensation of the Named Executive Officers.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changes to the Company's Named Executive Officers in fiscal 2015. They continue to be the Chief Executive Officer, the Chief Financial Officer, the Chief Operating Officer and the presidents of the Company's two major operating companies.</w:t>
      </w:r>
    </w:p>
    <w:p>
      <w:pPr>
        <w:spacing w:after="0" w:line="116"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Summarized below are the highlights of key decisions and actions taken regarding the compensation of our Named Executive Officers in fiscal 2015 as well as a summary of the impact of the acquired EPC joint venture project charges on each component of the Named Executive Officers' compensation. These actions were approved by the Compensation Committee, with advice from Meridian and are consistent with our stated compensation philosophy.</w:t>
      </w:r>
    </w:p>
    <w:p>
      <w:pPr>
        <w:spacing w:after="0" w:line="147" w:lineRule="exact"/>
        <w:rPr>
          <w:sz w:val="20"/>
          <w:szCs w:val="20"/>
          <w:color w:val="auto"/>
        </w:rPr>
      </w:pPr>
    </w:p>
    <w:p>
      <w:pPr>
        <w:ind w:left="660" w:right="60" w:hanging="328"/>
        <w:spacing w:after="0" w:line="297"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 Salaries: Consistent with normal practice, the Compensation Committee reviewed Named Executive Officer compensation at the August 2014 meeting. In determining compensation adjustments, the Committee considered market data provided by Meridian, the Company's strong financial performance in fiscal 2014, and the individual performance of the Named Executive Officer. The market data indicated that the CEO's, CFO's, and one of the operating company president's base compensation was below median. Based on these factors, the Board approved increases of 14.5% for the CEO, 15.0% for the CFO, 5.0% for the COO and 5.0% and 11.0% for the two operating company presidents effective September 1, 2014.</w:t>
      </w:r>
    </w:p>
    <w:p>
      <w:pPr>
        <w:spacing w:after="0" w:line="158" w:lineRule="exact"/>
        <w:rPr>
          <w:rFonts w:ascii="Arial" w:cs="Arial" w:eastAsia="Arial" w:hAnsi="Arial"/>
          <w:sz w:val="16"/>
          <w:szCs w:val="16"/>
          <w:color w:val="auto"/>
        </w:rPr>
      </w:pPr>
    </w:p>
    <w:p>
      <w:pPr>
        <w:ind w:left="660" w:right="320"/>
        <w:spacing w:after="0" w:line="264" w:lineRule="auto"/>
        <w:rPr>
          <w:rFonts w:ascii="Arial" w:cs="Arial" w:eastAsia="Arial" w:hAnsi="Arial"/>
          <w:sz w:val="16"/>
          <w:szCs w:val="16"/>
          <w:color w:val="auto"/>
        </w:rPr>
      </w:pPr>
      <w:r>
        <w:rPr>
          <w:rFonts w:ascii="Arial" w:cs="Arial" w:eastAsia="Arial" w:hAnsi="Arial"/>
          <w:sz w:val="18"/>
          <w:szCs w:val="18"/>
          <w:color w:val="auto"/>
        </w:rPr>
        <w:t>Due to disappointing 2015 financial performance, none of the Named Executive Officers received salary increases during the fiscal 2016 annual salary review performed in August of 2015 except for one operating company president whose operating company achieved record fiscal 2015 financial results.</w:t>
      </w:r>
    </w:p>
    <w:p>
      <w:pPr>
        <w:spacing w:after="0" w:line="181" w:lineRule="exact"/>
        <w:rPr>
          <w:rFonts w:ascii="Arial" w:cs="Arial" w:eastAsia="Arial" w:hAnsi="Arial"/>
          <w:sz w:val="16"/>
          <w:szCs w:val="16"/>
          <w:color w:val="auto"/>
        </w:rPr>
      </w:pPr>
    </w:p>
    <w:p>
      <w:pPr>
        <w:ind w:left="660" w:righ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Target Short-Term Incentive Bonuses: Based on market data, the Committee increased the CEO's target bonus payout from 85% of his base compensation to 100% of his base compensation.</w:t>
      </w:r>
    </w:p>
    <w:p>
      <w:pPr>
        <w:spacing w:after="0" w:line="170"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Fiscal 2015 Short-Term Incentive Payout: The fiscal 2015 short-term incentive plan metrics were based on the achievement of various financial and safety goals. The achievement of the financial goals determine 80% of the payout while the achievement of the safety goals determine the remaining 20%. In addition, the Company must earn 50% of its budgeted pre-incentive operating income before any bonuses are paid. Due to the charges on the acquired EPC joint venture project, pre-incentive operating income in fiscal 2015 did not meet this threshold. However, one operating company president received a discretionary bonus based on his operating company achieving record fiscal 2015 financial results. This executive did not receive any bonuses attributable to safety performance or consolidated financial performance. No other Named Executive Officers received a short term incentive payout in fiscal 2015.</w:t>
      </w:r>
    </w:p>
    <w:p>
      <w:pPr>
        <w:spacing w:after="0" w:line="189" w:lineRule="exact"/>
        <w:rPr>
          <w:rFonts w:ascii="Arial" w:cs="Arial" w:eastAsia="Arial" w:hAnsi="Arial"/>
          <w:sz w:val="18"/>
          <w:szCs w:val="18"/>
          <w:color w:val="auto"/>
        </w:rPr>
      </w:pPr>
    </w:p>
    <w:p>
      <w:pPr>
        <w:ind w:left="660" w:right="40" w:hanging="328"/>
        <w:spacing w:after="0" w:line="27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Fiscal 2014 Cash-Based Long-Term Incentive Award Payout: The cash-based portion of the fiscal 2014 long-term incentive award was based on the Return on Average Invested Capital for fiscal 2014 and fiscal 2015. The acquired EPC joint venture project charges reduced the fiscal 2015 Return on Invested Capital to 8.3% which reduced the overall award to the threshold level. Prior to the charges, the Company was anticipating a payout level of between target and maximum. The actual payouts for the cash-based portion of the fiscal 2014 long-term incentive award are shown in the Non-Equity Incentive Plan Compensation column of the Summary Compensation Table.</w:t>
      </w:r>
    </w:p>
    <w:p>
      <w:pPr>
        <w:spacing w:after="0" w:line="172"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long-term incentive, or LTI, awards for fiscal 2015 were comprised of the following:</w:t>
      </w:r>
    </w:p>
    <w:p>
      <w:pPr>
        <w:spacing w:after="0" w:line="225" w:lineRule="exact"/>
        <w:rPr>
          <w:rFonts w:ascii="Arial" w:cs="Arial" w:eastAsia="Arial" w:hAnsi="Arial"/>
          <w:sz w:val="18"/>
          <w:szCs w:val="18"/>
          <w:color w:val="auto"/>
        </w:rPr>
      </w:pPr>
    </w:p>
    <w:p>
      <w:pPr>
        <w:ind w:left="1300" w:right="380" w:hanging="320"/>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One-third of the award consisted of service-based restricted stock units (“RSUs”). Restrictions on the RSUs lapse in four equal annual installments;</w:t>
      </w:r>
    </w:p>
    <w:p>
      <w:pPr>
        <w:spacing w:after="0" w:line="170" w:lineRule="exact"/>
        <w:rPr>
          <w:rFonts w:ascii="Arial" w:cs="Arial" w:eastAsia="Arial" w:hAnsi="Arial"/>
          <w:sz w:val="18"/>
          <w:szCs w:val="18"/>
          <w:color w:val="auto"/>
        </w:rPr>
      </w:pPr>
    </w:p>
    <w:p>
      <w:pPr>
        <w:ind w:left="1300" w:right="2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One-third of the award consisted of performance units. Award recipients may receive anywhere from zero to two shares of our common stock for each performance unit on the third anniversary of the date of the award depending on the Company’s relative Total Shareholder Return in comparison to the performance of a peer group of companies.</w:t>
      </w:r>
    </w:p>
    <w:p>
      <w:pPr>
        <w:spacing w:after="0" w:line="181" w:lineRule="exact"/>
        <w:rPr>
          <w:rFonts w:ascii="Arial" w:cs="Arial" w:eastAsia="Arial" w:hAnsi="Arial"/>
          <w:sz w:val="18"/>
          <w:szCs w:val="18"/>
          <w:color w:val="auto"/>
        </w:rPr>
      </w:pPr>
    </w:p>
    <w:p>
      <w:pPr>
        <w:jc w:val="both"/>
        <w:ind w:left="1300" w:right="6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One-third of the award consisted of a cash-based long-term incentive award. The payout for the cash-based long-term incentive award will range from zero to 150% of the target payout and is based on the Company’s Average Return on Invested Capital for fiscal years 2015 and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Philosophy and Objectives</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125" w:right="2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are focused on building and maintaining a sustainable business model that consistently delivers superior returns to our stockholders. To be successful, we must attract, retain and motivate key talent to provide the needed leadership capabilities to develop and execute our business strategy. Our compensation philosophy and approach is designed to support these objectives.</w:t>
      </w:r>
    </w:p>
    <w:p>
      <w:pPr>
        <w:spacing w:after="0" w:line="253" w:lineRule="auto"/>
        <w:rPr>
          <w:sz w:val="20"/>
          <w:szCs w:val="20"/>
          <w:color w:val="auto"/>
        </w:rPr>
      </w:pPr>
      <w:r>
        <w:rPr>
          <w:rFonts w:ascii="Arial" w:cs="Arial" w:eastAsia="Arial" w:hAnsi="Arial"/>
          <w:sz w:val="18"/>
          <w:szCs w:val="18"/>
          <w:color w:val="auto"/>
        </w:rPr>
        <w:t>Our compensation philosophy is to provide the opportunity for outstanding compensation when superior performance is demonstrated. This pay-for-performance philosophy is reflected in each aspect of the compensation package for executive officers and other management team members. All components of compensation for executive officers and key management are reviewed periodically to ensure consistency with our compensation philosophy and to verify that the overall level of compensation is competitive. We use the following principles in the design and administration of our executive compensation program:</w:t>
      </w:r>
    </w:p>
    <w:p>
      <w:pPr>
        <w:spacing w:after="0" w:line="191" w:lineRule="exact"/>
        <w:rPr>
          <w:sz w:val="20"/>
          <w:szCs w:val="20"/>
          <w:color w:val="auto"/>
        </w:rPr>
      </w:pPr>
    </w:p>
    <w:p>
      <w:pPr>
        <w:ind w:left="540" w:right="480" w:hanging="316"/>
        <w:spacing w:after="0" w:line="342"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Competitiveness – Our compensation programs are designed to ensure we can attract, motivate and retain the talent needed to lead and grow the business. Targets for base salary, short-term and long-term compensation are generally based on median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market levels.</w:t>
      </w:r>
    </w:p>
    <w:p>
      <w:pPr>
        <w:spacing w:after="0" w:line="25" w:lineRule="exact"/>
        <w:rPr>
          <w:rFonts w:ascii="Arial" w:cs="Arial" w:eastAsia="Arial" w:hAnsi="Arial"/>
          <w:sz w:val="16"/>
          <w:szCs w:val="16"/>
          <w:color w:val="auto"/>
        </w:rPr>
      </w:pPr>
    </w:p>
    <w:p>
      <w:pPr>
        <w:jc w:val="both"/>
        <w:ind w:left="540" w:hanging="316"/>
        <w:spacing w:after="0" w:line="264"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Support Business Objectives, Strategy and Values – Ultimately our compensation program is designed to drive the achievement of short and long-term business objectives, support the creation of long-term value for our stockholders, and promote and encourage behavior consistent with our core values and guiding principles.</w:t>
      </w:r>
    </w:p>
    <w:p>
      <w:pPr>
        <w:spacing w:after="0" w:line="181" w:lineRule="exact"/>
        <w:rPr>
          <w:rFonts w:ascii="Arial" w:cs="Arial" w:eastAsia="Arial" w:hAnsi="Arial"/>
          <w:sz w:val="18"/>
          <w:szCs w:val="18"/>
          <w:color w:val="auto"/>
        </w:rPr>
      </w:pPr>
    </w:p>
    <w:p>
      <w:pPr>
        <w:ind w:left="540" w:right="360" w:hanging="316"/>
        <w:spacing w:after="0" w:line="226"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for Performance – While we establish target pay levels at or near the median or 50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market levels for target level performance, our plans provide the opportunity for significantly greater rewards for outstanding performance. At the same time, performance that does not meet expectations is not rewarded.</w:t>
      </w:r>
    </w:p>
    <w:p>
      <w:pPr>
        <w:spacing w:after="0" w:line="203" w:lineRule="exact"/>
        <w:rPr>
          <w:rFonts w:ascii="Arial" w:cs="Arial" w:eastAsia="Arial" w:hAnsi="Arial"/>
          <w:sz w:val="18"/>
          <w:szCs w:val="18"/>
          <w:color w:val="auto"/>
        </w:rPr>
      </w:pPr>
    </w:p>
    <w:p>
      <w:pPr>
        <w:ind w:left="540" w:right="200" w:hanging="316"/>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Individual Performance – In addition to company-wide, business unit and operating unit measures, our programs emphasize individual performance and the achievement of personal objectives.</w:t>
      </w:r>
    </w:p>
    <w:p>
      <w:pPr>
        <w:spacing w:after="0" w:line="170" w:lineRule="exact"/>
        <w:rPr>
          <w:rFonts w:ascii="Arial" w:cs="Arial" w:eastAsia="Arial" w:hAnsi="Arial"/>
          <w:sz w:val="18"/>
          <w:szCs w:val="18"/>
          <w:color w:val="auto"/>
        </w:rPr>
      </w:pPr>
    </w:p>
    <w:p>
      <w:pPr>
        <w:ind w:left="540" w:right="980" w:hanging="316"/>
        <w:spacing w:after="0" w:line="342"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Integrated Approach – We look at compensation in total and strive to achieve an appropriate balance of immediate, annual and long-term compensation components, with the ultimate goal of aligning executive compensation with the creation of long-term stockholder value.</w:t>
      </w:r>
    </w:p>
    <w:p>
      <w:pPr>
        <w:spacing w:after="0" w:line="70"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Our executive compensation program is administered by the Committee. The role of the Committee is to provide oversight and direction to ensure the establishment of executive compensation programs that are competitive in nature, enable us to attract top talent, and align the interests of our executive officers and our stockholders.</w:t>
      </w:r>
    </w:p>
    <w:p>
      <w:pPr>
        <w:spacing w:after="0" w:line="12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Committee is supported by our Vice President, Human Resources in the design, review and administration of our executive compensation programs. The Committee engaged Meridian to evaluate executive officer compensation, evaluate Company practices in relation to other companies and provide associated recommendations.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CEO considers all relevant information and provides recommendations to the Committee regarding compensation for review, discussion and approval for all executive officers with the exception of himself. The Committee establishes CEO compensation. The Committee reviews the performance and approves the compensation of the executive officers based on the CEO’s recommendations, and then reviews the performance and establishes appropriate compensation for the CEO in executive session without the CEO present.</w:t>
      </w:r>
    </w:p>
    <w:p>
      <w:pPr>
        <w:spacing w:after="0" w:line="13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implementing our compensation philosophy, the Committee also compares our CEO’s total compensation to the total compensation of the other Named Executive Officers. However, the Committee has not established a targeted level of difference between the total compensation of the CEO and the median total compensation level for the next lower tier of management. The Committee also considers internal pay equity among the other Named Executive Officers, and in relation to the next lower tier of management, in order to maintain compensation levels that are consistent with the individual contributions and responsibilities of those officers.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Committee Consideration of the 2014 Stockholder Vote on Executive Compensation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our advisory vote on executive compensation last year at our 2014 annual meeting. While this vote was not binding on us, we believe that it is important for our stockholders to have an opportunity to vote on this proposal on an annual basis as a means of expressing their views regarding our executive compensation philosophy, our compensation policies and programs, and our decisions regarding executive compensation, all as disclosed in our proxy statement. The Committee values the opinions of our stockholders and, to the extent there is any significant vote against the compensation of our Named Executive Officers, we will consider our stockholders’ concerns, and the Committee will evaluate whether any actions are necessary to address those concerns.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Committee has reviewed the voting results from the advisory vote on executive compensation (commonly known as a say-on-pay proposal) conducted at our 2014 annual meeting of stockholders. At this meeting, more than 96% of the votes cast on the say-on-pay proposal were in favor of our Named Executive Officers' compensation as disclosed in the proxy statement for that meeting. The Committee determined that, given the high level of support, no changes to our executive compensation policies and decisions were necessary based on last year’s voting results. The Committee intends to continue making executive compensation decisions with a focus on aligning pay with performance and promoting stockholder value.</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125" w:right="2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Elements of Executive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primary elements of our executive compensation program include:</w:t>
      </w:r>
    </w:p>
    <w:p>
      <w:pPr>
        <w:spacing w:after="0" w:line="171" w:lineRule="exact"/>
        <w:rPr>
          <w:sz w:val="20"/>
          <w:szCs w:val="20"/>
          <w:color w:val="auto"/>
        </w:rPr>
      </w:pPr>
    </w:p>
    <w:p>
      <w:pPr>
        <w:ind w:left="540" w:hanging="31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 Pay;</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Annual/Short-Term Cash Incentive Compensation;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Long-Term Incentive Compensation;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Benefits;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 of Control Agreements.</w:t>
      </w:r>
    </w:p>
    <w:p>
      <w:pPr>
        <w:spacing w:after="0" w:line="15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Committee engaged Meridian to evaluate the mix of targeted compensation and the other types of programs that we offer. Meridian was engaged exclusively by the Committee and does not provide other services to the Company or senior management. The Committee has assessed the independence of Meridian pursuant to SEC rules and concluded that Meridian's work for the Committee does not raise any conflict of interest.</w:t>
      </w:r>
    </w:p>
    <w:p>
      <w:pPr>
        <w:spacing w:after="0" w:line="111"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The Committee evaluated the competitiveness of the compensation package offered to our executives in both form and structure. Meridian’s executive compensation practices analysis included a review of general industry survey data and of proxy information for the following companies: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Quanta Services Inc.</w:t>
            </w:r>
          </w:p>
        </w:tc>
        <w:tc>
          <w:tcPr>
            <w:tcW w:w="640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Aegion Corp.</w:t>
            </w:r>
          </w:p>
        </w:tc>
      </w:tr>
      <w:tr>
        <w:trPr>
          <w:trHeight w:val="243"/>
        </w:trPr>
        <w:tc>
          <w:tcPr>
            <w:tcW w:w="5020" w:type="dxa"/>
            <w:vAlign w:val="bottom"/>
          </w:tcPr>
          <w:p>
            <w:pPr>
              <w:ind w:left="720"/>
              <w:spacing w:after="0"/>
              <w:rPr>
                <w:sz w:val="20"/>
                <w:szCs w:val="20"/>
                <w:color w:val="auto"/>
              </w:rPr>
            </w:pPr>
            <w:r>
              <w:rPr>
                <w:rFonts w:ascii="Arial" w:cs="Arial" w:eastAsia="Arial" w:hAnsi="Arial"/>
                <w:sz w:val="18"/>
                <w:szCs w:val="18"/>
                <w:color w:val="auto"/>
              </w:rPr>
              <w:t>Emcor Group Inc.</w:t>
            </w:r>
          </w:p>
        </w:tc>
        <w:tc>
          <w:tcPr>
            <w:tcW w:w="6400" w:type="dxa"/>
            <w:vAlign w:val="bottom"/>
          </w:tcPr>
          <w:p>
            <w:pPr>
              <w:ind w:left="2100"/>
              <w:spacing w:after="0"/>
              <w:rPr>
                <w:sz w:val="20"/>
                <w:szCs w:val="20"/>
                <w:color w:val="auto"/>
              </w:rPr>
            </w:pPr>
            <w:r>
              <w:rPr>
                <w:rFonts w:ascii="Arial" w:cs="Arial" w:eastAsia="Arial" w:hAnsi="Arial"/>
                <w:sz w:val="18"/>
                <w:szCs w:val="18"/>
                <w:color w:val="auto"/>
              </w:rPr>
              <w:t>Layne Christensen Co.</w:t>
            </w:r>
          </w:p>
        </w:tc>
      </w:tr>
      <w:tr>
        <w:trPr>
          <w:trHeight w:val="27"/>
        </w:trPr>
        <w:tc>
          <w:tcPr>
            <w:tcW w:w="502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MasTec Inc.</w:t>
            </w:r>
          </w:p>
        </w:tc>
        <w:tc>
          <w:tcPr>
            <w:tcW w:w="6400" w:type="dxa"/>
            <w:vAlign w:val="bottom"/>
            <w:tcBorders>
              <w:bottom w:val="single" w:sz="8" w:color="CCEEFF"/>
            </w:tcBorders>
            <w:shd w:val="clear" w:color="auto" w:fill="CCEEFF"/>
          </w:tcPr>
          <w:p>
            <w:pPr>
              <w:ind w:left="2100"/>
              <w:spacing w:after="0"/>
              <w:rPr>
                <w:sz w:val="20"/>
                <w:szCs w:val="20"/>
                <w:color w:val="auto"/>
              </w:rPr>
            </w:pPr>
            <w:r>
              <w:rPr>
                <w:rFonts w:ascii="Arial" w:cs="Arial" w:eastAsia="Arial" w:hAnsi="Arial"/>
                <w:sz w:val="18"/>
                <w:szCs w:val="18"/>
                <w:color w:val="auto"/>
              </w:rPr>
              <w:t>MYR Group Inc.</w:t>
            </w:r>
          </w:p>
        </w:tc>
      </w:tr>
      <w:tr>
        <w:trPr>
          <w:trHeight w:val="243"/>
        </w:trPr>
        <w:tc>
          <w:tcPr>
            <w:tcW w:w="5020" w:type="dxa"/>
            <w:vAlign w:val="bottom"/>
          </w:tcPr>
          <w:p>
            <w:pPr>
              <w:ind w:left="720"/>
              <w:spacing w:after="0"/>
              <w:rPr>
                <w:sz w:val="20"/>
                <w:szCs w:val="20"/>
                <w:color w:val="auto"/>
              </w:rPr>
            </w:pPr>
            <w:r>
              <w:rPr>
                <w:rFonts w:ascii="Arial" w:cs="Arial" w:eastAsia="Arial" w:hAnsi="Arial"/>
                <w:sz w:val="18"/>
                <w:szCs w:val="18"/>
                <w:color w:val="auto"/>
              </w:rPr>
              <w:t>Tutor Perini Corp.</w:t>
            </w:r>
          </w:p>
        </w:tc>
        <w:tc>
          <w:tcPr>
            <w:tcW w:w="6400" w:type="dxa"/>
            <w:vAlign w:val="bottom"/>
          </w:tcPr>
          <w:p>
            <w:pPr>
              <w:ind w:left="2100"/>
              <w:spacing w:after="0"/>
              <w:rPr>
                <w:sz w:val="20"/>
                <w:szCs w:val="20"/>
                <w:color w:val="auto"/>
              </w:rPr>
            </w:pPr>
            <w:r>
              <w:rPr>
                <w:rFonts w:ascii="Arial" w:cs="Arial" w:eastAsia="Arial" w:hAnsi="Arial"/>
                <w:sz w:val="18"/>
                <w:szCs w:val="18"/>
                <w:color w:val="auto"/>
              </w:rPr>
              <w:t>Pike Electric Corp.</w:t>
            </w:r>
          </w:p>
        </w:tc>
      </w:tr>
      <w:tr>
        <w:trPr>
          <w:trHeight w:val="27"/>
        </w:trPr>
        <w:tc>
          <w:tcPr>
            <w:tcW w:w="502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Babcock &amp; Wilcox Co.</w:t>
            </w:r>
          </w:p>
        </w:tc>
        <w:tc>
          <w:tcPr>
            <w:tcW w:w="6400" w:type="dxa"/>
            <w:vAlign w:val="bottom"/>
            <w:tcBorders>
              <w:bottom w:val="single" w:sz="8" w:color="CCEEFF"/>
            </w:tcBorders>
            <w:shd w:val="clear" w:color="auto" w:fill="CCEEFF"/>
          </w:tcPr>
          <w:p>
            <w:pPr>
              <w:ind w:left="2100"/>
              <w:spacing w:after="0"/>
              <w:rPr>
                <w:sz w:val="20"/>
                <w:szCs w:val="20"/>
                <w:color w:val="auto"/>
              </w:rPr>
            </w:pPr>
            <w:r>
              <w:rPr>
                <w:rFonts w:ascii="Arial" w:cs="Arial" w:eastAsia="Arial" w:hAnsi="Arial"/>
                <w:sz w:val="18"/>
                <w:szCs w:val="18"/>
                <w:color w:val="auto"/>
              </w:rPr>
              <w:t>Team Inc.</w:t>
            </w:r>
          </w:p>
        </w:tc>
      </w:tr>
      <w:tr>
        <w:trPr>
          <w:trHeight w:val="243"/>
        </w:trPr>
        <w:tc>
          <w:tcPr>
            <w:tcW w:w="5020" w:type="dxa"/>
            <w:vAlign w:val="bottom"/>
          </w:tcPr>
          <w:p>
            <w:pPr>
              <w:ind w:left="720"/>
              <w:spacing w:after="0"/>
              <w:rPr>
                <w:sz w:val="20"/>
                <w:szCs w:val="20"/>
                <w:color w:val="auto"/>
              </w:rPr>
            </w:pPr>
            <w:r>
              <w:rPr>
                <w:rFonts w:ascii="Arial" w:cs="Arial" w:eastAsia="Arial" w:hAnsi="Arial"/>
                <w:sz w:val="18"/>
                <w:szCs w:val="18"/>
                <w:color w:val="auto"/>
              </w:rPr>
              <w:t>McDermott International Inc.</w:t>
            </w:r>
          </w:p>
        </w:tc>
        <w:tc>
          <w:tcPr>
            <w:tcW w:w="6400" w:type="dxa"/>
            <w:vAlign w:val="bottom"/>
          </w:tcPr>
          <w:p>
            <w:pPr>
              <w:ind w:left="2100"/>
              <w:spacing w:after="0"/>
              <w:rPr>
                <w:sz w:val="20"/>
                <w:szCs w:val="20"/>
                <w:color w:val="auto"/>
              </w:rPr>
            </w:pPr>
            <w:r>
              <w:rPr>
                <w:rFonts w:ascii="Arial" w:cs="Arial" w:eastAsia="Arial" w:hAnsi="Arial"/>
                <w:sz w:val="18"/>
                <w:szCs w:val="18"/>
                <w:color w:val="auto"/>
              </w:rPr>
              <w:t>Hill International, Inc.</w:t>
            </w:r>
          </w:p>
        </w:tc>
      </w:tr>
      <w:tr>
        <w:trPr>
          <w:trHeight w:val="27"/>
        </w:trPr>
        <w:tc>
          <w:tcPr>
            <w:tcW w:w="502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Granite Construction, Inc.</w:t>
            </w:r>
          </w:p>
        </w:tc>
        <w:tc>
          <w:tcPr>
            <w:tcW w:w="6400" w:type="dxa"/>
            <w:vAlign w:val="bottom"/>
            <w:tcBorders>
              <w:bottom w:val="single" w:sz="8" w:color="CCEEFF"/>
            </w:tcBorders>
            <w:shd w:val="clear" w:color="auto" w:fill="CCEEFF"/>
          </w:tcPr>
          <w:p>
            <w:pPr>
              <w:ind w:left="2100"/>
              <w:spacing w:after="0"/>
              <w:rPr>
                <w:sz w:val="20"/>
                <w:szCs w:val="20"/>
                <w:color w:val="auto"/>
              </w:rPr>
            </w:pPr>
            <w:r>
              <w:rPr>
                <w:rFonts w:ascii="Arial" w:cs="Arial" w:eastAsia="Arial" w:hAnsi="Arial"/>
                <w:sz w:val="18"/>
                <w:szCs w:val="18"/>
                <w:color w:val="auto"/>
              </w:rPr>
              <w:t>Mistras Group Inc.</w:t>
            </w:r>
          </w:p>
        </w:tc>
      </w:tr>
      <w:tr>
        <w:trPr>
          <w:trHeight w:val="243"/>
        </w:trPr>
        <w:tc>
          <w:tcPr>
            <w:tcW w:w="5020" w:type="dxa"/>
            <w:vAlign w:val="bottom"/>
          </w:tcPr>
          <w:p>
            <w:pPr>
              <w:ind w:left="720"/>
              <w:spacing w:after="0"/>
              <w:rPr>
                <w:sz w:val="20"/>
                <w:szCs w:val="20"/>
                <w:color w:val="auto"/>
              </w:rPr>
            </w:pPr>
            <w:r>
              <w:rPr>
                <w:rFonts w:ascii="Arial" w:cs="Arial" w:eastAsia="Arial" w:hAnsi="Arial"/>
                <w:sz w:val="18"/>
                <w:szCs w:val="18"/>
                <w:color w:val="auto"/>
              </w:rPr>
              <w:t>Willbros Group, Inc.</w:t>
            </w:r>
          </w:p>
        </w:tc>
        <w:tc>
          <w:tcPr>
            <w:tcW w:w="6400" w:type="dxa"/>
            <w:vAlign w:val="bottom"/>
          </w:tcPr>
          <w:p>
            <w:pPr>
              <w:ind w:left="2100"/>
              <w:spacing w:after="0"/>
              <w:rPr>
                <w:sz w:val="20"/>
                <w:szCs w:val="20"/>
                <w:color w:val="auto"/>
              </w:rPr>
            </w:pPr>
            <w:r>
              <w:rPr>
                <w:rFonts w:ascii="Arial" w:cs="Arial" w:eastAsia="Arial" w:hAnsi="Arial"/>
                <w:sz w:val="18"/>
                <w:szCs w:val="18"/>
                <w:color w:val="auto"/>
              </w:rPr>
              <w:t>Sterling Construction Co. Inc.</w:t>
            </w:r>
          </w:p>
        </w:tc>
      </w:tr>
      <w:tr>
        <w:trPr>
          <w:trHeight w:val="27"/>
        </w:trPr>
        <w:tc>
          <w:tcPr>
            <w:tcW w:w="502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Primoris Services Corporation</w:t>
            </w:r>
          </w:p>
        </w:tc>
        <w:tc>
          <w:tcPr>
            <w:tcW w:w="6400" w:type="dxa"/>
            <w:vAlign w:val="bottom"/>
            <w:tcBorders>
              <w:bottom w:val="single" w:sz="8" w:color="CCEEFF"/>
            </w:tcBorders>
            <w:shd w:val="clear" w:color="auto" w:fill="CCEEFF"/>
          </w:tcPr>
          <w:p>
            <w:pPr>
              <w:ind w:left="2100"/>
              <w:spacing w:after="0"/>
              <w:rPr>
                <w:sz w:val="20"/>
                <w:szCs w:val="20"/>
                <w:color w:val="auto"/>
              </w:rPr>
            </w:pPr>
            <w:r>
              <w:rPr>
                <w:rFonts w:ascii="Arial" w:cs="Arial" w:eastAsia="Arial" w:hAnsi="Arial"/>
                <w:sz w:val="18"/>
                <w:szCs w:val="18"/>
                <w:color w:val="auto"/>
              </w:rPr>
              <w:t>Furmanite Corp.</w:t>
            </w:r>
          </w:p>
        </w:tc>
      </w:tr>
      <w:tr>
        <w:trPr>
          <w:trHeight w:val="243"/>
        </w:trPr>
        <w:tc>
          <w:tcPr>
            <w:tcW w:w="5020" w:type="dxa"/>
            <w:vAlign w:val="bottom"/>
          </w:tcPr>
          <w:p>
            <w:pPr>
              <w:ind w:left="720"/>
              <w:spacing w:after="0"/>
              <w:rPr>
                <w:sz w:val="20"/>
                <w:szCs w:val="20"/>
                <w:color w:val="auto"/>
              </w:rPr>
            </w:pPr>
            <w:r>
              <w:rPr>
                <w:rFonts w:ascii="Arial" w:cs="Arial" w:eastAsia="Arial" w:hAnsi="Arial"/>
                <w:sz w:val="18"/>
                <w:szCs w:val="18"/>
                <w:color w:val="auto"/>
              </w:rPr>
              <w:t>Dycom Industries Inc.</w:t>
            </w:r>
          </w:p>
        </w:tc>
        <w:tc>
          <w:tcPr>
            <w:tcW w:w="6400" w:type="dxa"/>
            <w:vAlign w:val="bottom"/>
          </w:tcPr>
          <w:p>
            <w:pPr>
              <w:spacing w:after="0"/>
              <w:rPr>
                <w:sz w:val="21"/>
                <w:szCs w:val="2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Base Pay</w:t>
      </w:r>
    </w:p>
    <w:p>
      <w:pPr>
        <w:spacing w:after="0" w:line="90"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Base pay is the foundation of our executive compensation package. Our practice in establishing executive base pay, and that for other managers and employees, is to determine the market median or “50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among comparable companies. For fiscal 2015, this data was obtained through Meridian. Base pay is then established based on the Named Executive Officer’s responsibilities, role in the organization, level and type of work experience, and individual job performance. We expect to continue to engage a compensation consultant to review and benchmark competitive market pay data on no less than a bi-annual basis.</w:t>
      </w:r>
    </w:p>
    <w:p>
      <w:pPr>
        <w:spacing w:after="0" w:line="150"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We utilize a market-based job evaluation system to establish and ensure equitable, competitive pay levels throughout the organization. Salary grades and ranges are established by evaluating positions based on the external market data and internal equity. All of our employees, including the Named Executive Officers, are assigned to a salary grade. Broad ranges of salary are associated with each grade.</w:t>
      </w:r>
    </w:p>
    <w:p>
      <w:pPr>
        <w:spacing w:after="0" w:line="1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 pay and salary grade also play a factor in determining other short- and long-term incentive compensation awards. Short-term incentive awards are a percentage of base salary and long-term incentives are based on a Named Executive Officer’s salary grade.</w:t>
      </w:r>
    </w:p>
    <w:p>
      <w:pPr>
        <w:spacing w:after="0" w:line="116"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Consistent with the Committee's normal practice of reviewing executive compensation, Meridian's observations and recommendations regarding the competitiveness of executive compensation were presented to the Committee at the August 2014 meeting. The Committee's decisions are discussed below:</w:t>
      </w:r>
    </w:p>
    <w:p>
      <w:pPr>
        <w:spacing w:after="0" w:line="70" w:lineRule="exact"/>
        <w:rPr>
          <w:sz w:val="20"/>
          <w:szCs w:val="20"/>
          <w:color w:val="auto"/>
        </w:rPr>
      </w:pPr>
    </w:p>
    <w:p>
      <w:pPr>
        <w:ind w:left="660" w:right="120" w:hanging="328"/>
        <w:spacing w:after="0" w:line="286"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John R. Hewitt - Chief Executive Officer - According to the Meridian study, Mr. Hewitt's base salary of $655,000 was below the median of the peer group. The Committee then determined that Mr. Hewitt's performance during fiscal 2014 was very strong. Accordingly, the Committee concluded that it would be appropriate to increase his base salary by $95,000 to $750,000 effective September 1, 2014.</w:t>
      </w:r>
    </w:p>
    <w:p>
      <w:pPr>
        <w:spacing w:after="0" w:line="84" w:lineRule="exact"/>
        <w:rPr>
          <w:rFonts w:ascii="Arial" w:cs="Arial" w:eastAsia="Arial" w:hAnsi="Arial"/>
          <w:sz w:val="17"/>
          <w:szCs w:val="17"/>
          <w:color w:val="auto"/>
        </w:rPr>
      </w:pPr>
    </w:p>
    <w:p>
      <w:pPr>
        <w:jc w:val="both"/>
        <w:ind w:left="660" w:right="12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Joseph F. Montalbano - Chief Operating Officer - The Meridian study indicated that Mr. Montalbano's base salary was near the median. Mr. Hewitt recommended, based on Mr. Montalbano's performance, a salary increase of 5.0%. The Committee approved Mr. Hewitt's recommendation and Mr. Montalbano's salary was increased by $22,500 to $472,500 effective September 1, 2014.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Kevin S. Cavanah - Chief Financial Officer - The Meridian study indicated that Mr. Cavanah's base salary was significantly below the median. Mr. Hewitt recommended, based on Mr. Cavanah's exceptional performance, a salary increase of 15.0%, or $54,450, to $417,450. After the increase, Mr. Cavanah's salary is near the median level. The pay increase was effective September 1, 2014.</w:t>
      </w:r>
    </w:p>
    <w:p>
      <w:pPr>
        <w:spacing w:after="0" w:line="100" w:lineRule="exact"/>
        <w:rPr>
          <w:rFonts w:ascii="Arial" w:cs="Arial" w:eastAsia="Arial" w:hAnsi="Arial"/>
          <w:sz w:val="18"/>
          <w:szCs w:val="18"/>
          <w:color w:val="auto"/>
        </w:rPr>
      </w:pPr>
    </w:p>
    <w:p>
      <w:pPr>
        <w:ind w:left="660" w:right="1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James R. Ryan - President Matrix Service - The Meridian study indicated that Mr. Ryan's base salary was slightly below the median. Based on Mr. Hewitt's recommendation, the Committee approved a salary increase of 5.0%, to $358,155 effective September 1, 2014.</w:t>
      </w:r>
    </w:p>
    <w:p>
      <w:pPr>
        <w:spacing w:after="0" w:line="146" w:lineRule="exact"/>
        <w:rPr>
          <w:rFonts w:ascii="Arial" w:cs="Arial" w:eastAsia="Arial" w:hAnsi="Arial"/>
          <w:sz w:val="17"/>
          <w:szCs w:val="17"/>
          <w:color w:val="auto"/>
        </w:rPr>
      </w:pPr>
    </w:p>
    <w:p>
      <w:pPr>
        <w:ind w:left="660" w:right="360" w:hanging="328"/>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Jason W. Turner - President Matrix North American Construction - The Meridian study indicated that Mr. Turner's base salary was below the median. Based on Mr. Hewitt's recommendation, the Committee approved a salary increase of 11.0%, to $344,100 effective September 1, 2014.</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Annual/Short-Term Incentive Compensation</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annual/short-term incentive compensation plan is designed to offer the opportunity for substantial annual cash incentive awards for delivering outstanding performance. Rewards under our short-term incentive compensation plan are based on overall company, business unit and individual performance, as compared to pre-established objectives that are tied to enhancement of stockholder value. Our short-term incentive compensation objectives are designed to:</w:t>
      </w:r>
    </w:p>
    <w:p>
      <w:pPr>
        <w:spacing w:after="0" w:line="133"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support and drive performance toward achieving our strategic objectives;</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emphasize overall company and business unit performance in the structuring of reward opportunities;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motivate and reward superior performance;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incentive compensation opportunities that are competitive with the industry.</w:t>
      </w:r>
    </w:p>
    <w:p>
      <w:pPr>
        <w:spacing w:after="0" w:line="157" w:lineRule="exact"/>
        <w:rPr>
          <w:sz w:val="20"/>
          <w:szCs w:val="20"/>
          <w:color w:val="auto"/>
        </w:rPr>
      </w:pPr>
    </w:p>
    <w:p>
      <w:pPr>
        <w:ind w:left="60" w:right="20"/>
        <w:spacing w:after="0" w:line="259" w:lineRule="auto"/>
        <w:rPr>
          <w:sz w:val="20"/>
          <w:szCs w:val="20"/>
          <w:color w:val="auto"/>
        </w:rPr>
      </w:pPr>
      <w:r>
        <w:rPr>
          <w:rFonts w:ascii="Arial" w:cs="Arial" w:eastAsia="Arial" w:hAnsi="Arial"/>
          <w:sz w:val="18"/>
          <w:szCs w:val="18"/>
          <w:color w:val="auto"/>
        </w:rPr>
        <w:t>The base calculation of incentives is generally tied to objective measures for financial and safety performance. Incentives for executive officers below the CEO in the form of targeted percentages of base salary are recommended by the CEO and reviewed and approved by the Committee, which is free to reject or revise the CEO’s recommendations. The targeted incentive compensation percentage of base salary for the CEO is determined solely by the Committee in executive session, without the CEO present.</w:t>
      </w:r>
    </w:p>
    <w:p>
      <w:pPr>
        <w:spacing w:after="0" w:line="1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fiscal year 2015, the Committee approved, at the August 2014 meeting, the following key provisions of the annual/short-term incentive compensation plan:</w:t>
      </w:r>
    </w:p>
    <w:p>
      <w:pPr>
        <w:spacing w:after="0" w:line="116" w:lineRule="exact"/>
        <w:rPr>
          <w:sz w:val="20"/>
          <w:szCs w:val="20"/>
          <w:color w:val="auto"/>
        </w:rPr>
      </w:pPr>
    </w:p>
    <w:p>
      <w:pPr>
        <w:ind w:left="540" w:right="500" w:hanging="316"/>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incentive pool would fund at 15% of pre-incentive operating income. If 50% of budgeted fiscal 2015 pre-incentive operating income is not earned, no non-discretionary payments are earned under the plan.</w:t>
      </w:r>
    </w:p>
    <w:p>
      <w:pPr>
        <w:spacing w:after="0" w:line="116"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Incentives would be weighted at 80% for performance against financial metrics and 20% for performance against safety metrics.</w:t>
      </w:r>
    </w:p>
    <w:p>
      <w:pPr>
        <w:spacing w:after="0" w:line="171" w:lineRule="exact"/>
        <w:rPr>
          <w:rFonts w:ascii="Arial" w:cs="Arial" w:eastAsia="Arial" w:hAnsi="Arial"/>
          <w:sz w:val="18"/>
          <w:szCs w:val="18"/>
          <w:color w:val="auto"/>
        </w:rPr>
      </w:pPr>
    </w:p>
    <w:p>
      <w:pPr>
        <w:ind w:left="540" w:right="20" w:hanging="316"/>
        <w:spacing w:after="0" w:line="255"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Safety incentives would be paid based on our Total Recordable Incident Rate ("TRIR") and the timely reporting of work place safety incidents. Financial incentives would be based on operating income and Return on Invested Capital ("ROIC"). The metric attributable to ROIC for all of the Names Executive Officers is measured based on the consolidated results of Matrix Service Company. The safety metrics for Messrs. Ryan and Turner are calculated based on the performance of their respective operating companies (Matrix Service Inc. and Matrix North American Construction, Inc.) while the operating income metric is based on the consolidated operating performance of the Company and the operating performance of their respective operating company.</w:t>
      </w:r>
    </w:p>
    <w:p>
      <w:pPr>
        <w:spacing w:after="0" w:line="13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Once the Committee approved the incentive metrics, Threshold, Target and Maximum levels of performance were defined.</w:t>
      </w:r>
    </w:p>
    <w:p>
      <w:pPr>
        <w:spacing w:after="0" w:line="171" w:lineRule="exact"/>
        <w:rPr>
          <w:rFonts w:ascii="Arial" w:cs="Arial" w:eastAsia="Arial" w:hAnsi="Arial"/>
          <w:sz w:val="18"/>
          <w:szCs w:val="18"/>
          <w:color w:val="auto"/>
        </w:rPr>
      </w:pPr>
    </w:p>
    <w:p>
      <w:pPr>
        <w:ind w:left="540" w:right="100" w:hanging="316"/>
        <w:spacing w:after="0" w:line="286"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Target short-term incentives for fiscal 2015 were established for each of the Named Executive Officers. Based on market data provided by Meridian, Mr. Hewitt's target was increased from 85% to 100% of his base salary, Messrs. Montalbano's and Cavanah's targets remained at 65% of their respective base salaries and Messrs. Ryan's and Turner's targets remained at 60% of their respective base salaries.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Incentive targets for the Named Executive Officers are as follows:</w:t>
      </w:r>
    </w:p>
    <w:p>
      <w:pPr>
        <w:spacing w:after="0" w:line="171" w:lineRule="exact"/>
        <w:rPr>
          <w:sz w:val="20"/>
          <w:szCs w:val="20"/>
          <w:color w:val="auto"/>
        </w:rPr>
      </w:pPr>
    </w:p>
    <w:p>
      <w:pPr>
        <w:ind w:left="540" w:right="320" w:hanging="316"/>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Safety performance targets were established based on our TRIR and the timely reporting of workplace safety incidents. Incentives for Mr. Hewitt, Mr. Montalbano, and Mr. Cavanah were tied to our consolidated safety metrics. Incentives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125" w:right="2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 Mr. Ryan and Mr. Turner were tied to the safety metrics of their respective operating companies. The specific criteria were as follows:</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3240" w:type="dxa"/>
            <w:vAlign w:val="bottom"/>
            <w:gridSpan w:val="3"/>
          </w:tcPr>
          <w:p>
            <w:pPr>
              <w:ind w:left="1620"/>
              <w:spacing w:after="0"/>
              <w:rPr>
                <w:sz w:val="20"/>
                <w:szCs w:val="20"/>
                <w:color w:val="auto"/>
              </w:rPr>
            </w:pPr>
            <w:r>
              <w:rPr>
                <w:rFonts w:ascii="Arial" w:cs="Arial" w:eastAsia="Arial" w:hAnsi="Arial"/>
                <w:sz w:val="18"/>
                <w:szCs w:val="18"/>
                <w:color w:val="auto"/>
              </w:rPr>
              <w:t>Threshold</w:t>
            </w:r>
          </w:p>
        </w:tc>
        <w:tc>
          <w:tcPr>
            <w:tcW w:w="900" w:type="dxa"/>
            <w:vAlign w:val="bottom"/>
          </w:tcPr>
          <w:p>
            <w:pPr>
              <w:spacing w:after="0"/>
              <w:rPr>
                <w:sz w:val="17"/>
                <w:szCs w:val="17"/>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Target</w:t>
            </w:r>
          </w:p>
        </w:tc>
        <w:tc>
          <w:tcPr>
            <w:tcW w:w="1500" w:type="dxa"/>
            <w:vAlign w:val="bottom"/>
            <w:gridSpan w:val="2"/>
          </w:tcPr>
          <w:p>
            <w:pPr>
              <w:spacing w:after="0"/>
              <w:rPr>
                <w:sz w:val="20"/>
                <w:szCs w:val="20"/>
                <w:color w:val="auto"/>
              </w:rPr>
            </w:pPr>
            <w:r>
              <w:rPr>
                <w:rFonts w:ascii="Arial" w:cs="Arial" w:eastAsia="Arial" w:hAnsi="Arial"/>
                <w:sz w:val="18"/>
                <w:szCs w:val="18"/>
                <w:color w:val="auto"/>
              </w:rPr>
              <w:t>Maximum</w:t>
            </w:r>
          </w:p>
        </w:tc>
      </w:tr>
      <w:tr>
        <w:trPr>
          <w:trHeight w:val="48"/>
        </w:trPr>
        <w:tc>
          <w:tcPr>
            <w:tcW w:w="34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78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760" w:type="dxa"/>
            <w:vAlign w:val="bottom"/>
          </w:tcPr>
          <w:p>
            <w:pPr>
              <w:spacing w:after="0"/>
              <w:rPr>
                <w:sz w:val="4"/>
                <w:szCs w:val="4"/>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TRIR</w:t>
            </w:r>
          </w:p>
        </w:tc>
        <w:tc>
          <w:tcPr>
            <w:tcW w:w="2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0.85</w:t>
            </w:r>
          </w:p>
        </w:tc>
        <w:tc>
          <w:tcPr>
            <w:tcW w:w="9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7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0.37</w:t>
            </w: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Timely incident reporting</w:t>
            </w:r>
          </w:p>
        </w:tc>
        <w:tc>
          <w:tcPr>
            <w:tcW w:w="2340" w:type="dxa"/>
            <w:vAlign w:val="bottom"/>
            <w:gridSpan w:val="2"/>
          </w:tcPr>
          <w:p>
            <w:pPr>
              <w:jc w:val="right"/>
              <w:ind w:right="120"/>
              <w:spacing w:after="0"/>
              <w:rPr>
                <w:sz w:val="20"/>
                <w:szCs w:val="20"/>
                <w:color w:val="auto"/>
              </w:rPr>
            </w:pPr>
            <w:r>
              <w:rPr>
                <w:rFonts w:ascii="Arial" w:cs="Arial" w:eastAsia="Arial" w:hAnsi="Arial"/>
                <w:sz w:val="18"/>
                <w:szCs w:val="18"/>
                <w:color w:val="auto"/>
              </w:rPr>
              <w:t>75.0%</w:t>
            </w:r>
          </w:p>
        </w:tc>
        <w:tc>
          <w:tcPr>
            <w:tcW w:w="900" w:type="dxa"/>
            <w:vAlign w:val="bottom"/>
          </w:tcPr>
          <w:p>
            <w:pPr>
              <w:spacing w:after="0"/>
              <w:rPr>
                <w:sz w:val="21"/>
                <w:szCs w:val="21"/>
                <w:color w:val="auto"/>
              </w:rPr>
            </w:pPr>
          </w:p>
        </w:tc>
        <w:tc>
          <w:tcPr>
            <w:tcW w:w="3140" w:type="dxa"/>
            <w:vAlign w:val="bottom"/>
            <w:gridSpan w:val="3"/>
          </w:tcPr>
          <w:p>
            <w:pPr>
              <w:jc w:val="right"/>
              <w:ind w:right="1780"/>
              <w:spacing w:after="0"/>
              <w:rPr>
                <w:sz w:val="20"/>
                <w:szCs w:val="20"/>
                <w:color w:val="auto"/>
              </w:rPr>
            </w:pPr>
            <w:r>
              <w:rPr>
                <w:rFonts w:ascii="Arial" w:cs="Arial" w:eastAsia="Arial" w:hAnsi="Arial"/>
                <w:sz w:val="18"/>
                <w:szCs w:val="18"/>
                <w:color w:val="auto"/>
              </w:rPr>
              <w:t>85.0%</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95.0%</w:t>
            </w:r>
          </w:p>
        </w:tc>
        <w:tc>
          <w:tcPr>
            <w:tcW w:w="760" w:type="dxa"/>
            <w:vAlign w:val="bottom"/>
          </w:tcPr>
          <w:p>
            <w:pPr>
              <w:spacing w:after="0"/>
              <w:rPr>
                <w:sz w:val="21"/>
                <w:szCs w:val="21"/>
                <w:color w:val="auto"/>
              </w:rPr>
            </w:pPr>
          </w:p>
        </w:tc>
      </w:tr>
    </w:tbl>
    <w:p>
      <w:pPr>
        <w:spacing w:after="0" w:line="175" w:lineRule="exact"/>
        <w:rPr>
          <w:sz w:val="20"/>
          <w:szCs w:val="20"/>
          <w:color w:val="auto"/>
        </w:rPr>
      </w:pPr>
    </w:p>
    <w:p>
      <w:pPr>
        <w:ind w:left="540" w:hanging="316"/>
        <w:spacing w:after="0"/>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financial incentive tied to pre-tax operating income represents 70% of the total bonus opportunity for the Named Executive officers. For</w:t>
      </w:r>
    </w:p>
    <w:p>
      <w:pPr>
        <w:spacing w:after="0" w:line="34" w:lineRule="exact"/>
        <w:rPr>
          <w:rFonts w:ascii="Arial" w:cs="Arial" w:eastAsia="Arial" w:hAnsi="Arial"/>
          <w:sz w:val="17"/>
          <w:szCs w:val="17"/>
          <w:color w:val="auto"/>
        </w:rPr>
      </w:pPr>
    </w:p>
    <w:p>
      <w:pPr>
        <w:ind w:left="540" w:right="220"/>
        <w:spacing w:after="0" w:line="255" w:lineRule="auto"/>
        <w:rPr>
          <w:rFonts w:ascii="Arial" w:cs="Arial" w:eastAsia="Arial" w:hAnsi="Arial"/>
          <w:sz w:val="17"/>
          <w:szCs w:val="17"/>
          <w:color w:val="auto"/>
        </w:rPr>
      </w:pPr>
      <w:r>
        <w:rPr>
          <w:rFonts w:ascii="Arial" w:cs="Arial" w:eastAsia="Arial" w:hAnsi="Arial"/>
          <w:sz w:val="18"/>
          <w:szCs w:val="18"/>
          <w:color w:val="auto"/>
        </w:rPr>
        <w:t>Mr. Hewitt, Mr. Montalbano, and Mr. Cavanah the incentive opportunity was measured at the consolidated level. The specific consolidated pre-tax operating income criteria were as follows: Threshold - $51.5 million, Target - $66.9 million, Maximum - $80.2 million. Incentives for Mr. Ryan and Mr. Turner were tied to the operating income of their respective operating companies.</w:t>
      </w:r>
    </w:p>
    <w:p>
      <w:pPr>
        <w:spacing w:after="0" w:line="136" w:lineRule="exact"/>
        <w:rPr>
          <w:rFonts w:ascii="Arial" w:cs="Arial" w:eastAsia="Arial" w:hAnsi="Arial"/>
          <w:sz w:val="17"/>
          <w:szCs w:val="17"/>
          <w:color w:val="auto"/>
        </w:rPr>
      </w:pPr>
    </w:p>
    <w:p>
      <w:pPr>
        <w:ind w:left="540" w:right="60" w:hanging="316"/>
        <w:spacing w:after="0" w:line="308" w:lineRule="auto"/>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Ten percent of the total bonus opportunity is tied to the achievement of ROIC. The specific criteria are as follows: Threshold - 15.0%; Target - 17.0%; and Maximum - 19.0%. The incentive attributable to ROIC is measured at the consolidated level for all Named Executive Officers.</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Committee evaluated actual results in each category against the safety and performance goals:</w:t>
      </w:r>
    </w:p>
    <w:p>
      <w:pPr>
        <w:spacing w:after="0" w:line="171" w:lineRule="exact"/>
        <w:rPr>
          <w:sz w:val="20"/>
          <w:szCs w:val="20"/>
          <w:color w:val="auto"/>
        </w:rPr>
      </w:pPr>
    </w:p>
    <w:p>
      <w:pPr>
        <w:ind w:left="540" w:right="360"/>
        <w:spacing w:after="0" w:line="277" w:lineRule="auto"/>
        <w:rPr>
          <w:sz w:val="20"/>
          <w:szCs w:val="20"/>
          <w:color w:val="auto"/>
        </w:rPr>
      </w:pPr>
      <w:r>
        <w:rPr>
          <w:rFonts w:ascii="Arial" w:cs="Arial" w:eastAsia="Arial" w:hAnsi="Arial"/>
          <w:sz w:val="18"/>
          <w:szCs w:val="18"/>
          <w:u w:val="single" w:color="auto"/>
          <w:color w:val="auto"/>
        </w:rPr>
        <w:t>Safety</w:t>
      </w:r>
      <w:r>
        <w:rPr>
          <w:rFonts w:ascii="Arial" w:cs="Arial" w:eastAsia="Arial" w:hAnsi="Arial"/>
          <w:sz w:val="18"/>
          <w:szCs w:val="18"/>
          <w:color w:val="auto"/>
        </w:rPr>
        <w:t>: In fiscal 2015, we achieved a TRIR of 0.60 and an incident reporting rate of 90%, representing performance between target and maximum under both the TRIR and incident reporting metrics.</w:t>
      </w:r>
    </w:p>
    <w:p>
      <w:pPr>
        <w:spacing w:after="0" w:line="116" w:lineRule="exact"/>
        <w:rPr>
          <w:sz w:val="20"/>
          <w:szCs w:val="20"/>
          <w:color w:val="auto"/>
        </w:rPr>
      </w:pPr>
    </w:p>
    <w:p>
      <w:pPr>
        <w:ind w:left="540" w:right="120"/>
        <w:spacing w:after="0" w:line="264" w:lineRule="auto"/>
        <w:rPr>
          <w:sz w:val="20"/>
          <w:szCs w:val="20"/>
          <w:color w:val="auto"/>
        </w:rPr>
      </w:pPr>
      <w:r>
        <w:rPr>
          <w:rFonts w:ascii="Arial" w:cs="Arial" w:eastAsia="Arial" w:hAnsi="Arial"/>
          <w:sz w:val="18"/>
          <w:szCs w:val="18"/>
          <w:u w:val="single" w:color="auto"/>
          <w:color w:val="auto"/>
        </w:rPr>
        <w:t>Financial</w:t>
      </w:r>
      <w:r>
        <w:rPr>
          <w:rFonts w:ascii="Arial" w:cs="Arial" w:eastAsia="Arial" w:hAnsi="Arial"/>
          <w:sz w:val="18"/>
          <w:szCs w:val="18"/>
          <w:color w:val="auto"/>
        </w:rPr>
        <w:t>: In fiscal 2015, we achieved pre-incentive operating income of $33.0 million. This level of pre-incentive operating income is less than the 50% necessary to trigger non-discretionary payments under the plan and less than the threshold performance level for pre-incentive operating income described above. The fiscal 2015 ROIC was 8.3%, which was below threshold.</w:t>
      </w:r>
    </w:p>
    <w:p>
      <w:pPr>
        <w:spacing w:after="0" w:line="127" w:lineRule="exact"/>
        <w:rPr>
          <w:sz w:val="20"/>
          <w:szCs w:val="20"/>
          <w:color w:val="auto"/>
        </w:rPr>
      </w:pPr>
    </w:p>
    <w:p>
      <w:pPr>
        <w:ind w:left="540" w:right="320" w:hanging="316"/>
        <w:spacing w:after="0" w:line="312"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Performance measures are established shortly after the beginning of the fiscal year and do not include the impact of any acquisitions, positive or negative, completed within the fiscal year. However, it is anticipated that the Committee would evaluate any acquisitions which may be completed during the fiscal year on a case-by-case basis to determine their impact on the plan and adjust performance measures appropriately.</w:t>
      </w:r>
    </w:p>
    <w:p>
      <w:pPr>
        <w:spacing w:after="0" w:line="93" w:lineRule="exact"/>
        <w:rPr>
          <w:sz w:val="20"/>
          <w:szCs w:val="20"/>
          <w:color w:val="auto"/>
        </w:rPr>
      </w:pPr>
    </w:p>
    <w:p>
      <w:pPr>
        <w:ind w:left="60" w:right="280"/>
        <w:spacing w:after="0" w:line="277" w:lineRule="auto"/>
        <w:rPr>
          <w:sz w:val="20"/>
          <w:szCs w:val="20"/>
          <w:color w:val="auto"/>
        </w:rPr>
      </w:pPr>
      <w:r>
        <w:rPr>
          <w:rFonts w:ascii="Arial" w:cs="Arial" w:eastAsia="Arial" w:hAnsi="Arial"/>
          <w:sz w:val="18"/>
          <w:szCs w:val="18"/>
          <w:color w:val="auto"/>
        </w:rPr>
        <w:t>Actual incentive payouts for fiscal 2015 to the Named Executive Officers were approved by the Committee at the August 2015 Compensation Committee Meeting and are as follows:</w:t>
      </w:r>
    </w:p>
    <w:p>
      <w:pPr>
        <w:spacing w:after="0" w:line="116" w:lineRule="exact"/>
        <w:rPr>
          <w:sz w:val="20"/>
          <w:szCs w:val="20"/>
          <w:color w:val="auto"/>
        </w:rPr>
      </w:pPr>
    </w:p>
    <w:p>
      <w:pPr>
        <w:ind w:left="580" w:right="200" w:hanging="329"/>
        <w:spacing w:after="0" w:line="277"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John R. Hewitt - Since the Company did not generate the 50% of pre-incentive operating income necessary for incentive payout, Mr. Hewitt did not receive a short term incentive payout in fiscal 2015.</w:t>
      </w:r>
    </w:p>
    <w:p>
      <w:pPr>
        <w:spacing w:after="0" w:line="89" w:lineRule="exact"/>
        <w:rPr>
          <w:rFonts w:ascii="Arial" w:cs="Arial" w:eastAsia="Arial" w:hAnsi="Arial"/>
          <w:sz w:val="18"/>
          <w:szCs w:val="18"/>
          <w:color w:val="auto"/>
        </w:rPr>
      </w:pPr>
    </w:p>
    <w:p>
      <w:pPr>
        <w:ind w:left="580" w:right="780" w:hanging="329"/>
        <w:spacing w:after="0" w:line="277"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Joseph F. Montalbano - Since the Company did not generate the 50% of pre-incentive operating income necessary for incentive payout, Mr. Montalbano did not receive a short term incentive payout in fiscal 2015.</w:t>
      </w:r>
    </w:p>
    <w:p>
      <w:pPr>
        <w:spacing w:after="0" w:line="89" w:lineRule="exact"/>
        <w:rPr>
          <w:rFonts w:ascii="Arial" w:cs="Arial" w:eastAsia="Arial" w:hAnsi="Arial"/>
          <w:sz w:val="18"/>
          <w:szCs w:val="18"/>
          <w:color w:val="auto"/>
        </w:rPr>
      </w:pPr>
    </w:p>
    <w:p>
      <w:pPr>
        <w:ind w:left="580" w:right="120" w:hanging="329"/>
        <w:spacing w:after="0" w:line="277"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Kevin S. Cavanah - Since the Company did not generate the 50% of pre-incentive operating income necessary for incentive payout, Mr. Cavanah did not receive a short term incentive payout in fiscal 2015.</w:t>
      </w:r>
    </w:p>
    <w:p>
      <w:pPr>
        <w:spacing w:after="0" w:line="89" w:lineRule="exact"/>
        <w:rPr>
          <w:rFonts w:ascii="Arial" w:cs="Arial" w:eastAsia="Arial" w:hAnsi="Arial"/>
          <w:sz w:val="18"/>
          <w:szCs w:val="18"/>
          <w:color w:val="auto"/>
        </w:rPr>
      </w:pPr>
    </w:p>
    <w:p>
      <w:pPr>
        <w:ind w:left="580" w:right="120" w:hanging="329"/>
        <w:spacing w:after="0" w:line="277"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Jason W. Turner - Since the Company did not generate the 50% of pre-incentive operating income necessary for incentive payout, Mr. Turner did not receive a short term incentive payout in fiscal 2015.</w:t>
      </w:r>
    </w:p>
    <w:p>
      <w:pPr>
        <w:spacing w:after="0" w:line="89" w:lineRule="exact"/>
        <w:rPr>
          <w:rFonts w:ascii="Arial" w:cs="Arial" w:eastAsia="Arial" w:hAnsi="Arial"/>
          <w:sz w:val="18"/>
          <w:szCs w:val="18"/>
          <w:color w:val="auto"/>
        </w:rPr>
      </w:pPr>
    </w:p>
    <w:p>
      <w:pPr>
        <w:ind w:left="580" w:right="60" w:hanging="329"/>
        <w:spacing w:after="0" w:line="259"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James R. Ryan - Since Mr. Ryan's operating company achieved its budgeted income target in fiscal 2015, the Committee, based on Mr. Hewitt's recommendation, awarded Mr. Ryan a discretionary short term incentive compensation bonus of $78,042, or 21.8% of his base salary at June 30, 2015. Mr. Ryan's bonus was based on record financial performance for his operating company. He did not receive any bonus attributable to the safety, consolidated operating income or ROIC portions of the plan.</w:t>
      </w:r>
    </w:p>
    <w:p>
      <w:pPr>
        <w:spacing w:after="0" w:line="13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Annual/Short-Term Incentive Compensation Plan is reviewed and evaluated periodically to ensure that it meets our objectives and may be modified, discontinued or replaced based on our changing objectives and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Long-Term Incentive Compensation</w:t>
      </w:r>
    </w:p>
    <w:p>
      <w:pPr>
        <w:spacing w:after="0" w:line="9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purpose for providing long-term incentive compensation to executive officers is to tie executive rewards directly to the enhancement of long-term stockholder value and Company profitability. Offering the opportunity for executive officers and other key members of management to earn an ownership position in the Company along with a long-term cash incentive enables us to remain competitive and attract, retain and motivate top executive and management talent. We believe that long-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term incentive awards help to create and maintain a long-term perspective among executive officers and provide a direct link to our long-term growth and profitability. However, we also understand that equity awards create dilution in our earnings per share and therefore, believe that a portion of our long-term incentive compensation should be in the form of cash.</w:t>
      </w:r>
    </w:p>
    <w:p>
      <w:pPr>
        <w:spacing w:after="0" w:line="12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Committee believes that a combination of RSUs and performance units are the most appropriate forms of equity awards to achieve our stated objectives. RSUs strongly and directly link management and stockholder interests. As a full value award, RSUs are less dilutive to stockholders than stock options, since we are able to issue fewer shares in order to attain the desired level of equity compensation for our executive officers and managers. Under the long-term incentive program, all awards are issued on an annual basis. A portion of the annual award is in the form of service-based RSUs that vest over a specified period of time. Service-based shares are an excellent tool to promote executive officer/management retention. The second portion of the award is in the form of performance units with performance criteria that link the equity reward to achievement of stockholder value. Finally, the remaining portion of the award is cash-based and includes performance incentives tied to achievement of important strategic goals. Specific, individual grants vary by level/role in the organization. The amount of each award corresponds to the respective salary grade for each executive officer and manager.</w:t>
      </w:r>
    </w:p>
    <w:p>
      <w:pPr>
        <w:spacing w:after="0" w:line="11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Based on the Meridian study, trends of our peer companies, compensation objectives of retention and value creation, and the objective of conserving shares available for grant under our equity incentive plan and reducing earnings dilution, the Committee approved the following structure for the fiscal 2015 long-term incentive grant.</w:t>
      </w:r>
    </w:p>
    <w:p>
      <w:pPr>
        <w:spacing w:after="0" w:line="127" w:lineRule="exact"/>
        <w:rPr>
          <w:sz w:val="20"/>
          <w:szCs w:val="20"/>
          <w:color w:val="auto"/>
        </w:rPr>
      </w:pPr>
    </w:p>
    <w:p>
      <w:pPr>
        <w:ind w:left="540" w:right="340" w:hanging="316"/>
        <w:spacing w:after="0" w:line="277"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One third of the grant consisted of service-based RSUs. Vesting will occur evenly over a four-year period beginning on the first anniversary of the grant date.</w:t>
      </w:r>
    </w:p>
    <w:p>
      <w:pPr>
        <w:spacing w:after="0" w:line="116" w:lineRule="exact"/>
        <w:rPr>
          <w:rFonts w:ascii="Arial" w:cs="Arial" w:eastAsia="Arial" w:hAnsi="Arial"/>
          <w:sz w:val="18"/>
          <w:szCs w:val="18"/>
          <w:color w:val="auto"/>
        </w:rPr>
      </w:pPr>
    </w:p>
    <w:p>
      <w:pPr>
        <w:ind w:left="540" w:right="100" w:hanging="316"/>
        <w:spacing w:after="0" w:line="259"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One third of the grant is in the form of performance units. The performance units cliff vest on the third anniversary of the grant. The shares of Company common stock received can vary from zero to two for each performance unit based on the relative Total Shareholder Return of the Company's common stock when compared to the Total Shareholder Return of a group of peer companies over the vesting period. The potential award levels are as follows:</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6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tcPr>
          <w:p>
            <w:pPr>
              <w:jc w:val="center"/>
              <w:ind w:right="99"/>
              <w:spacing w:after="0"/>
              <w:rPr>
                <w:sz w:val="20"/>
                <w:szCs w:val="20"/>
                <w:color w:val="auto"/>
              </w:rPr>
            </w:pPr>
            <w:r>
              <w:rPr>
                <w:rFonts w:ascii="Arial" w:cs="Arial" w:eastAsia="Arial" w:hAnsi="Arial"/>
                <w:sz w:val="16"/>
                <w:szCs w:val="16"/>
                <w:color w:val="auto"/>
                <w:w w:val="92"/>
              </w:rPr>
              <w:t>Shares of Common Stock for</w:t>
            </w:r>
          </w:p>
        </w:tc>
      </w:tr>
      <w:tr>
        <w:trPr>
          <w:trHeight w:val="206"/>
        </w:trPr>
        <w:tc>
          <w:tcPr>
            <w:tcW w:w="6380" w:type="dxa"/>
            <w:vAlign w:val="bottom"/>
            <w:gridSpan w:val="2"/>
          </w:tcPr>
          <w:p>
            <w:pPr>
              <w:ind w:left="2260"/>
              <w:spacing w:after="0"/>
              <w:rPr>
                <w:sz w:val="20"/>
                <w:szCs w:val="20"/>
                <w:color w:val="auto"/>
              </w:rPr>
            </w:pPr>
            <w:r>
              <w:rPr>
                <w:rFonts w:ascii="Arial" w:cs="Arial" w:eastAsia="Arial" w:hAnsi="Arial"/>
                <w:sz w:val="16"/>
                <w:szCs w:val="16"/>
                <w:color w:val="auto"/>
              </w:rPr>
              <w:t>Shareholder Return Goal</w:t>
            </w:r>
          </w:p>
        </w:tc>
        <w:tc>
          <w:tcPr>
            <w:tcW w:w="2900" w:type="dxa"/>
            <w:vAlign w:val="bottom"/>
            <w:gridSpan w:val="3"/>
          </w:tcPr>
          <w:p>
            <w:pPr>
              <w:ind w:left="420"/>
              <w:spacing w:after="0"/>
              <w:rPr>
                <w:sz w:val="20"/>
                <w:szCs w:val="20"/>
                <w:color w:val="auto"/>
              </w:rPr>
            </w:pPr>
            <w:r>
              <w:rPr>
                <w:rFonts w:ascii="Arial" w:cs="Arial" w:eastAsia="Arial" w:hAnsi="Arial"/>
                <w:sz w:val="16"/>
                <w:szCs w:val="16"/>
                <w:color w:val="auto"/>
              </w:rPr>
              <w:t>Total Shareholder Return</w:t>
            </w:r>
          </w:p>
        </w:tc>
        <w:tc>
          <w:tcPr>
            <w:tcW w:w="2080" w:type="dxa"/>
            <w:vAlign w:val="bottom"/>
          </w:tcPr>
          <w:p>
            <w:pPr>
              <w:jc w:val="center"/>
              <w:ind w:right="119"/>
              <w:spacing w:after="0"/>
              <w:rPr>
                <w:sz w:val="20"/>
                <w:szCs w:val="20"/>
                <w:color w:val="auto"/>
              </w:rPr>
            </w:pPr>
            <w:r>
              <w:rPr>
                <w:rFonts w:ascii="Arial" w:cs="Arial" w:eastAsia="Arial" w:hAnsi="Arial"/>
                <w:sz w:val="16"/>
                <w:szCs w:val="16"/>
                <w:color w:val="auto"/>
                <w:w w:val="91"/>
              </w:rPr>
              <w:t>Each Performance Unit</w:t>
            </w:r>
          </w:p>
        </w:tc>
      </w:tr>
      <w:tr>
        <w:trPr>
          <w:trHeight w:val="40"/>
        </w:trPr>
        <w:tc>
          <w:tcPr>
            <w:tcW w:w="614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r>
      <w:tr>
        <w:trPr>
          <w:trHeight w:val="237"/>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Threshold</w:t>
            </w:r>
          </w:p>
        </w:tc>
        <w:tc>
          <w:tcPr>
            <w:tcW w:w="29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25th percentile of Peer Group</w:t>
            </w:r>
          </w:p>
        </w:tc>
        <w:tc>
          <w:tcPr>
            <w:tcW w:w="208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89"/>
              </w:rPr>
              <w:t>0.25</w:t>
            </w:r>
          </w:p>
        </w:tc>
      </w:tr>
      <w:tr>
        <w:trPr>
          <w:trHeight w:val="237"/>
        </w:trPr>
        <w:tc>
          <w:tcPr>
            <w:tcW w:w="6380" w:type="dxa"/>
            <w:vAlign w:val="bottom"/>
            <w:gridSpan w:val="2"/>
          </w:tcPr>
          <w:p>
            <w:pPr>
              <w:ind w:left="20"/>
              <w:spacing w:after="0"/>
              <w:rPr>
                <w:sz w:val="20"/>
                <w:szCs w:val="20"/>
                <w:color w:val="auto"/>
              </w:rPr>
            </w:pPr>
            <w:r>
              <w:rPr>
                <w:rFonts w:ascii="Arial" w:cs="Arial" w:eastAsia="Arial" w:hAnsi="Arial"/>
                <w:sz w:val="16"/>
                <w:szCs w:val="16"/>
                <w:color w:val="auto"/>
              </w:rPr>
              <w:t>Above Threshold</w:t>
            </w:r>
          </w:p>
        </w:tc>
        <w:tc>
          <w:tcPr>
            <w:tcW w:w="2900" w:type="dxa"/>
            <w:vAlign w:val="bottom"/>
            <w:gridSpan w:val="3"/>
          </w:tcPr>
          <w:p>
            <w:pPr>
              <w:ind w:left="280"/>
              <w:spacing w:after="0"/>
              <w:rPr>
                <w:sz w:val="20"/>
                <w:szCs w:val="20"/>
                <w:color w:val="auto"/>
              </w:rPr>
            </w:pPr>
            <w:r>
              <w:rPr>
                <w:rFonts w:ascii="Arial" w:cs="Arial" w:eastAsia="Arial" w:hAnsi="Arial"/>
                <w:sz w:val="16"/>
                <w:szCs w:val="16"/>
                <w:color w:val="auto"/>
              </w:rPr>
              <w:t>35th percentile of Peer Group</w:t>
            </w:r>
          </w:p>
        </w:tc>
        <w:tc>
          <w:tcPr>
            <w:tcW w:w="2080" w:type="dxa"/>
            <w:vAlign w:val="bottom"/>
          </w:tcPr>
          <w:p>
            <w:pPr>
              <w:jc w:val="center"/>
              <w:ind w:right="119"/>
              <w:spacing w:after="0"/>
              <w:rPr>
                <w:sz w:val="20"/>
                <w:szCs w:val="20"/>
                <w:color w:val="auto"/>
              </w:rPr>
            </w:pPr>
            <w:r>
              <w:rPr>
                <w:rFonts w:ascii="Arial" w:cs="Arial" w:eastAsia="Arial" w:hAnsi="Arial"/>
                <w:sz w:val="16"/>
                <w:szCs w:val="16"/>
                <w:color w:val="auto"/>
                <w:w w:val="89"/>
              </w:rPr>
              <w:t>0.50</w:t>
            </w:r>
          </w:p>
        </w:tc>
      </w:tr>
      <w:tr>
        <w:trPr>
          <w:trHeight w:val="33"/>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Target</w:t>
            </w:r>
          </w:p>
        </w:tc>
        <w:tc>
          <w:tcPr>
            <w:tcW w:w="29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50th percentile of Peer Group</w:t>
            </w:r>
          </w:p>
        </w:tc>
        <w:tc>
          <w:tcPr>
            <w:tcW w:w="208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89"/>
              </w:rPr>
              <w:t>1.00</w:t>
            </w:r>
          </w:p>
        </w:tc>
      </w:tr>
      <w:tr>
        <w:trPr>
          <w:trHeight w:val="237"/>
        </w:trPr>
        <w:tc>
          <w:tcPr>
            <w:tcW w:w="6380" w:type="dxa"/>
            <w:vAlign w:val="bottom"/>
            <w:gridSpan w:val="2"/>
          </w:tcPr>
          <w:p>
            <w:pPr>
              <w:ind w:left="20"/>
              <w:spacing w:after="0"/>
              <w:rPr>
                <w:sz w:val="20"/>
                <w:szCs w:val="20"/>
                <w:color w:val="auto"/>
              </w:rPr>
            </w:pPr>
            <w:r>
              <w:rPr>
                <w:rFonts w:ascii="Arial" w:cs="Arial" w:eastAsia="Arial" w:hAnsi="Arial"/>
                <w:sz w:val="16"/>
                <w:szCs w:val="16"/>
                <w:color w:val="auto"/>
              </w:rPr>
              <w:t>Above Target</w:t>
            </w:r>
          </w:p>
        </w:tc>
        <w:tc>
          <w:tcPr>
            <w:tcW w:w="2900" w:type="dxa"/>
            <w:vAlign w:val="bottom"/>
            <w:gridSpan w:val="3"/>
          </w:tcPr>
          <w:p>
            <w:pPr>
              <w:ind w:left="280"/>
              <w:spacing w:after="0"/>
              <w:rPr>
                <w:sz w:val="20"/>
                <w:szCs w:val="20"/>
                <w:color w:val="auto"/>
              </w:rPr>
            </w:pPr>
            <w:r>
              <w:rPr>
                <w:rFonts w:ascii="Arial" w:cs="Arial" w:eastAsia="Arial" w:hAnsi="Arial"/>
                <w:sz w:val="16"/>
                <w:szCs w:val="16"/>
                <w:color w:val="auto"/>
              </w:rPr>
              <w:t>75th percentile of Peer Group</w:t>
            </w:r>
          </w:p>
        </w:tc>
        <w:tc>
          <w:tcPr>
            <w:tcW w:w="2080" w:type="dxa"/>
            <w:vAlign w:val="bottom"/>
          </w:tcPr>
          <w:p>
            <w:pPr>
              <w:jc w:val="center"/>
              <w:ind w:right="119"/>
              <w:spacing w:after="0"/>
              <w:rPr>
                <w:sz w:val="20"/>
                <w:szCs w:val="20"/>
                <w:color w:val="auto"/>
              </w:rPr>
            </w:pPr>
            <w:r>
              <w:rPr>
                <w:rFonts w:ascii="Arial" w:cs="Arial" w:eastAsia="Arial" w:hAnsi="Arial"/>
                <w:sz w:val="16"/>
                <w:szCs w:val="16"/>
                <w:color w:val="auto"/>
                <w:w w:val="89"/>
              </w:rPr>
              <w:t>1.50</w:t>
            </w:r>
          </w:p>
        </w:tc>
      </w:tr>
      <w:tr>
        <w:trPr>
          <w:trHeight w:val="33"/>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Maximum</w:t>
            </w:r>
          </w:p>
        </w:tc>
        <w:tc>
          <w:tcPr>
            <w:tcW w:w="29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90th percentile of Peer Group</w:t>
            </w:r>
          </w:p>
        </w:tc>
        <w:tc>
          <w:tcPr>
            <w:tcW w:w="208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89"/>
              </w:rPr>
              <w:t>2.00</w:t>
            </w:r>
          </w:p>
        </w:tc>
      </w:tr>
      <w:tr>
        <w:trPr>
          <w:trHeight w:val="378"/>
        </w:trPr>
        <w:tc>
          <w:tcPr>
            <w:tcW w:w="6380" w:type="dxa"/>
            <w:vAlign w:val="bottom"/>
            <w:gridSpan w:val="2"/>
          </w:tcPr>
          <w:p>
            <w:pPr>
              <w:ind w:left="520"/>
              <w:spacing w:after="0"/>
              <w:rPr>
                <w:sz w:val="20"/>
                <w:szCs w:val="20"/>
                <w:color w:val="auto"/>
              </w:rPr>
            </w:pPr>
            <w:r>
              <w:rPr>
                <w:rFonts w:ascii="Arial" w:cs="Arial" w:eastAsia="Arial" w:hAnsi="Arial"/>
                <w:sz w:val="18"/>
                <w:szCs w:val="18"/>
                <w:color w:val="auto"/>
                <w:w w:val="98"/>
              </w:rPr>
              <w:t>The peer group for the fiscal 2015 performance unit award was as follows:</w:t>
            </w: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35"/>
        </w:trPr>
        <w:tc>
          <w:tcPr>
            <w:tcW w:w="6380" w:type="dxa"/>
            <w:vAlign w:val="bottom"/>
            <w:gridSpan w:val="2"/>
          </w:tcPr>
          <w:p>
            <w:pPr>
              <w:spacing w:after="0"/>
              <w:rPr>
                <w:sz w:val="11"/>
                <w:szCs w:val="11"/>
                <w:color w:val="auto"/>
              </w:rPr>
            </w:pPr>
          </w:p>
        </w:tc>
        <w:tc>
          <w:tcPr>
            <w:tcW w:w="2900" w:type="dxa"/>
            <w:vAlign w:val="bottom"/>
            <w:gridSpan w:val="3"/>
          </w:tcPr>
          <w:p>
            <w:pPr>
              <w:spacing w:after="0"/>
              <w:rPr>
                <w:sz w:val="11"/>
                <w:szCs w:val="11"/>
                <w:color w:val="auto"/>
              </w:rPr>
            </w:pPr>
          </w:p>
        </w:tc>
        <w:tc>
          <w:tcPr>
            <w:tcW w:w="2080" w:type="dxa"/>
            <w:vAlign w:val="bottom"/>
          </w:tcPr>
          <w:p>
            <w:pPr>
              <w:spacing w:after="0"/>
              <w:rPr>
                <w:sz w:val="11"/>
                <w:szCs w:val="11"/>
                <w:color w:val="auto"/>
              </w:rPr>
            </w:pPr>
          </w:p>
        </w:tc>
      </w:tr>
      <w:tr>
        <w:trPr>
          <w:trHeight w:val="250"/>
        </w:trPr>
        <w:tc>
          <w:tcPr>
            <w:tcW w:w="6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AECOM Technology Corporation</w:t>
            </w:r>
          </w:p>
        </w:tc>
        <w:tc>
          <w:tcPr>
            <w:tcW w:w="290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MasTec, Inc.</w:t>
            </w:r>
          </w:p>
        </w:tc>
        <w:tc>
          <w:tcPr>
            <w:tcW w:w="208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gridSpan w:val="2"/>
          </w:tcPr>
          <w:p>
            <w:pPr>
              <w:ind w:left="600"/>
              <w:spacing w:after="0"/>
              <w:rPr>
                <w:sz w:val="20"/>
                <w:szCs w:val="20"/>
                <w:color w:val="auto"/>
              </w:rPr>
            </w:pPr>
            <w:r>
              <w:rPr>
                <w:rFonts w:ascii="Arial" w:cs="Arial" w:eastAsia="Arial" w:hAnsi="Arial"/>
                <w:sz w:val="18"/>
                <w:szCs w:val="18"/>
                <w:color w:val="auto"/>
              </w:rPr>
              <w:t>Aegion Corp.</w:t>
            </w:r>
          </w:p>
        </w:tc>
        <w:tc>
          <w:tcPr>
            <w:tcW w:w="2900" w:type="dxa"/>
            <w:vAlign w:val="bottom"/>
            <w:gridSpan w:val="3"/>
          </w:tcPr>
          <w:p>
            <w:pPr>
              <w:ind w:left="700"/>
              <w:spacing w:after="0"/>
              <w:rPr>
                <w:sz w:val="20"/>
                <w:szCs w:val="20"/>
                <w:color w:val="auto"/>
              </w:rPr>
            </w:pPr>
            <w:r>
              <w:rPr>
                <w:rFonts w:ascii="Arial" w:cs="Arial" w:eastAsia="Arial" w:hAnsi="Arial"/>
                <w:sz w:val="18"/>
                <w:szCs w:val="18"/>
                <w:color w:val="auto"/>
                <w:w w:val="96"/>
              </w:rPr>
              <w:t>McDermott International Inc.</w:t>
            </w:r>
          </w:p>
        </w:tc>
        <w:tc>
          <w:tcPr>
            <w:tcW w:w="2080" w:type="dxa"/>
            <w:vAlign w:val="bottom"/>
          </w:tcPr>
          <w:p>
            <w:pPr>
              <w:spacing w:after="0"/>
              <w:rPr>
                <w:sz w:val="21"/>
                <w:szCs w:val="21"/>
                <w:color w:val="auto"/>
              </w:rPr>
            </w:pPr>
          </w:p>
        </w:tc>
      </w:tr>
      <w:tr>
        <w:trPr>
          <w:trHeight w:val="27"/>
        </w:trPr>
        <w:tc>
          <w:tcPr>
            <w:tcW w:w="6380" w:type="dxa"/>
            <w:vAlign w:val="bottom"/>
            <w:gridSpan w:val="2"/>
          </w:tcPr>
          <w:p>
            <w:pPr>
              <w:spacing w:after="0"/>
              <w:rPr>
                <w:sz w:val="2"/>
                <w:szCs w:val="2"/>
                <w:color w:val="auto"/>
              </w:rPr>
            </w:pPr>
          </w:p>
        </w:tc>
        <w:tc>
          <w:tcPr>
            <w:tcW w:w="2900" w:type="dxa"/>
            <w:vAlign w:val="bottom"/>
            <w:gridSpan w:val="3"/>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AMEC PLC</w:t>
            </w:r>
          </w:p>
        </w:tc>
        <w:tc>
          <w:tcPr>
            <w:tcW w:w="290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Mistras Group Inc.</w:t>
            </w:r>
          </w:p>
        </w:tc>
        <w:tc>
          <w:tcPr>
            <w:tcW w:w="208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gridSpan w:val="2"/>
          </w:tcPr>
          <w:p>
            <w:pPr>
              <w:ind w:left="600"/>
              <w:spacing w:after="0"/>
              <w:rPr>
                <w:sz w:val="20"/>
                <w:szCs w:val="20"/>
                <w:color w:val="auto"/>
              </w:rPr>
            </w:pPr>
            <w:r>
              <w:rPr>
                <w:rFonts w:ascii="Arial" w:cs="Arial" w:eastAsia="Arial" w:hAnsi="Arial"/>
                <w:sz w:val="18"/>
                <w:szCs w:val="18"/>
                <w:color w:val="auto"/>
              </w:rPr>
              <w:t>Chicago Bridge &amp; Iron Company N.V.</w:t>
            </w:r>
          </w:p>
        </w:tc>
        <w:tc>
          <w:tcPr>
            <w:tcW w:w="2900" w:type="dxa"/>
            <w:vAlign w:val="bottom"/>
            <w:gridSpan w:val="3"/>
          </w:tcPr>
          <w:p>
            <w:pPr>
              <w:ind w:left="700"/>
              <w:spacing w:after="0"/>
              <w:rPr>
                <w:sz w:val="20"/>
                <w:szCs w:val="20"/>
                <w:color w:val="auto"/>
              </w:rPr>
            </w:pPr>
            <w:r>
              <w:rPr>
                <w:rFonts w:ascii="Arial" w:cs="Arial" w:eastAsia="Arial" w:hAnsi="Arial"/>
                <w:sz w:val="18"/>
                <w:szCs w:val="18"/>
                <w:color w:val="auto"/>
              </w:rPr>
              <w:t>MYR Group Inc.</w:t>
            </w:r>
          </w:p>
        </w:tc>
        <w:tc>
          <w:tcPr>
            <w:tcW w:w="2080" w:type="dxa"/>
            <w:vAlign w:val="bottom"/>
          </w:tcPr>
          <w:p>
            <w:pPr>
              <w:spacing w:after="0"/>
              <w:rPr>
                <w:sz w:val="21"/>
                <w:szCs w:val="21"/>
                <w:color w:val="auto"/>
              </w:rPr>
            </w:pPr>
          </w:p>
        </w:tc>
      </w:tr>
      <w:tr>
        <w:trPr>
          <w:trHeight w:val="27"/>
        </w:trPr>
        <w:tc>
          <w:tcPr>
            <w:tcW w:w="6380" w:type="dxa"/>
            <w:vAlign w:val="bottom"/>
            <w:gridSpan w:val="2"/>
          </w:tcPr>
          <w:p>
            <w:pPr>
              <w:spacing w:after="0"/>
              <w:rPr>
                <w:sz w:val="2"/>
                <w:szCs w:val="2"/>
                <w:color w:val="auto"/>
              </w:rPr>
            </w:pPr>
          </w:p>
        </w:tc>
        <w:tc>
          <w:tcPr>
            <w:tcW w:w="2900" w:type="dxa"/>
            <w:vAlign w:val="bottom"/>
            <w:gridSpan w:val="3"/>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Emcor Group, Inc.</w:t>
            </w:r>
          </w:p>
        </w:tc>
        <w:tc>
          <w:tcPr>
            <w:tcW w:w="290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w w:val="91"/>
              </w:rPr>
              <w:t>Primoris Services Corporation</w:t>
            </w:r>
          </w:p>
        </w:tc>
        <w:tc>
          <w:tcPr>
            <w:tcW w:w="208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gridSpan w:val="2"/>
          </w:tcPr>
          <w:p>
            <w:pPr>
              <w:ind w:left="600"/>
              <w:spacing w:after="0"/>
              <w:rPr>
                <w:sz w:val="20"/>
                <w:szCs w:val="20"/>
                <w:color w:val="auto"/>
              </w:rPr>
            </w:pPr>
            <w:r>
              <w:rPr>
                <w:rFonts w:ascii="Arial" w:cs="Arial" w:eastAsia="Arial" w:hAnsi="Arial"/>
                <w:sz w:val="18"/>
                <w:szCs w:val="18"/>
                <w:color w:val="auto"/>
              </w:rPr>
              <w:t>Fluor Corporation</w:t>
            </w:r>
          </w:p>
        </w:tc>
        <w:tc>
          <w:tcPr>
            <w:tcW w:w="2900" w:type="dxa"/>
            <w:vAlign w:val="bottom"/>
            <w:gridSpan w:val="3"/>
          </w:tcPr>
          <w:p>
            <w:pPr>
              <w:ind w:left="700"/>
              <w:spacing w:after="0"/>
              <w:rPr>
                <w:sz w:val="20"/>
                <w:szCs w:val="20"/>
                <w:color w:val="auto"/>
              </w:rPr>
            </w:pPr>
            <w:r>
              <w:rPr>
                <w:rFonts w:ascii="Arial" w:cs="Arial" w:eastAsia="Arial" w:hAnsi="Arial"/>
                <w:sz w:val="18"/>
                <w:szCs w:val="18"/>
                <w:color w:val="auto"/>
              </w:rPr>
              <w:t>Quanta Services Inc.</w:t>
            </w:r>
          </w:p>
        </w:tc>
        <w:tc>
          <w:tcPr>
            <w:tcW w:w="2080" w:type="dxa"/>
            <w:vAlign w:val="bottom"/>
          </w:tcPr>
          <w:p>
            <w:pPr>
              <w:spacing w:after="0"/>
              <w:rPr>
                <w:sz w:val="21"/>
                <w:szCs w:val="21"/>
                <w:color w:val="auto"/>
              </w:rPr>
            </w:pPr>
          </w:p>
        </w:tc>
      </w:tr>
      <w:tr>
        <w:trPr>
          <w:trHeight w:val="27"/>
        </w:trPr>
        <w:tc>
          <w:tcPr>
            <w:tcW w:w="6380" w:type="dxa"/>
            <w:vAlign w:val="bottom"/>
            <w:gridSpan w:val="2"/>
          </w:tcPr>
          <w:p>
            <w:pPr>
              <w:spacing w:after="0"/>
              <w:rPr>
                <w:sz w:val="2"/>
                <w:szCs w:val="2"/>
                <w:color w:val="auto"/>
              </w:rPr>
            </w:pPr>
          </w:p>
        </w:tc>
        <w:tc>
          <w:tcPr>
            <w:tcW w:w="2900" w:type="dxa"/>
            <w:vAlign w:val="bottom"/>
            <w:gridSpan w:val="3"/>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Furmanite Corp.</w:t>
            </w:r>
          </w:p>
        </w:tc>
        <w:tc>
          <w:tcPr>
            <w:tcW w:w="290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Team Inc.</w:t>
            </w:r>
          </w:p>
        </w:tc>
        <w:tc>
          <w:tcPr>
            <w:tcW w:w="208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gridSpan w:val="2"/>
          </w:tcPr>
          <w:p>
            <w:pPr>
              <w:ind w:left="600"/>
              <w:spacing w:after="0"/>
              <w:rPr>
                <w:sz w:val="20"/>
                <w:szCs w:val="20"/>
                <w:color w:val="auto"/>
              </w:rPr>
            </w:pPr>
            <w:r>
              <w:rPr>
                <w:rFonts w:ascii="Arial" w:cs="Arial" w:eastAsia="Arial" w:hAnsi="Arial"/>
                <w:sz w:val="18"/>
                <w:szCs w:val="18"/>
                <w:color w:val="auto"/>
              </w:rPr>
              <w:t>Jacobs Engineering Group Inc.</w:t>
            </w:r>
          </w:p>
        </w:tc>
        <w:tc>
          <w:tcPr>
            <w:tcW w:w="2900" w:type="dxa"/>
            <w:vAlign w:val="bottom"/>
            <w:gridSpan w:val="3"/>
          </w:tcPr>
          <w:p>
            <w:pPr>
              <w:ind w:left="700"/>
              <w:spacing w:after="0"/>
              <w:rPr>
                <w:sz w:val="20"/>
                <w:szCs w:val="20"/>
                <w:color w:val="auto"/>
              </w:rPr>
            </w:pPr>
            <w:r>
              <w:rPr>
                <w:rFonts w:ascii="Arial" w:cs="Arial" w:eastAsia="Arial" w:hAnsi="Arial"/>
                <w:sz w:val="18"/>
                <w:szCs w:val="18"/>
                <w:color w:val="auto"/>
              </w:rPr>
              <w:t>Willbros Group Inc.</w:t>
            </w:r>
          </w:p>
        </w:tc>
        <w:tc>
          <w:tcPr>
            <w:tcW w:w="2080" w:type="dxa"/>
            <w:vAlign w:val="bottom"/>
          </w:tcPr>
          <w:p>
            <w:pPr>
              <w:spacing w:after="0"/>
              <w:rPr>
                <w:sz w:val="21"/>
                <w:szCs w:val="21"/>
                <w:color w:val="auto"/>
              </w:rPr>
            </w:pPr>
          </w:p>
        </w:tc>
      </w:tr>
      <w:tr>
        <w:trPr>
          <w:trHeight w:val="27"/>
        </w:trPr>
        <w:tc>
          <w:tcPr>
            <w:tcW w:w="63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63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KBR Inc.</w:t>
            </w:r>
          </w:p>
        </w:tc>
        <w:tc>
          <w:tcPr>
            <w:tcW w:w="2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r>
      <w:tr>
        <w:trPr>
          <w:trHeight w:val="27"/>
        </w:trPr>
        <w:tc>
          <w:tcPr>
            <w:tcW w:w="6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left="540" w:right="20" w:hanging="316"/>
        <w:spacing w:after="0" w:line="259"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remaining one-third of the grant was a performance-based award to be paid in the form of cash. The award cliff vests after two years and is based on the Average Return on Invested Capital ("AROIC") achieved by the Company over fiscal years 2015 and 2016. The threshold AROIC goal is 15%, the target AROIC goal is 17% and the maximum AROIC goal is 19%. At these performance levels, the payouts would be 50%, 100% and 150% of the target award.</w:t>
      </w:r>
    </w:p>
    <w:p>
      <w:pPr>
        <w:spacing w:after="0" w:line="1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Long-term incentive awards are reviewed and evaluated periodically to ensure that they meet our objectives and may be modified, discontinued or replaced based on the changing objectives and requirements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Grants made during fiscal 2015 to our Named Executive Officers are shown in the Grants of Plan-Based Awards table.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Perquisites and Other Benefits</w:t>
      </w:r>
    </w:p>
    <w:p>
      <w:pPr>
        <w:spacing w:after="0" w:line="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executive officers do not receive significant compensation in the form of perquisites or supplemental benefits. In general, our executive officers are eligible to participate in the same retirement and health and welfare plans as all of our other eligible employees. We offer the following benefits to executive officers.</w:t>
      </w:r>
    </w:p>
    <w:p>
      <w:pPr>
        <w:spacing w:after="0" w:line="127" w:lineRule="exact"/>
        <w:rPr>
          <w:sz w:val="20"/>
          <w:szCs w:val="20"/>
          <w:color w:val="auto"/>
        </w:rPr>
      </w:pPr>
    </w:p>
    <w:p>
      <w:pPr>
        <w:ind w:left="580" w:hanging="329"/>
        <w:spacing w:after="0" w:line="257"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sponsor a 401(k) Savings Plan which allows executive officers, and other employees, to contribute up to 25% of their salary (up to the annual IRS maximum). The Company’s Safe Harbor Matching Contribution is a 100% matching contribution on salary deferrals up to the first 3% of compensation and 50% on the next 2% of salary deferrals. All matching contributions are 100% vested. Executive officers participate and receive benefits under the plan in the same manner as all other eligible participants. We do not sponsor or maintain any other pension, deferred compensation or other supplemental retirement plans for executive officers.</w:t>
      </w:r>
    </w:p>
    <w:p>
      <w:pPr>
        <w:spacing w:after="0" w:line="134" w:lineRule="exact"/>
        <w:rPr>
          <w:rFonts w:ascii="Arial" w:cs="Arial" w:eastAsia="Arial" w:hAnsi="Arial"/>
          <w:sz w:val="18"/>
          <w:szCs w:val="18"/>
          <w:color w:val="auto"/>
        </w:rPr>
      </w:pPr>
    </w:p>
    <w:p>
      <w:pPr>
        <w:ind w:left="580" w:hanging="329"/>
        <w:spacing w:after="0" w:line="264"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addition to the group term life policy offered to all eligible employees, we provide additional life insurance to our executive officers, at no cost to the officer. Specifically, the Company provides a term life insurance policy equal to 2 times base salary to a maximum of $1.5 million. For the CEO, an additional corporate term life insurance policy of $600,000 is provided.</w:t>
      </w:r>
    </w:p>
    <w:p>
      <w:pPr>
        <w:spacing w:after="0" w:line="127" w:lineRule="exact"/>
        <w:rPr>
          <w:rFonts w:ascii="Arial" w:cs="Arial" w:eastAsia="Arial" w:hAnsi="Arial"/>
          <w:sz w:val="18"/>
          <w:szCs w:val="18"/>
          <w:color w:val="auto"/>
        </w:rPr>
      </w:pPr>
    </w:p>
    <w:p>
      <w:pPr>
        <w:ind w:left="580" w:right="100" w:hanging="329"/>
        <w:spacing w:after="0" w:line="257"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provides long-term disability to all administrative employees. Under this plan, the employee may receive disability payments of up to 60% of their base compensation subject to a maximum of $12,000 per month. The Company also provides a supplemental executive long-term disability plan to the NEOs. Under the plan, the NEOs may receive disability payments of up to 60% of the sum of their base compensation and the average of their prior two years short-term incentive cash bonuses. The supplemental plan also increases the benefit up to maximum of $20,000 per month.</w:t>
      </w:r>
    </w:p>
    <w:p>
      <w:pPr>
        <w:spacing w:after="0" w:line="13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the company-provided life insurance policies described above, all executive officers, along with other eligible employees and managers, have the option to purchase supplemental life insurance for themselves, their spouses and dependents.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of Control/Severance Agreements</w:t>
      </w:r>
    </w:p>
    <w:p>
      <w:pPr>
        <w:spacing w:after="0" w:line="9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have entered into Change of Control/Severance Agreements with each of our Named Executive Officers. These agreements are designed to promote stability, continuity and focus for key members of leadership during periods of uncertainty that may be created by change of control situations. Additionally, the use of such agreements is a competitive practice that enhances our ability to attract and retain leadership talent. For further details regarding our Change of Control/Severance Agreements, see the discussion under the caption “Potential Payments Upon Termination or Change of Control.”</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125" w:right="2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Clawback Policy</w:t>
      </w:r>
    </w:p>
    <w:p>
      <w:pPr>
        <w:spacing w:after="0" w:line="9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Consistent with the principles of responsible oversight, the Company’s Board of Directors has adopted a clawback policy, and the Company’s equity award agreements also include a clawback provision. The clawback policy provides that, to the extent permitted by law, if the Board of Directors, with the recommendation of the Committee, determines that:</w:t>
      </w:r>
    </w:p>
    <w:p>
      <w:pPr>
        <w:spacing w:after="0" w:line="181" w:lineRule="exact"/>
        <w:rPr>
          <w:sz w:val="20"/>
          <w:szCs w:val="20"/>
          <w:color w:val="auto"/>
        </w:rPr>
      </w:pPr>
    </w:p>
    <w:p>
      <w:pPr>
        <w:ind w:left="540" w:right="260" w:hanging="316"/>
        <w:spacing w:after="0" w:line="256"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bonus, equity award, equity equivalent award or other incentive compensation has been awarded or received by an executive officer, and such compensation was based on the achievement of any financial results that were subsequently the subject of any material restatement of our financial statements filed with the SEC;</w:t>
      </w:r>
    </w:p>
    <w:p>
      <w:pPr>
        <w:ind w:left="540" w:hanging="316"/>
        <w:spacing w:after="0"/>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executive officer engaged in grossly negligent or intentional misconduct that caused or substantially caused the material restatement; and</w:t>
      </w:r>
    </w:p>
    <w:p>
      <w:pPr>
        <w:spacing w:after="0" w:line="20" w:lineRule="exact"/>
        <w:rPr>
          <w:rFonts w:ascii="Arial" w:cs="Arial" w:eastAsia="Arial" w:hAnsi="Arial"/>
          <w:sz w:val="17"/>
          <w:szCs w:val="17"/>
          <w:color w:val="auto"/>
        </w:rPr>
      </w:pP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of the compensation would have been less had the financial statements been correct,</w:t>
      </w:r>
    </w:p>
    <w:p>
      <w:pPr>
        <w:spacing w:after="0" w:line="15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will seek to recover from the executive officer such compensation, in whole or in part, as we deem appropriate under the circumstances. The Board of Directors has sole discretion in determining whether an officer’s conduct has or has not met any particular standard of conduct under law or Company policy.</w:t>
      </w:r>
    </w:p>
    <w:p>
      <w:pPr>
        <w:spacing w:after="0" w:line="70"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Pursuant to the Dodd-Frank Wall Street Reform and Consumer Protection Act, which was signed into law on July 21, 2010, the SEC was directed to issue rules requiring the national securities exchanges to amend their listing standards to require listed companies to adopt mandatory clawback policies. The Company anticipates that it will modify its clawback policy to conform to the requirements of any such rules or listing requirements upon their adoption.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Policy on Hedging and Pledging of Company Securities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Hedging transactions may permit a director, officer or employee to continue to own our securities obtained through employee benefit plans or otherwise, but without the full risks and rewards of ownership. When that occurs, the director, officer or employee may no longer have the same objectives as our other stockholders. Our Insider Trading Policy specifically prohibits our directors, Named Executive Officers and other employees from engaging in any hedging activities with respect to our securities.</w:t>
      </w:r>
    </w:p>
    <w:p>
      <w:pPr>
        <w:spacing w:after="0" w:line="13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Securities held in a margin account as collateral for a margin loan may be sold by the broker without the customer’s consent if the customer fails to meet a margin call. Similarly, securities pledged as collateral for a loan may be sold in foreclosure if the borrower defaults on the loan. Because a margin sale or foreclosure sale may occur at a time when the pledgor is aware of material non-public information or otherwise is not permitted to trade in the Company’s securities, our Insider Trading Policy prohibits directors, Named Executive Officers and other employees from holding our securities in a margin account or otherwise pledging our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Program as it Relates to Risk</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reviewed our compensation policies and practices for both executives and non-executives as they relate to risk and have determined that they are not reasonably likely to have a material adverse effect on the Company. In reaching this conclusion, we considered the various elements of our compensation program that are designed to help mitigate excessive risk taking, including:</w:t>
      </w:r>
    </w:p>
    <w:p>
      <w:pPr>
        <w:spacing w:after="0" w:line="181" w:lineRule="exact"/>
        <w:rPr>
          <w:sz w:val="20"/>
          <w:szCs w:val="20"/>
          <w:color w:val="auto"/>
        </w:rPr>
      </w:pPr>
    </w:p>
    <w:p>
      <w:pPr>
        <w:ind w:left="540" w:right="40" w:hanging="316"/>
        <w:spacing w:after="0" w:line="258"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Components of Compensation: We use a mix of compensation elements including base salary, short-term incentives and long-term incentives to avoid placing too much emphasis on any one component of compensation.</w:t>
      </w:r>
    </w:p>
    <w:p>
      <w:pPr>
        <w:spacing w:after="0" w:line="1" w:lineRule="exact"/>
        <w:rPr>
          <w:rFonts w:ascii="Arial" w:cs="Arial" w:eastAsia="Arial" w:hAnsi="Arial"/>
          <w:sz w:val="18"/>
          <w:szCs w:val="18"/>
          <w:color w:val="auto"/>
        </w:rPr>
      </w:pPr>
    </w:p>
    <w:p>
      <w:pPr>
        <w:ind w:left="540" w:right="720" w:hanging="316"/>
        <w:spacing w:after="0" w:line="25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Short-term Incentive: Our short-term incentive compensation plan does not allow for unlimited payouts. For fiscal 2015 short-term incentive payments cannot exceed 150% of target levels.</w:t>
      </w:r>
    </w:p>
    <w:p>
      <w:pPr>
        <w:ind w:left="540" w:right="760" w:hanging="316"/>
        <w:spacing w:after="0" w:line="25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Long-term Incentive Awards: Our long-term incentive awards drive a long-term perspective and vest over a period of two or four years. Our performance-based long-term incentive awards are capped and cannot exceed 200% of target levels.</w:t>
      </w:r>
    </w:p>
    <w:p>
      <w:pPr>
        <w:ind w:left="540" w:hanging="316"/>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Committee Oversight: The Committee reviews and administers all awards under short- and long-term incentive plans.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Performance Measures: Our performance goal setting process is aligned with our business strategy and the interests of our stockholders.</w:t>
      </w:r>
    </w:p>
    <w:p>
      <w:pPr>
        <w:spacing w:after="0" w:line="20" w:lineRule="exact"/>
        <w:rPr>
          <w:rFonts w:ascii="Arial" w:cs="Arial" w:eastAsia="Arial" w:hAnsi="Arial"/>
          <w:sz w:val="17"/>
          <w:szCs w:val="17"/>
          <w:color w:val="auto"/>
        </w:rPr>
      </w:pPr>
    </w:p>
    <w:p>
      <w:pPr>
        <w:ind w:left="540" w:right="200" w:hanging="316"/>
        <w:spacing w:after="0" w:line="265"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Clawback Policy: We have the ability to recover any excess incentive-based compensation awarded to any of our executive officers as a result of an accounting restatement due to material non-compliance with the reporting requirements under federal securities laws.</w:t>
      </w:r>
    </w:p>
    <w:p>
      <w:pPr>
        <w:ind w:left="540" w:hanging="316"/>
        <w:spacing w:after="0" w:line="261"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Stock Ownership Guidelines: Our stock ownership guidelines require our senior management to maintain a significant portion of their personal wealth in our common stock for the duration of their employment with our Company.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compensation program is designed to motivate our Named Executive Officers and other Company officers to achieve business objectives that generate strong stockholder returns and to encourage ethical behaviors.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Guidelines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believes that our executive officers should demonstrate their commitment to, and belief in, the Company’s long-term profitability. Stock ownership more closely aligns our executive officers’ interests and actions with the interests of the Company’s stockholders. Accordingly, each officer is expected to maintain a significant investment in the Company through the ownership of our common stock. See the discussion under the caption “Equity Ownership Guidelines” for a description of our guidelines.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 of the Board of Directors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required by Item 402(b) of Regulation S-K with management and, based on such review and discussions, the Compensation Committee recommended to the Board of Directors that the Compensation Discussion and Analysis be included in this proxy statement.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Compensation Committee: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Paul K. Lackey, Compensation Committee Chairman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Edgar Hendrix, Compensation Committee Member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Tom E. Maxwell, Compensation Committee Member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Jim W. Mogg, Compensation Committee Member</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00"/>
          </w:cols>
          <w:pgMar w:left="240" w:top="125" w:right="3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 COMPENSATION</w:t>
      </w:r>
    </w:p>
    <w:p>
      <w:pPr>
        <w:spacing w:after="0" w:line="17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following tables set forth certain information regarding compensation of the Chief Executive Officer, the Chief Financial Officer, and each of the Company’s three other most highly compensated executive officers who were serving as executive officers at June 30, 2015 for services in all capacities to the Company and its subsidiaries. Each of the executive officers listed below are referred to collectively as the Named Executive Officers, or “NEOs”.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with respect to the total compensation of the Named Executive Officers in fiscal 2015, 2014, and 2013:</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Change in</w:t>
            </w: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35"/>
        </w:trPr>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Pension Value</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and</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Nonqualified</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Non-Equity</w:t>
            </w: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Deferred</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4"/>
              </w:rPr>
              <w:t>Stock</w:t>
            </w: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Option</w:t>
            </w: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Incentive Plan</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All Other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180" w:type="dxa"/>
            <w:vAlign w:val="bottom"/>
          </w:tcPr>
          <w:p>
            <w:pPr>
              <w:ind w:left="820"/>
              <w:spacing w:after="0" w:line="135" w:lineRule="exact"/>
              <w:rPr>
                <w:sz w:val="20"/>
                <w:szCs w:val="20"/>
                <w:color w:val="auto"/>
              </w:rPr>
            </w:pPr>
            <w:r>
              <w:rPr>
                <w:rFonts w:ascii="Arial" w:cs="Arial" w:eastAsia="Arial" w:hAnsi="Arial"/>
                <w:sz w:val="13"/>
                <w:szCs w:val="13"/>
                <w:b w:val="1"/>
                <w:bCs w:val="1"/>
                <w:color w:val="auto"/>
              </w:rPr>
              <w:t>Name and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180"/>
              <w:spacing w:after="0" w:line="135" w:lineRule="exact"/>
              <w:rPr>
                <w:sz w:val="20"/>
                <w:szCs w:val="20"/>
                <w:color w:val="auto"/>
              </w:rPr>
            </w:pPr>
            <w:r>
              <w:rPr>
                <w:rFonts w:ascii="Arial" w:cs="Arial" w:eastAsia="Arial" w:hAnsi="Arial"/>
                <w:sz w:val="13"/>
                <w:szCs w:val="13"/>
                <w:b w:val="1"/>
                <w:bCs w:val="1"/>
                <w:color w:val="auto"/>
              </w:rPr>
              <w:t>Salary</w:t>
            </w:r>
          </w:p>
        </w:tc>
        <w:tc>
          <w:tcPr>
            <w:tcW w:w="72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Bonus</w:t>
            </w:r>
          </w:p>
        </w:tc>
        <w:tc>
          <w:tcPr>
            <w:tcW w:w="340" w:type="dxa"/>
            <w:vAlign w:val="bottom"/>
          </w:tcPr>
          <w:p>
            <w:pPr>
              <w:spacing w:after="0"/>
              <w:rPr>
                <w:sz w:val="11"/>
                <w:szCs w:val="11"/>
                <w:color w:val="auto"/>
              </w:rPr>
            </w:pPr>
          </w:p>
        </w:tc>
        <w:tc>
          <w:tcPr>
            <w:tcW w:w="11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Awards</w:t>
            </w: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Awards</w:t>
            </w: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Earnings</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320" w:type="dxa"/>
            <w:vAlign w:val="bottom"/>
          </w:tcPr>
          <w:p>
            <w:pPr>
              <w:spacing w:after="0"/>
              <w:rPr>
                <w:sz w:val="11"/>
                <w:szCs w:val="11"/>
                <w:color w:val="auto"/>
              </w:rPr>
            </w:pPr>
          </w:p>
        </w:tc>
        <w:tc>
          <w:tcPr>
            <w:tcW w:w="80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Total</w:t>
            </w:r>
          </w:p>
        </w:tc>
      </w:tr>
      <w:tr>
        <w:trPr>
          <w:trHeight w:val="174"/>
        </w:trPr>
        <w:tc>
          <w:tcPr>
            <w:tcW w:w="218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Principal Position</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Year</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w:t>
            </w:r>
          </w:p>
        </w:tc>
        <w:tc>
          <w:tcPr>
            <w:tcW w:w="3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(1)</w:t>
            </w:r>
          </w:p>
        </w:tc>
        <w:tc>
          <w:tcPr>
            <w:tcW w:w="3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 (1)</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(2)</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3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r>
      <w:tr>
        <w:trPr>
          <w:trHeight w:val="241"/>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John R. Hewitt</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2015</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729,904</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1,406,665</w:t>
            </w:r>
          </w:p>
        </w:tc>
        <w:tc>
          <w:tcPr>
            <w:tcW w:w="3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203,379</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25,276</w:t>
            </w:r>
          </w:p>
        </w:tc>
        <w:tc>
          <w:tcPr>
            <w:tcW w:w="3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7"/>
              </w:rPr>
              <w:t>(3)</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2,365,224</w:t>
            </w:r>
          </w:p>
        </w:tc>
      </w:tr>
      <w:tr>
        <w:trPr>
          <w:trHeight w:val="270"/>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Chief Executive Officer</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2014</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644,423</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871,472</w:t>
            </w:r>
          </w:p>
        </w:tc>
        <w:tc>
          <w:tcPr>
            <w:tcW w:w="3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1,050,545</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26,258</w:t>
            </w:r>
          </w:p>
        </w:tc>
        <w:tc>
          <w:tcPr>
            <w:tcW w:w="3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7"/>
              </w:rPr>
              <w:t>(3)</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2,592,698</w:t>
            </w:r>
          </w:p>
        </w:tc>
      </w:tr>
      <w:tr>
        <w:trPr>
          <w:trHeight w:val="270"/>
        </w:trPr>
        <w:tc>
          <w:tcPr>
            <w:tcW w:w="2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2013</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593,365</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685,364</w:t>
            </w:r>
          </w:p>
        </w:tc>
        <w:tc>
          <w:tcPr>
            <w:tcW w:w="3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392,773</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14,077</w:t>
            </w:r>
          </w:p>
        </w:tc>
        <w:tc>
          <w:tcPr>
            <w:tcW w:w="3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7"/>
              </w:rPr>
              <w:t>(3)</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1,685,579</w:t>
            </w:r>
          </w:p>
        </w:tc>
      </w:tr>
      <w:tr>
        <w:trPr>
          <w:trHeight w:val="286"/>
        </w:trPr>
        <w:tc>
          <w:tcPr>
            <w:tcW w:w="2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54"/>
        </w:trPr>
        <w:tc>
          <w:tcPr>
            <w:tcW w:w="2180" w:type="dxa"/>
            <w:vAlign w:val="bottom"/>
          </w:tcPr>
          <w:p>
            <w:pPr>
              <w:ind w:left="40"/>
              <w:spacing w:after="0"/>
              <w:rPr>
                <w:sz w:val="20"/>
                <w:szCs w:val="20"/>
                <w:color w:val="auto"/>
              </w:rPr>
            </w:pPr>
            <w:r>
              <w:rPr>
                <w:rFonts w:ascii="Arial" w:cs="Arial" w:eastAsia="Arial" w:hAnsi="Arial"/>
                <w:sz w:val="13"/>
                <w:szCs w:val="13"/>
                <w:color w:val="auto"/>
              </w:rPr>
              <w:t>Joseph F. Montalbano</w:t>
            </w:r>
          </w:p>
        </w:tc>
        <w:tc>
          <w:tcPr>
            <w:tcW w:w="580" w:type="dxa"/>
            <w:vAlign w:val="bottom"/>
            <w:gridSpan w:val="2"/>
          </w:tcPr>
          <w:p>
            <w:pPr>
              <w:ind w:left="220"/>
              <w:spacing w:after="0"/>
              <w:rPr>
                <w:sz w:val="20"/>
                <w:szCs w:val="20"/>
                <w:color w:val="auto"/>
              </w:rPr>
            </w:pPr>
            <w:r>
              <w:rPr>
                <w:rFonts w:ascii="Arial" w:cs="Arial" w:eastAsia="Arial" w:hAnsi="Arial"/>
                <w:sz w:val="13"/>
                <w:szCs w:val="13"/>
                <w:color w:val="auto"/>
              </w:rPr>
              <w:t>2015</w:t>
            </w:r>
          </w:p>
        </w:tc>
        <w:tc>
          <w:tcPr>
            <w:tcW w:w="820" w:type="dxa"/>
            <w:vAlign w:val="bottom"/>
            <w:gridSpan w:val="2"/>
          </w:tcPr>
          <w:p>
            <w:pPr>
              <w:ind w:left="300"/>
              <w:spacing w:after="0"/>
              <w:rPr>
                <w:sz w:val="20"/>
                <w:szCs w:val="20"/>
                <w:color w:val="auto"/>
              </w:rPr>
            </w:pPr>
            <w:r>
              <w:rPr>
                <w:rFonts w:ascii="Arial" w:cs="Arial" w:eastAsia="Arial" w:hAnsi="Arial"/>
                <w:sz w:val="13"/>
                <w:szCs w:val="13"/>
                <w:color w:val="auto"/>
              </w:rPr>
              <w:t>467,740</w:t>
            </w:r>
          </w:p>
        </w:tc>
        <w:tc>
          <w:tcPr>
            <w:tcW w:w="12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443,085</w:t>
            </w:r>
          </w:p>
        </w:tc>
        <w:tc>
          <w:tcPr>
            <w:tcW w:w="320" w:type="dxa"/>
            <w:vAlign w:val="bottom"/>
          </w:tcPr>
          <w:p>
            <w:pPr>
              <w:spacing w:after="0"/>
              <w:rPr>
                <w:sz w:val="22"/>
                <w:szCs w:val="22"/>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73,417</w:t>
            </w:r>
          </w:p>
        </w:tc>
        <w:tc>
          <w:tcPr>
            <w:tcW w:w="100" w:type="dxa"/>
            <w:vAlign w:val="bottom"/>
          </w:tcPr>
          <w:p>
            <w:pPr>
              <w:spacing w:after="0"/>
              <w:rPr>
                <w:sz w:val="22"/>
                <w:szCs w:val="22"/>
                <w:color w:val="auto"/>
              </w:rPr>
            </w:pPr>
          </w:p>
        </w:tc>
        <w:tc>
          <w:tcPr>
            <w:tcW w:w="124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31,689</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w w:val="87"/>
              </w:rPr>
              <w:t>(3)</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1,015,931</w:t>
            </w:r>
          </w:p>
        </w:tc>
      </w:tr>
      <w:tr>
        <w:trPr>
          <w:trHeight w:val="270"/>
        </w:trPr>
        <w:tc>
          <w:tcPr>
            <w:tcW w:w="2180" w:type="dxa"/>
            <w:vAlign w:val="bottom"/>
          </w:tcPr>
          <w:p>
            <w:pPr>
              <w:ind w:left="40"/>
              <w:spacing w:after="0"/>
              <w:rPr>
                <w:sz w:val="20"/>
                <w:szCs w:val="20"/>
                <w:color w:val="auto"/>
              </w:rPr>
            </w:pPr>
            <w:r>
              <w:rPr>
                <w:rFonts w:ascii="Arial" w:cs="Arial" w:eastAsia="Arial" w:hAnsi="Arial"/>
                <w:sz w:val="13"/>
                <w:szCs w:val="13"/>
                <w:color w:val="auto"/>
              </w:rPr>
              <w:t>Chief Operating Officer</w:t>
            </w:r>
          </w:p>
        </w:tc>
        <w:tc>
          <w:tcPr>
            <w:tcW w:w="580" w:type="dxa"/>
            <w:vAlign w:val="bottom"/>
            <w:gridSpan w:val="2"/>
          </w:tcPr>
          <w:p>
            <w:pPr>
              <w:ind w:left="220"/>
              <w:spacing w:after="0"/>
              <w:rPr>
                <w:sz w:val="20"/>
                <w:szCs w:val="20"/>
                <w:color w:val="auto"/>
              </w:rPr>
            </w:pPr>
            <w:r>
              <w:rPr>
                <w:rFonts w:ascii="Arial" w:cs="Arial" w:eastAsia="Arial" w:hAnsi="Arial"/>
                <w:sz w:val="13"/>
                <w:szCs w:val="13"/>
                <w:color w:val="auto"/>
              </w:rPr>
              <w:t>2014</w:t>
            </w:r>
          </w:p>
        </w:tc>
        <w:tc>
          <w:tcPr>
            <w:tcW w:w="820" w:type="dxa"/>
            <w:vAlign w:val="bottom"/>
            <w:gridSpan w:val="2"/>
          </w:tcPr>
          <w:p>
            <w:pPr>
              <w:ind w:left="300"/>
              <w:spacing w:after="0"/>
              <w:rPr>
                <w:sz w:val="20"/>
                <w:szCs w:val="20"/>
                <w:color w:val="auto"/>
              </w:rPr>
            </w:pPr>
            <w:r>
              <w:rPr>
                <w:rFonts w:ascii="Arial" w:cs="Arial" w:eastAsia="Arial" w:hAnsi="Arial"/>
                <w:sz w:val="13"/>
                <w:szCs w:val="13"/>
                <w:color w:val="auto"/>
              </w:rPr>
              <w:t>443,665</w:t>
            </w:r>
          </w:p>
        </w:tc>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314,806</w:t>
            </w:r>
          </w:p>
        </w:tc>
        <w:tc>
          <w:tcPr>
            <w:tcW w:w="320" w:type="dxa"/>
            <w:vAlign w:val="bottom"/>
          </w:tcPr>
          <w:p>
            <w:pPr>
              <w:spacing w:after="0"/>
              <w:rPr>
                <w:sz w:val="23"/>
                <w:szCs w:val="23"/>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517,227</w:t>
            </w:r>
          </w:p>
        </w:tc>
        <w:tc>
          <w:tcPr>
            <w:tcW w:w="100" w:type="dxa"/>
            <w:vAlign w:val="bottom"/>
          </w:tcPr>
          <w:p>
            <w:pPr>
              <w:spacing w:after="0"/>
              <w:rPr>
                <w:sz w:val="23"/>
                <w:szCs w:val="23"/>
                <w:color w:val="auto"/>
              </w:rPr>
            </w:pPr>
          </w:p>
        </w:tc>
        <w:tc>
          <w:tcPr>
            <w:tcW w:w="124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29,711</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w w:val="87"/>
              </w:rPr>
              <w:t>(3)</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1,305,409</w:t>
            </w:r>
          </w:p>
        </w:tc>
      </w:tr>
      <w:tr>
        <w:trPr>
          <w:trHeight w:val="270"/>
        </w:trPr>
        <w:tc>
          <w:tcPr>
            <w:tcW w:w="2180" w:type="dxa"/>
            <w:vAlign w:val="bottom"/>
          </w:tcPr>
          <w:p>
            <w:pPr>
              <w:spacing w:after="0"/>
              <w:rPr>
                <w:sz w:val="23"/>
                <w:szCs w:val="23"/>
                <w:color w:val="auto"/>
              </w:rPr>
            </w:pPr>
          </w:p>
        </w:tc>
        <w:tc>
          <w:tcPr>
            <w:tcW w:w="580" w:type="dxa"/>
            <w:vAlign w:val="bottom"/>
            <w:gridSpan w:val="2"/>
          </w:tcPr>
          <w:p>
            <w:pPr>
              <w:ind w:left="220"/>
              <w:spacing w:after="0"/>
              <w:rPr>
                <w:sz w:val="20"/>
                <w:szCs w:val="20"/>
                <w:color w:val="auto"/>
              </w:rPr>
            </w:pPr>
            <w:r>
              <w:rPr>
                <w:rFonts w:ascii="Arial" w:cs="Arial" w:eastAsia="Arial" w:hAnsi="Arial"/>
                <w:sz w:val="13"/>
                <w:szCs w:val="13"/>
                <w:color w:val="auto"/>
              </w:rPr>
              <w:t>2013</w:t>
            </w:r>
          </w:p>
        </w:tc>
        <w:tc>
          <w:tcPr>
            <w:tcW w:w="820" w:type="dxa"/>
            <w:vAlign w:val="bottom"/>
            <w:gridSpan w:val="2"/>
          </w:tcPr>
          <w:p>
            <w:pPr>
              <w:ind w:left="300"/>
              <w:spacing w:after="0"/>
              <w:rPr>
                <w:sz w:val="20"/>
                <w:szCs w:val="20"/>
                <w:color w:val="auto"/>
              </w:rPr>
            </w:pPr>
            <w:r>
              <w:rPr>
                <w:rFonts w:ascii="Arial" w:cs="Arial" w:eastAsia="Arial" w:hAnsi="Arial"/>
                <w:sz w:val="13"/>
                <w:szCs w:val="13"/>
                <w:color w:val="auto"/>
              </w:rPr>
              <w:t>415,821</w:t>
            </w:r>
          </w:p>
        </w:tc>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303,573</w:t>
            </w:r>
          </w:p>
        </w:tc>
        <w:tc>
          <w:tcPr>
            <w:tcW w:w="320" w:type="dxa"/>
            <w:vAlign w:val="bottom"/>
          </w:tcPr>
          <w:p>
            <w:pPr>
              <w:spacing w:after="0"/>
              <w:rPr>
                <w:sz w:val="23"/>
                <w:szCs w:val="23"/>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191,857</w:t>
            </w:r>
          </w:p>
        </w:tc>
        <w:tc>
          <w:tcPr>
            <w:tcW w:w="100" w:type="dxa"/>
            <w:vAlign w:val="bottom"/>
          </w:tcPr>
          <w:p>
            <w:pPr>
              <w:spacing w:after="0"/>
              <w:rPr>
                <w:sz w:val="23"/>
                <w:szCs w:val="23"/>
                <w:color w:val="auto"/>
              </w:rPr>
            </w:pPr>
          </w:p>
        </w:tc>
        <w:tc>
          <w:tcPr>
            <w:tcW w:w="124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15,784</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w w:val="87"/>
              </w:rPr>
              <w:t>(3)</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927,035</w:t>
            </w:r>
          </w:p>
        </w:tc>
      </w:tr>
      <w:tr>
        <w:trPr>
          <w:trHeight w:val="286"/>
        </w:trPr>
        <w:tc>
          <w:tcPr>
            <w:tcW w:w="218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4"/>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Kevin S. Cavanah</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2015</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405,932</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391,499</w:t>
            </w:r>
          </w:p>
        </w:tc>
        <w:tc>
          <w:tcPr>
            <w:tcW w:w="3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63,750</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23,716</w:t>
            </w:r>
          </w:p>
        </w:tc>
        <w:tc>
          <w:tcPr>
            <w:tcW w:w="3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7"/>
              </w:rPr>
              <w:t>(3)</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884,897</w:t>
            </w:r>
          </w:p>
        </w:tc>
      </w:tr>
      <w:tr>
        <w:trPr>
          <w:trHeight w:val="270"/>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Chief Financial Officer</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2014</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350,191</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273,142</w:t>
            </w:r>
          </w:p>
        </w:tc>
        <w:tc>
          <w:tcPr>
            <w:tcW w:w="3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419,871</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19,426</w:t>
            </w:r>
          </w:p>
        </w:tc>
        <w:tc>
          <w:tcPr>
            <w:tcW w:w="3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7"/>
              </w:rPr>
              <w:t>(3)</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1,062,630</w:t>
            </w:r>
          </w:p>
        </w:tc>
      </w:tr>
      <w:tr>
        <w:trPr>
          <w:trHeight w:val="270"/>
        </w:trPr>
        <w:tc>
          <w:tcPr>
            <w:tcW w:w="2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2013</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293,149</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29,133</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(4)</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249,167</w:t>
            </w:r>
          </w:p>
        </w:tc>
        <w:tc>
          <w:tcPr>
            <w:tcW w:w="3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125,398</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12,276</w:t>
            </w:r>
          </w:p>
        </w:tc>
        <w:tc>
          <w:tcPr>
            <w:tcW w:w="3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7"/>
              </w:rPr>
              <w:t>(3)</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709,123</w:t>
            </w:r>
          </w:p>
        </w:tc>
      </w:tr>
      <w:tr>
        <w:trPr>
          <w:trHeight w:val="286"/>
        </w:trPr>
        <w:tc>
          <w:tcPr>
            <w:tcW w:w="2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54"/>
        </w:trPr>
        <w:tc>
          <w:tcPr>
            <w:tcW w:w="2180" w:type="dxa"/>
            <w:vAlign w:val="bottom"/>
          </w:tcPr>
          <w:p>
            <w:pPr>
              <w:ind w:left="40"/>
              <w:spacing w:after="0"/>
              <w:rPr>
                <w:sz w:val="20"/>
                <w:szCs w:val="20"/>
                <w:color w:val="auto"/>
              </w:rPr>
            </w:pPr>
            <w:r>
              <w:rPr>
                <w:rFonts w:ascii="Arial" w:cs="Arial" w:eastAsia="Arial" w:hAnsi="Arial"/>
                <w:sz w:val="13"/>
                <w:szCs w:val="13"/>
                <w:color w:val="auto"/>
              </w:rPr>
              <w:t>James P. Ryan</w:t>
            </w:r>
          </w:p>
        </w:tc>
        <w:tc>
          <w:tcPr>
            <w:tcW w:w="580" w:type="dxa"/>
            <w:vAlign w:val="bottom"/>
            <w:gridSpan w:val="2"/>
          </w:tcPr>
          <w:p>
            <w:pPr>
              <w:ind w:left="220"/>
              <w:spacing w:after="0"/>
              <w:rPr>
                <w:sz w:val="20"/>
                <w:szCs w:val="20"/>
                <w:color w:val="auto"/>
              </w:rPr>
            </w:pPr>
            <w:r>
              <w:rPr>
                <w:rFonts w:ascii="Arial" w:cs="Arial" w:eastAsia="Arial" w:hAnsi="Arial"/>
                <w:sz w:val="13"/>
                <w:szCs w:val="13"/>
                <w:color w:val="auto"/>
              </w:rPr>
              <w:t>2015</w:t>
            </w:r>
          </w:p>
        </w:tc>
        <w:tc>
          <w:tcPr>
            <w:tcW w:w="820" w:type="dxa"/>
            <w:vAlign w:val="bottom"/>
            <w:gridSpan w:val="2"/>
          </w:tcPr>
          <w:p>
            <w:pPr>
              <w:ind w:left="300"/>
              <w:spacing w:after="0"/>
              <w:rPr>
                <w:sz w:val="20"/>
                <w:szCs w:val="20"/>
                <w:color w:val="auto"/>
              </w:rPr>
            </w:pPr>
            <w:r>
              <w:rPr>
                <w:rFonts w:ascii="Arial" w:cs="Arial" w:eastAsia="Arial" w:hAnsi="Arial"/>
                <w:sz w:val="13"/>
                <w:szCs w:val="13"/>
                <w:color w:val="auto"/>
              </w:rPr>
              <w:t>354,546</w:t>
            </w:r>
          </w:p>
        </w:tc>
        <w:tc>
          <w:tcPr>
            <w:tcW w:w="12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78,042</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(6)</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268,709</w:t>
            </w:r>
          </w:p>
        </w:tc>
        <w:tc>
          <w:tcPr>
            <w:tcW w:w="320" w:type="dxa"/>
            <w:vAlign w:val="bottom"/>
          </w:tcPr>
          <w:p>
            <w:pPr>
              <w:spacing w:after="0"/>
              <w:rPr>
                <w:sz w:val="22"/>
                <w:szCs w:val="22"/>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61,150</w:t>
            </w:r>
          </w:p>
        </w:tc>
        <w:tc>
          <w:tcPr>
            <w:tcW w:w="100" w:type="dxa"/>
            <w:vAlign w:val="bottom"/>
          </w:tcPr>
          <w:p>
            <w:pPr>
              <w:spacing w:after="0"/>
              <w:rPr>
                <w:sz w:val="22"/>
                <w:szCs w:val="22"/>
                <w:color w:val="auto"/>
              </w:rPr>
            </w:pPr>
          </w:p>
        </w:tc>
        <w:tc>
          <w:tcPr>
            <w:tcW w:w="124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27,123</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w w:val="87"/>
              </w:rPr>
              <w:t>(3)</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789,570</w:t>
            </w:r>
          </w:p>
        </w:tc>
      </w:tr>
      <w:tr>
        <w:trPr>
          <w:trHeight w:val="270"/>
        </w:trPr>
        <w:tc>
          <w:tcPr>
            <w:tcW w:w="2180" w:type="dxa"/>
            <w:vAlign w:val="bottom"/>
          </w:tcPr>
          <w:p>
            <w:pPr>
              <w:ind w:left="40"/>
              <w:spacing w:after="0"/>
              <w:rPr>
                <w:sz w:val="20"/>
                <w:szCs w:val="20"/>
                <w:color w:val="auto"/>
              </w:rPr>
            </w:pPr>
            <w:r>
              <w:rPr>
                <w:rFonts w:ascii="Arial" w:cs="Arial" w:eastAsia="Arial" w:hAnsi="Arial"/>
                <w:sz w:val="13"/>
                <w:szCs w:val="13"/>
                <w:color w:val="auto"/>
              </w:rPr>
              <w:t>President—Matrix Service</w:t>
            </w:r>
          </w:p>
        </w:tc>
        <w:tc>
          <w:tcPr>
            <w:tcW w:w="580" w:type="dxa"/>
            <w:vAlign w:val="bottom"/>
            <w:gridSpan w:val="2"/>
          </w:tcPr>
          <w:p>
            <w:pPr>
              <w:ind w:left="220"/>
              <w:spacing w:after="0"/>
              <w:rPr>
                <w:sz w:val="20"/>
                <w:szCs w:val="20"/>
                <w:color w:val="auto"/>
              </w:rPr>
            </w:pPr>
            <w:r>
              <w:rPr>
                <w:rFonts w:ascii="Arial" w:cs="Arial" w:eastAsia="Arial" w:hAnsi="Arial"/>
                <w:sz w:val="13"/>
                <w:szCs w:val="13"/>
                <w:color w:val="auto"/>
              </w:rPr>
              <w:t>2014</w:t>
            </w:r>
          </w:p>
        </w:tc>
        <w:tc>
          <w:tcPr>
            <w:tcW w:w="820" w:type="dxa"/>
            <w:vAlign w:val="bottom"/>
            <w:gridSpan w:val="2"/>
          </w:tcPr>
          <w:p>
            <w:pPr>
              <w:ind w:left="300"/>
              <w:spacing w:after="0"/>
              <w:rPr>
                <w:sz w:val="20"/>
                <w:szCs w:val="20"/>
                <w:color w:val="auto"/>
              </w:rPr>
            </w:pPr>
            <w:r>
              <w:rPr>
                <w:rFonts w:ascii="Arial" w:cs="Arial" w:eastAsia="Arial" w:hAnsi="Arial"/>
                <w:sz w:val="13"/>
                <w:szCs w:val="13"/>
                <w:color w:val="auto"/>
              </w:rPr>
              <w:t>338,997</w:t>
            </w:r>
          </w:p>
        </w:tc>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261,546</w:t>
            </w:r>
          </w:p>
        </w:tc>
        <w:tc>
          <w:tcPr>
            <w:tcW w:w="320" w:type="dxa"/>
            <w:vAlign w:val="bottom"/>
          </w:tcPr>
          <w:p>
            <w:pPr>
              <w:spacing w:after="0"/>
              <w:rPr>
                <w:sz w:val="23"/>
                <w:szCs w:val="23"/>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386,127</w:t>
            </w:r>
          </w:p>
        </w:tc>
        <w:tc>
          <w:tcPr>
            <w:tcW w:w="100" w:type="dxa"/>
            <w:vAlign w:val="bottom"/>
          </w:tcPr>
          <w:p>
            <w:pPr>
              <w:spacing w:after="0"/>
              <w:rPr>
                <w:sz w:val="23"/>
                <w:szCs w:val="23"/>
                <w:color w:val="auto"/>
              </w:rPr>
            </w:pPr>
          </w:p>
        </w:tc>
        <w:tc>
          <w:tcPr>
            <w:tcW w:w="124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20,199</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w w:val="87"/>
              </w:rPr>
              <w:t>(3)</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1,006,869</w:t>
            </w:r>
          </w:p>
        </w:tc>
      </w:tr>
      <w:tr>
        <w:trPr>
          <w:trHeight w:val="270"/>
        </w:trPr>
        <w:tc>
          <w:tcPr>
            <w:tcW w:w="2180" w:type="dxa"/>
            <w:vAlign w:val="bottom"/>
          </w:tcPr>
          <w:p>
            <w:pPr>
              <w:spacing w:after="0"/>
              <w:rPr>
                <w:sz w:val="23"/>
                <w:szCs w:val="23"/>
                <w:color w:val="auto"/>
              </w:rPr>
            </w:pPr>
          </w:p>
        </w:tc>
        <w:tc>
          <w:tcPr>
            <w:tcW w:w="580" w:type="dxa"/>
            <w:vAlign w:val="bottom"/>
            <w:gridSpan w:val="2"/>
          </w:tcPr>
          <w:p>
            <w:pPr>
              <w:ind w:left="220"/>
              <w:spacing w:after="0"/>
              <w:rPr>
                <w:sz w:val="20"/>
                <w:szCs w:val="20"/>
                <w:color w:val="auto"/>
              </w:rPr>
            </w:pPr>
            <w:r>
              <w:rPr>
                <w:rFonts w:ascii="Arial" w:cs="Arial" w:eastAsia="Arial" w:hAnsi="Arial"/>
                <w:sz w:val="13"/>
                <w:szCs w:val="13"/>
                <w:color w:val="auto"/>
              </w:rPr>
              <w:t>2013</w:t>
            </w:r>
          </w:p>
        </w:tc>
        <w:tc>
          <w:tcPr>
            <w:tcW w:w="820" w:type="dxa"/>
            <w:vAlign w:val="bottom"/>
            <w:gridSpan w:val="2"/>
          </w:tcPr>
          <w:p>
            <w:pPr>
              <w:ind w:left="300"/>
              <w:spacing w:after="0"/>
              <w:rPr>
                <w:sz w:val="20"/>
                <w:szCs w:val="20"/>
                <w:color w:val="auto"/>
              </w:rPr>
            </w:pPr>
            <w:r>
              <w:rPr>
                <w:rFonts w:ascii="Arial" w:cs="Arial" w:eastAsia="Arial" w:hAnsi="Arial"/>
                <w:sz w:val="13"/>
                <w:szCs w:val="13"/>
                <w:color w:val="auto"/>
              </w:rPr>
              <w:t>327,179</w:t>
            </w:r>
          </w:p>
        </w:tc>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249,167</w:t>
            </w:r>
          </w:p>
        </w:tc>
        <w:tc>
          <w:tcPr>
            <w:tcW w:w="320" w:type="dxa"/>
            <w:vAlign w:val="bottom"/>
          </w:tcPr>
          <w:p>
            <w:pPr>
              <w:spacing w:after="0"/>
              <w:rPr>
                <w:sz w:val="23"/>
                <w:szCs w:val="23"/>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124,255</w:t>
            </w:r>
          </w:p>
        </w:tc>
        <w:tc>
          <w:tcPr>
            <w:tcW w:w="100" w:type="dxa"/>
            <w:vAlign w:val="bottom"/>
          </w:tcPr>
          <w:p>
            <w:pPr>
              <w:spacing w:after="0"/>
              <w:rPr>
                <w:sz w:val="23"/>
                <w:szCs w:val="23"/>
                <w:color w:val="auto"/>
              </w:rPr>
            </w:pPr>
          </w:p>
        </w:tc>
        <w:tc>
          <w:tcPr>
            <w:tcW w:w="124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11,481</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w w:val="87"/>
              </w:rPr>
              <w:t>(3)</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712,082</w:t>
            </w:r>
          </w:p>
        </w:tc>
      </w:tr>
      <w:tr>
        <w:trPr>
          <w:trHeight w:val="286"/>
        </w:trPr>
        <w:tc>
          <w:tcPr>
            <w:tcW w:w="218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Jason W. Turner</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2015</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336,887</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258,116</w:t>
            </w:r>
          </w:p>
        </w:tc>
        <w:tc>
          <w:tcPr>
            <w:tcW w:w="3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29,788</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21,274</w:t>
            </w:r>
          </w:p>
        </w:tc>
        <w:tc>
          <w:tcPr>
            <w:tcW w:w="3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7"/>
              </w:rPr>
              <w:t>(3)</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646,065</w:t>
            </w:r>
          </w:p>
        </w:tc>
      </w:tr>
      <w:tr>
        <w:trPr>
          <w:trHeight w:val="148"/>
        </w:trPr>
        <w:tc>
          <w:tcPr>
            <w:tcW w:w="2180" w:type="dxa"/>
            <w:vAlign w:val="bottom"/>
          </w:tcPr>
          <w:p>
            <w:pPr>
              <w:ind w:left="40"/>
              <w:spacing w:after="0" w:line="148" w:lineRule="exact"/>
              <w:rPr>
                <w:sz w:val="20"/>
                <w:szCs w:val="20"/>
                <w:color w:val="auto"/>
              </w:rPr>
            </w:pPr>
            <w:r>
              <w:rPr>
                <w:rFonts w:ascii="Arial" w:cs="Arial" w:eastAsia="Arial" w:hAnsi="Arial"/>
                <w:sz w:val="13"/>
                <w:szCs w:val="13"/>
                <w:color w:val="auto"/>
              </w:rPr>
              <w:t>President—Matrix North American</w:t>
            </w:r>
          </w:p>
        </w:tc>
        <w:tc>
          <w:tcPr>
            <w:tcW w:w="580" w:type="dxa"/>
            <w:vAlign w:val="bottom"/>
            <w:gridSpan w:val="2"/>
            <w:shd w:val="clear" w:color="auto" w:fill="CCEEFF"/>
          </w:tcPr>
          <w:p>
            <w:pPr>
              <w:ind w:left="220"/>
              <w:spacing w:after="0" w:line="148" w:lineRule="exact"/>
              <w:rPr>
                <w:sz w:val="20"/>
                <w:szCs w:val="20"/>
                <w:color w:val="auto"/>
              </w:rPr>
            </w:pPr>
            <w:r>
              <w:rPr>
                <w:rFonts w:ascii="Arial" w:cs="Arial" w:eastAsia="Arial" w:hAnsi="Arial"/>
                <w:sz w:val="13"/>
                <w:szCs w:val="13"/>
                <w:color w:val="auto"/>
              </w:rPr>
              <w:t>2014</w:t>
            </w:r>
          </w:p>
        </w:tc>
        <w:tc>
          <w:tcPr>
            <w:tcW w:w="820" w:type="dxa"/>
            <w:vAlign w:val="bottom"/>
            <w:gridSpan w:val="2"/>
            <w:shd w:val="clear" w:color="auto" w:fill="CCEEFF"/>
          </w:tcPr>
          <w:p>
            <w:pPr>
              <w:ind w:left="300"/>
              <w:spacing w:after="0" w:line="148" w:lineRule="exact"/>
              <w:rPr>
                <w:sz w:val="20"/>
                <w:szCs w:val="20"/>
                <w:color w:val="auto"/>
              </w:rPr>
            </w:pPr>
            <w:r>
              <w:rPr>
                <w:rFonts w:ascii="Arial" w:cs="Arial" w:eastAsia="Arial" w:hAnsi="Arial"/>
                <w:sz w:val="13"/>
                <w:szCs w:val="13"/>
                <w:color w:val="auto"/>
              </w:rPr>
              <w:t>283,106</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75,000</w:t>
            </w:r>
          </w:p>
        </w:tc>
        <w:tc>
          <w:tcPr>
            <w:tcW w:w="340" w:type="dxa"/>
            <w:vAlign w:val="bottom"/>
            <w:shd w:val="clear" w:color="auto" w:fill="CCEEFF"/>
          </w:tcPr>
          <w:p>
            <w:pPr>
              <w:jc w:val="right"/>
              <w:ind w:right="117"/>
              <w:spacing w:after="0" w:line="148" w:lineRule="exact"/>
              <w:rPr>
                <w:sz w:val="20"/>
                <w:szCs w:val="20"/>
                <w:color w:val="auto"/>
              </w:rPr>
            </w:pPr>
            <w:r>
              <w:rPr>
                <w:rFonts w:ascii="Arial" w:cs="Arial" w:eastAsia="Arial" w:hAnsi="Arial"/>
                <w:sz w:val="13"/>
                <w:szCs w:val="13"/>
                <w:color w:val="auto"/>
                <w:w w:val="87"/>
              </w:rPr>
              <w:t>(5)</w:t>
            </w:r>
          </w:p>
        </w:tc>
        <w:tc>
          <w:tcPr>
            <w:tcW w:w="82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228,496</w:t>
            </w: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8"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236,957</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880"/>
              <w:spacing w:after="0" w:line="148"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13,143</w:t>
            </w:r>
          </w:p>
        </w:tc>
        <w:tc>
          <w:tcPr>
            <w:tcW w:w="320" w:type="dxa"/>
            <w:vAlign w:val="bottom"/>
            <w:shd w:val="clear" w:color="auto" w:fill="CCEEFF"/>
          </w:tcPr>
          <w:p>
            <w:pPr>
              <w:jc w:val="right"/>
              <w:ind w:right="97"/>
              <w:spacing w:after="0" w:line="148" w:lineRule="exact"/>
              <w:rPr>
                <w:sz w:val="20"/>
                <w:szCs w:val="20"/>
                <w:color w:val="auto"/>
              </w:rPr>
            </w:pPr>
            <w:r>
              <w:rPr>
                <w:rFonts w:ascii="Arial" w:cs="Arial" w:eastAsia="Arial" w:hAnsi="Arial"/>
                <w:sz w:val="13"/>
                <w:szCs w:val="13"/>
                <w:color w:val="auto"/>
                <w:w w:val="87"/>
              </w:rPr>
              <w:t>(3)</w:t>
            </w:r>
          </w:p>
        </w:tc>
        <w:tc>
          <w:tcPr>
            <w:tcW w:w="8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836,702</w:t>
            </w:r>
          </w:p>
        </w:tc>
      </w:tr>
      <w:tr>
        <w:trPr>
          <w:trHeight w:val="176"/>
        </w:trPr>
        <w:tc>
          <w:tcPr>
            <w:tcW w:w="2180" w:type="dxa"/>
            <w:vAlign w:val="bottom"/>
          </w:tcPr>
          <w:p>
            <w:pPr>
              <w:ind w:left="40"/>
              <w:spacing w:after="0"/>
              <w:rPr>
                <w:sz w:val="20"/>
                <w:szCs w:val="20"/>
                <w:color w:val="auto"/>
              </w:rPr>
            </w:pPr>
            <w:r>
              <w:rPr>
                <w:rFonts w:ascii="Arial" w:cs="Arial" w:eastAsia="Arial" w:hAnsi="Arial"/>
                <w:sz w:val="13"/>
                <w:szCs w:val="13"/>
                <w:color w:val="auto"/>
              </w:rPr>
              <w:t>Construction</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29475" cy="548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548640"/>
                    </a:xfrm>
                    <a:prstGeom prst="rect">
                      <a:avLst/>
                    </a:prstGeom>
                    <a:noFill/>
                  </pic:spPr>
                </pic:pic>
              </a:graphicData>
            </a:graphic>
          </wp:anchor>
        </w:drawing>
      </w:r>
    </w:p>
    <w:p>
      <w:pPr>
        <w:spacing w:after="0" w:line="231" w:lineRule="exact"/>
        <w:rPr>
          <w:sz w:val="20"/>
          <w:szCs w:val="20"/>
          <w:color w:val="auto"/>
        </w:rPr>
      </w:pPr>
    </w:p>
    <w:p>
      <w:pPr>
        <w:ind w:left="280" w:right="40" w:hanging="272"/>
        <w:spacing w:after="0" w:line="252" w:lineRule="auto"/>
        <w:tabs>
          <w:tab w:leader="none" w:pos="2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amounts shown represent the grant date fair value for awards granted during the period determined in accordance with ASC718 – Compensation – Stock Compensation. A portion of the awards that were granted in fiscal years 2013, 2014, and 2015 are subject to certain market conditions; accordingly, the grant date fair value of these awards is based upon the probable outcome of those conditions. Amounts have not been adjusted for expected forfeitures. For further information on the assumptions used in the valuation of these awards see Note 1 and Note 10 included in the Notes to Consolidated Financial Statements included in our fiscal 2015 Annual Report on Form 10-K.</w:t>
      </w:r>
    </w:p>
    <w:p>
      <w:pPr>
        <w:spacing w:after="0" w:line="134" w:lineRule="exact"/>
        <w:rPr>
          <w:rFonts w:ascii="Arial" w:cs="Arial" w:eastAsia="Arial" w:hAnsi="Arial"/>
          <w:sz w:val="14"/>
          <w:szCs w:val="14"/>
          <w:color w:val="auto"/>
        </w:rPr>
      </w:pPr>
    </w:p>
    <w:p>
      <w:pPr>
        <w:ind w:left="280" w:right="80" w:hanging="272"/>
        <w:spacing w:after="0" w:line="257" w:lineRule="auto"/>
        <w:tabs>
          <w:tab w:leader="none" w:pos="2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amounts payable to Named Executive Officers under the annual/short-term incentive compensation plan for the applicable fiscal year performance and for the cash-based portion of the long-term incentive award that was earned in the applicable fiscal year. Since no amounts were paid for fiscal 2015 under the annual/short-term incentive compensation plan, the amounts shown in this column for fiscal 2015 solely represent amounts earned under the cash-based long-term incentive incentive award.</w:t>
      </w:r>
    </w:p>
    <w:p>
      <w:pPr>
        <w:spacing w:after="0" w:line="131" w:lineRule="exact"/>
        <w:rPr>
          <w:rFonts w:ascii="Arial" w:cs="Arial" w:eastAsia="Arial" w:hAnsi="Arial"/>
          <w:sz w:val="14"/>
          <w:szCs w:val="14"/>
          <w:color w:val="auto"/>
        </w:rPr>
      </w:pPr>
    </w:p>
    <w:p>
      <w:pPr>
        <w:ind w:left="280" w:hanging="272"/>
        <w:spacing w:after="0" w:line="252" w:lineRule="auto"/>
        <w:tabs>
          <w:tab w:leader="none" w:pos="2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amounts paid by us on behalf of the Named Executive Officer for life insurance and disability premiums and matching contributions to the Named Executive Officer’s account in our qualified 401(k) plan. Life insurance and disability premiums in fiscal 2015 totaled $17,326, $20,839, $12,227, $16,382, and $9,746 for Messrs. Hewitt, Montalbano, Cavanah, Ryan, and Turner, respectively. Matching contributions to our 401(k) plan in fiscal 2015 totaled $7,950, $10,850, $11,489, $10,741, and $11,528 for Messrs. Hewitt, Montalbano, Cavanah, Ryan, and Turner, respectively.</w:t>
      </w:r>
    </w:p>
    <w:p>
      <w:pPr>
        <w:spacing w:after="0" w:line="134" w:lineRule="exact"/>
        <w:rPr>
          <w:rFonts w:ascii="Arial" w:cs="Arial" w:eastAsia="Arial" w:hAnsi="Arial"/>
          <w:sz w:val="14"/>
          <w:szCs w:val="14"/>
          <w:color w:val="auto"/>
        </w:rPr>
      </w:pPr>
    </w:p>
    <w:p>
      <w:pPr>
        <w:ind w:left="340" w:right="120" w:hanging="251"/>
        <w:spacing w:after="0" w:line="273" w:lineRule="auto"/>
        <w:tabs>
          <w:tab w:leader="none" w:pos="301" w:val="left"/>
        </w:tabs>
        <w:numPr>
          <w:ilvl w:val="1"/>
          <w:numId w:val="25"/>
        </w:numPr>
        <w:rPr>
          <w:rFonts w:ascii="Arial" w:cs="Arial" w:eastAsia="Arial" w:hAnsi="Arial"/>
          <w:sz w:val="14"/>
          <w:szCs w:val="14"/>
          <w:color w:val="auto"/>
        </w:rPr>
      </w:pPr>
      <w:r>
        <w:rPr>
          <w:rFonts w:ascii="Arial" w:cs="Arial" w:eastAsia="Arial" w:hAnsi="Arial"/>
          <w:sz w:val="14"/>
          <w:szCs w:val="14"/>
          <w:color w:val="auto"/>
        </w:rPr>
        <w:t>In addition to the bonuses paid under the fiscal 2013 annual/short-term incentive compensation plan, Mr. Hewitt recommended, and the Committee approved a separate discretionary bonus of $29,133 for Mr. Cavanah for his extraordinary efforts in fiscal 2013.</w:t>
      </w:r>
    </w:p>
    <w:p>
      <w:pPr>
        <w:spacing w:after="0" w:line="119" w:lineRule="exact"/>
        <w:rPr>
          <w:rFonts w:ascii="Arial" w:cs="Arial" w:eastAsia="Arial" w:hAnsi="Arial"/>
          <w:sz w:val="14"/>
          <w:szCs w:val="14"/>
          <w:color w:val="auto"/>
        </w:rPr>
      </w:pPr>
    </w:p>
    <w:p>
      <w:pPr>
        <w:ind w:left="300" w:hanging="211"/>
        <w:spacing w:after="0"/>
        <w:tabs>
          <w:tab w:leader="none" w:pos="300" w:val="left"/>
        </w:tabs>
        <w:numPr>
          <w:ilvl w:val="1"/>
          <w:numId w:val="25"/>
        </w:numPr>
        <w:rPr>
          <w:rFonts w:ascii="Arial" w:cs="Arial" w:eastAsia="Arial" w:hAnsi="Arial"/>
          <w:sz w:val="14"/>
          <w:szCs w:val="14"/>
          <w:color w:val="auto"/>
        </w:rPr>
      </w:pPr>
      <w:r>
        <w:rPr>
          <w:rFonts w:ascii="Arial" w:cs="Arial" w:eastAsia="Arial" w:hAnsi="Arial"/>
          <w:sz w:val="14"/>
          <w:szCs w:val="14"/>
          <w:color w:val="auto"/>
        </w:rPr>
        <w:t>Mr. Turner was paid a bonus for his efforts in the successful closing of the KNAC acquisition during fiscal 2014.</w:t>
      </w:r>
    </w:p>
    <w:p>
      <w:pPr>
        <w:spacing w:after="0" w:line="163" w:lineRule="exact"/>
        <w:rPr>
          <w:rFonts w:ascii="Arial" w:cs="Arial" w:eastAsia="Arial" w:hAnsi="Arial"/>
          <w:sz w:val="14"/>
          <w:szCs w:val="14"/>
          <w:color w:val="auto"/>
        </w:rPr>
      </w:pPr>
    </w:p>
    <w:p>
      <w:pPr>
        <w:ind w:left="340" w:right="120" w:hanging="251"/>
        <w:spacing w:after="0" w:line="257" w:lineRule="auto"/>
        <w:tabs>
          <w:tab w:leader="none" w:pos="340" w:val="left"/>
        </w:tabs>
        <w:numPr>
          <w:ilvl w:val="1"/>
          <w:numId w:val="25"/>
        </w:numPr>
        <w:rPr>
          <w:rFonts w:ascii="Arial" w:cs="Arial" w:eastAsia="Arial" w:hAnsi="Arial"/>
          <w:sz w:val="14"/>
          <w:szCs w:val="14"/>
          <w:color w:val="auto"/>
        </w:rPr>
      </w:pPr>
      <w:r>
        <w:rPr>
          <w:rFonts w:ascii="Arial" w:cs="Arial" w:eastAsia="Arial" w:hAnsi="Arial"/>
          <w:sz w:val="14"/>
          <w:szCs w:val="14"/>
          <w:color w:val="auto"/>
        </w:rPr>
        <w:t>In recognition of Mr. Ryan's strong contribution to his operating company achieving its budgeted operating income in fiscal 2015, Mr. Ryan received a discretionary short-term incentive compensation bonus of $78,042, or 21.8% of his base salary at June 30, 2015. Mr. Ryan's bonus was based on record financial performance for his operating company. He did not receive any bonus attributable to the safety, consolidated operating income or ROIC portions of the plan.</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125" w:right="25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During Fiscal 2015</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grants of plan-based awards in fiscal 2015 to the Named Executive Officers: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4"/>
              </w:rPr>
              <w:t>All Other</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20" w:type="dxa"/>
            <w:vAlign w:val="bottom"/>
            <w:gridSpan w:val="5"/>
            <w:vMerge w:val="restart"/>
          </w:tcPr>
          <w:p>
            <w:pPr>
              <w:jc w:val="center"/>
              <w:spacing w:after="0"/>
              <w:rPr>
                <w:sz w:val="20"/>
                <w:szCs w:val="20"/>
                <w:color w:val="auto"/>
              </w:rPr>
            </w:pPr>
            <w:r>
              <w:rPr>
                <w:rFonts w:ascii="Arial" w:cs="Arial" w:eastAsia="Arial" w:hAnsi="Arial"/>
                <w:sz w:val="10"/>
                <w:szCs w:val="10"/>
                <w:b w:val="1"/>
                <w:bCs w:val="1"/>
                <w:color w:val="auto"/>
                <w:w w:val="88"/>
              </w:rPr>
              <w:t>Estimated Possible Payouts Under</w:t>
            </w:r>
          </w:p>
        </w:tc>
        <w:tc>
          <w:tcPr>
            <w:tcW w:w="360" w:type="dxa"/>
            <w:vAlign w:val="bottom"/>
          </w:tcPr>
          <w:p>
            <w:pPr>
              <w:spacing w:after="0"/>
              <w:rPr>
                <w:sz w:val="10"/>
                <w:szCs w:val="10"/>
                <w:color w:val="auto"/>
              </w:rPr>
            </w:pPr>
          </w:p>
        </w:tc>
        <w:tc>
          <w:tcPr>
            <w:tcW w:w="2140" w:type="dxa"/>
            <w:vAlign w:val="bottom"/>
            <w:gridSpan w:val="7"/>
            <w:vMerge w:val="restart"/>
          </w:tcPr>
          <w:p>
            <w:pPr>
              <w:jc w:val="center"/>
              <w:spacing w:after="0"/>
              <w:rPr>
                <w:sz w:val="20"/>
                <w:szCs w:val="20"/>
                <w:color w:val="auto"/>
              </w:rPr>
            </w:pPr>
            <w:r>
              <w:rPr>
                <w:rFonts w:ascii="Arial" w:cs="Arial" w:eastAsia="Arial" w:hAnsi="Arial"/>
                <w:sz w:val="10"/>
                <w:szCs w:val="10"/>
                <w:b w:val="1"/>
                <w:bCs w:val="1"/>
                <w:color w:val="auto"/>
                <w:w w:val="90"/>
              </w:rPr>
              <w:t>Estimated Future Payouts Under</w:t>
            </w:r>
          </w:p>
        </w:tc>
        <w:tc>
          <w:tcPr>
            <w:tcW w:w="120" w:type="dxa"/>
            <w:vAlign w:val="bottom"/>
          </w:tcPr>
          <w:p>
            <w:pPr>
              <w:spacing w:after="0"/>
              <w:rPr>
                <w:sz w:val="10"/>
                <w:szCs w:val="1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3"/>
              </w:rPr>
              <w:t>All</w:t>
            </w:r>
          </w:p>
        </w:tc>
        <w:tc>
          <w:tcPr>
            <w:tcW w:w="8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Option</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291"/>
              <w:spacing w:after="0"/>
              <w:rPr>
                <w:sz w:val="20"/>
                <w:szCs w:val="20"/>
                <w:color w:val="auto"/>
              </w:rPr>
            </w:pPr>
            <w:r>
              <w:rPr>
                <w:rFonts w:ascii="Arial" w:cs="Arial" w:eastAsia="Arial" w:hAnsi="Arial"/>
                <w:sz w:val="10"/>
                <w:szCs w:val="10"/>
                <w:b w:val="1"/>
                <w:bCs w:val="1"/>
                <w:color w:val="auto"/>
                <w:w w:val="93"/>
              </w:rPr>
              <w:t>Grant Date</w:t>
            </w:r>
          </w:p>
        </w:tc>
        <w:tc>
          <w:tcPr>
            <w:tcW w:w="0" w:type="dxa"/>
            <w:vAlign w:val="bottom"/>
          </w:tcPr>
          <w:p>
            <w:pPr>
              <w:spacing w:after="0"/>
              <w:rPr>
                <w:sz w:val="1"/>
                <w:szCs w:val="1"/>
                <w:color w:val="auto"/>
              </w:rPr>
            </w:pPr>
          </w:p>
        </w:tc>
      </w:tr>
      <w:tr>
        <w:trPr>
          <w:trHeight w:val="41"/>
        </w:trPr>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20" w:type="dxa"/>
            <w:vAlign w:val="bottom"/>
            <w:gridSpan w:val="5"/>
            <w:vMerge w:val="continue"/>
          </w:tcPr>
          <w:p>
            <w:pPr>
              <w:spacing w:after="0"/>
              <w:rPr>
                <w:sz w:val="3"/>
                <w:szCs w:val="3"/>
                <w:color w:val="auto"/>
              </w:rPr>
            </w:pPr>
          </w:p>
        </w:tc>
        <w:tc>
          <w:tcPr>
            <w:tcW w:w="360" w:type="dxa"/>
            <w:vAlign w:val="bottom"/>
          </w:tcPr>
          <w:p>
            <w:pPr>
              <w:spacing w:after="0"/>
              <w:rPr>
                <w:sz w:val="3"/>
                <w:szCs w:val="3"/>
                <w:color w:val="auto"/>
              </w:rPr>
            </w:pPr>
          </w:p>
        </w:tc>
        <w:tc>
          <w:tcPr>
            <w:tcW w:w="2140" w:type="dxa"/>
            <w:vAlign w:val="bottom"/>
            <w:gridSpan w:val="7"/>
            <w:vMerge w:val="continue"/>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89"/>
              </w:rPr>
              <w:t>Other</w:t>
            </w: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91"/>
              </w:rPr>
              <w:t>Awards:</w:t>
            </w:r>
          </w:p>
        </w:tc>
        <w:tc>
          <w:tcPr>
            <w:tcW w:w="66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8"/>
              </w:rPr>
              <w:t>Exercise or</w:t>
            </w:r>
          </w:p>
        </w:tc>
        <w:tc>
          <w:tcPr>
            <w:tcW w:w="900" w:type="dxa"/>
            <w:vAlign w:val="bottom"/>
            <w:vMerge w:val="restart"/>
          </w:tcPr>
          <w:p>
            <w:pPr>
              <w:jc w:val="center"/>
              <w:ind w:right="271"/>
              <w:spacing w:after="0"/>
              <w:rPr>
                <w:sz w:val="20"/>
                <w:szCs w:val="20"/>
                <w:color w:val="auto"/>
              </w:rPr>
            </w:pPr>
            <w:r>
              <w:rPr>
                <w:rFonts w:ascii="Arial" w:cs="Arial" w:eastAsia="Arial" w:hAnsi="Arial"/>
                <w:sz w:val="10"/>
                <w:szCs w:val="10"/>
                <w:b w:val="1"/>
                <w:bCs w:val="1"/>
                <w:color w:val="auto"/>
                <w:w w:val="97"/>
              </w:rPr>
              <w:t>Fair</w:t>
            </w:r>
          </w:p>
        </w:tc>
        <w:tc>
          <w:tcPr>
            <w:tcW w:w="0" w:type="dxa"/>
            <w:vAlign w:val="bottom"/>
          </w:tcPr>
          <w:p>
            <w:pPr>
              <w:spacing w:after="0"/>
              <w:rPr>
                <w:sz w:val="1"/>
                <w:szCs w:val="1"/>
                <w:color w:val="auto"/>
              </w:rPr>
            </w:pPr>
          </w:p>
        </w:tc>
      </w:tr>
      <w:tr>
        <w:trPr>
          <w:trHeight w:val="81"/>
        </w:trPr>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20" w:type="dxa"/>
            <w:vAlign w:val="bottom"/>
            <w:gridSpan w:val="5"/>
            <w:vMerge w:val="restart"/>
          </w:tcPr>
          <w:p>
            <w:pPr>
              <w:jc w:val="center"/>
              <w:spacing w:after="0"/>
              <w:rPr>
                <w:sz w:val="20"/>
                <w:szCs w:val="20"/>
                <w:color w:val="auto"/>
              </w:rPr>
            </w:pPr>
            <w:r>
              <w:rPr>
                <w:rFonts w:ascii="Arial" w:cs="Arial" w:eastAsia="Arial" w:hAnsi="Arial"/>
                <w:sz w:val="10"/>
                <w:szCs w:val="10"/>
                <w:b w:val="1"/>
                <w:bCs w:val="1"/>
                <w:color w:val="auto"/>
                <w:w w:val="89"/>
              </w:rPr>
              <w:t>Non-equity Incentive Plan</w:t>
            </w: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960" w:type="dxa"/>
            <w:vAlign w:val="bottom"/>
            <w:gridSpan w:val="5"/>
            <w:vMerge w:val="restart"/>
          </w:tcPr>
          <w:p>
            <w:pPr>
              <w:jc w:val="center"/>
              <w:spacing w:after="0"/>
              <w:rPr>
                <w:sz w:val="20"/>
                <w:szCs w:val="20"/>
                <w:color w:val="auto"/>
              </w:rPr>
            </w:pPr>
            <w:r>
              <w:rPr>
                <w:rFonts w:ascii="Arial" w:cs="Arial" w:eastAsia="Arial" w:hAnsi="Arial"/>
                <w:sz w:val="10"/>
                <w:szCs w:val="10"/>
                <w:b w:val="1"/>
                <w:bCs w:val="1"/>
                <w:color w:val="auto"/>
                <w:w w:val="91"/>
              </w:rPr>
              <w:t>Equity Incentive Plan</w:t>
            </w: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20" w:type="dxa"/>
            <w:vAlign w:val="bottom"/>
            <w:gridSpan w:val="5"/>
            <w:vMerge w:val="continue"/>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87"/>
              </w:rPr>
              <w:t>Stock</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1"/>
              </w:rPr>
              <w:t>Number of</w:t>
            </w:r>
          </w:p>
        </w:tc>
        <w:tc>
          <w:tcPr>
            <w:tcW w:w="66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3"/>
              </w:rPr>
              <w:t>Base</w:t>
            </w:r>
          </w:p>
        </w:tc>
        <w:tc>
          <w:tcPr>
            <w:tcW w:w="900" w:type="dxa"/>
            <w:vAlign w:val="bottom"/>
            <w:vMerge w:val="restart"/>
          </w:tcPr>
          <w:p>
            <w:pPr>
              <w:jc w:val="center"/>
              <w:ind w:right="271"/>
              <w:spacing w:after="0"/>
              <w:rPr>
                <w:sz w:val="20"/>
                <w:szCs w:val="20"/>
                <w:color w:val="auto"/>
              </w:rPr>
            </w:pPr>
            <w:r>
              <w:rPr>
                <w:rFonts w:ascii="Arial" w:cs="Arial" w:eastAsia="Arial" w:hAnsi="Arial"/>
                <w:sz w:val="10"/>
                <w:szCs w:val="10"/>
                <w:b w:val="1"/>
                <w:bCs w:val="1"/>
                <w:color w:val="auto"/>
                <w:w w:val="87"/>
              </w:rPr>
              <w:t>Value of</w:t>
            </w:r>
          </w:p>
        </w:tc>
        <w:tc>
          <w:tcPr>
            <w:tcW w:w="0" w:type="dxa"/>
            <w:vAlign w:val="bottom"/>
          </w:tcPr>
          <w:p>
            <w:pPr>
              <w:spacing w:after="0"/>
              <w:rPr>
                <w:sz w:val="1"/>
                <w:szCs w:val="1"/>
                <w:color w:val="auto"/>
              </w:rPr>
            </w:pPr>
          </w:p>
        </w:tc>
      </w:tr>
      <w:tr>
        <w:trPr>
          <w:trHeight w:val="81"/>
        </w:trPr>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8"/>
              </w:rPr>
              <w:t>Awards</w:t>
            </w: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vMerge w:val="restart"/>
          </w:tcPr>
          <w:p>
            <w:pPr>
              <w:jc w:val="center"/>
              <w:ind w:right="180"/>
              <w:spacing w:after="0"/>
              <w:rPr>
                <w:sz w:val="20"/>
                <w:szCs w:val="20"/>
                <w:color w:val="auto"/>
              </w:rPr>
            </w:pPr>
            <w:r>
              <w:rPr>
                <w:rFonts w:ascii="Arial" w:cs="Arial" w:eastAsia="Arial" w:hAnsi="Arial"/>
                <w:sz w:val="10"/>
                <w:szCs w:val="10"/>
                <w:b w:val="1"/>
                <w:bCs w:val="1"/>
                <w:color w:val="auto"/>
                <w:w w:val="89"/>
              </w:rPr>
              <w:t>Awards (1)</w:t>
            </w: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gridSpan w:val="3"/>
            <w:vMerge w:val="continue"/>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91"/>
              </w:rPr>
              <w:t>Awards: Number of</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7"/>
              </w:rPr>
              <w:t>Securities</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Price of</w:t>
            </w:r>
          </w:p>
        </w:tc>
        <w:tc>
          <w:tcPr>
            <w:tcW w:w="900" w:type="dxa"/>
            <w:vAlign w:val="bottom"/>
            <w:vMerge w:val="restart"/>
          </w:tcPr>
          <w:p>
            <w:pPr>
              <w:jc w:val="center"/>
              <w:ind w:right="271"/>
              <w:spacing w:after="0"/>
              <w:rPr>
                <w:sz w:val="20"/>
                <w:szCs w:val="20"/>
                <w:color w:val="auto"/>
              </w:rPr>
            </w:pPr>
            <w:r>
              <w:rPr>
                <w:rFonts w:ascii="Arial" w:cs="Arial" w:eastAsia="Arial" w:hAnsi="Arial"/>
                <w:sz w:val="10"/>
                <w:szCs w:val="10"/>
                <w:b w:val="1"/>
                <w:bCs w:val="1"/>
                <w:color w:val="auto"/>
                <w:w w:val="87"/>
              </w:rPr>
              <w:t>Stock and</w:t>
            </w:r>
          </w:p>
        </w:tc>
        <w:tc>
          <w:tcPr>
            <w:tcW w:w="0" w:type="dxa"/>
            <w:vAlign w:val="bottom"/>
          </w:tcPr>
          <w:p>
            <w:pPr>
              <w:spacing w:after="0"/>
              <w:rPr>
                <w:sz w:val="1"/>
                <w:szCs w:val="1"/>
                <w:color w:val="auto"/>
              </w:rPr>
            </w:pPr>
          </w:p>
        </w:tc>
      </w:tr>
      <w:tr>
        <w:trPr>
          <w:trHeight w:val="26"/>
        </w:trPr>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0"/>
        </w:trPr>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6"/>
              </w:rPr>
              <w:t>shares</w:t>
            </w:r>
          </w:p>
        </w:tc>
        <w:tc>
          <w:tcPr>
            <w:tcW w:w="8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1"/>
              </w:rPr>
              <w:t>Underlying</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Option</w:t>
            </w:r>
          </w:p>
        </w:tc>
        <w:tc>
          <w:tcPr>
            <w:tcW w:w="900" w:type="dxa"/>
            <w:vAlign w:val="bottom"/>
          </w:tcPr>
          <w:p>
            <w:pPr>
              <w:jc w:val="center"/>
              <w:ind w:right="271"/>
              <w:spacing w:after="0"/>
              <w:rPr>
                <w:sz w:val="20"/>
                <w:szCs w:val="20"/>
                <w:color w:val="auto"/>
              </w:rPr>
            </w:pPr>
            <w:r>
              <w:rPr>
                <w:rFonts w:ascii="Arial" w:cs="Arial" w:eastAsia="Arial" w:hAnsi="Arial"/>
                <w:sz w:val="10"/>
                <w:szCs w:val="10"/>
                <w:b w:val="1"/>
                <w:bCs w:val="1"/>
                <w:color w:val="auto"/>
                <w:w w:val="92"/>
              </w:rPr>
              <w:t>Option</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ind w:left="140"/>
              <w:spacing w:after="0"/>
              <w:rPr>
                <w:sz w:val="20"/>
                <w:szCs w:val="20"/>
                <w:color w:val="auto"/>
              </w:rPr>
            </w:pPr>
            <w:r>
              <w:rPr>
                <w:rFonts w:ascii="Arial" w:cs="Arial" w:eastAsia="Arial" w:hAnsi="Arial"/>
                <w:sz w:val="10"/>
                <w:szCs w:val="10"/>
                <w:b w:val="1"/>
                <w:bCs w:val="1"/>
                <w:color w:val="auto"/>
              </w:rPr>
              <w:t>Approval</w:t>
            </w:r>
          </w:p>
        </w:tc>
        <w:tc>
          <w:tcPr>
            <w:tcW w:w="820" w:type="dxa"/>
            <w:vAlign w:val="bottom"/>
            <w:gridSpan w:val="2"/>
          </w:tcPr>
          <w:p>
            <w:pPr>
              <w:ind w:left="220"/>
              <w:spacing w:after="0"/>
              <w:rPr>
                <w:sz w:val="20"/>
                <w:szCs w:val="20"/>
                <w:color w:val="auto"/>
              </w:rPr>
            </w:pPr>
            <w:r>
              <w:rPr>
                <w:rFonts w:ascii="Arial" w:cs="Arial" w:eastAsia="Arial" w:hAnsi="Arial"/>
                <w:sz w:val="10"/>
                <w:szCs w:val="10"/>
                <w:b w:val="1"/>
                <w:bCs w:val="1"/>
                <w:color w:val="auto"/>
              </w:rPr>
              <w:t>Grant</w:t>
            </w:r>
          </w:p>
        </w:tc>
        <w:tc>
          <w:tcPr>
            <w:tcW w:w="820" w:type="dxa"/>
            <w:vAlign w:val="bottom"/>
            <w:gridSpan w:val="2"/>
          </w:tcPr>
          <w:p>
            <w:pPr>
              <w:ind w:left="140"/>
              <w:spacing w:after="0"/>
              <w:rPr>
                <w:sz w:val="20"/>
                <w:szCs w:val="20"/>
                <w:color w:val="auto"/>
              </w:rPr>
            </w:pPr>
            <w:r>
              <w:rPr>
                <w:rFonts w:ascii="Arial" w:cs="Arial" w:eastAsia="Arial" w:hAnsi="Arial"/>
                <w:sz w:val="10"/>
                <w:szCs w:val="10"/>
                <w:b w:val="1"/>
                <w:bCs w:val="1"/>
                <w:color w:val="auto"/>
              </w:rPr>
              <w:t>Threshold</w:t>
            </w:r>
          </w:p>
        </w:tc>
        <w:tc>
          <w:tcPr>
            <w:tcW w:w="7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Target</w:t>
            </w:r>
          </w:p>
        </w:tc>
        <w:tc>
          <w:tcPr>
            <w:tcW w:w="700" w:type="dxa"/>
            <w:vAlign w:val="bottom"/>
          </w:tcPr>
          <w:p>
            <w:pPr>
              <w:jc w:val="right"/>
              <w:ind w:right="71"/>
              <w:spacing w:after="0"/>
              <w:rPr>
                <w:sz w:val="20"/>
                <w:szCs w:val="20"/>
                <w:color w:val="auto"/>
              </w:rPr>
            </w:pPr>
            <w:r>
              <w:rPr>
                <w:rFonts w:ascii="Arial" w:cs="Arial" w:eastAsia="Arial" w:hAnsi="Arial"/>
                <w:sz w:val="10"/>
                <w:szCs w:val="10"/>
                <w:b w:val="1"/>
                <w:bCs w:val="1"/>
                <w:color w:val="auto"/>
              </w:rPr>
              <w:t>Maximum</w:t>
            </w:r>
          </w:p>
        </w:tc>
        <w:tc>
          <w:tcPr>
            <w:tcW w:w="3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Threshold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1"/>
              </w:rPr>
              <w:t>Target</w:t>
            </w:r>
          </w:p>
        </w:tc>
        <w:tc>
          <w:tcPr>
            <w:tcW w:w="580" w:type="dxa"/>
            <w:vAlign w:val="bottom"/>
          </w:tcPr>
          <w:p>
            <w:pPr>
              <w:jc w:val="right"/>
              <w:ind w:right="71"/>
              <w:spacing w:after="0"/>
              <w:rPr>
                <w:sz w:val="20"/>
                <w:szCs w:val="20"/>
                <w:color w:val="auto"/>
              </w:rPr>
            </w:pPr>
            <w:r>
              <w:rPr>
                <w:rFonts w:ascii="Arial" w:cs="Arial" w:eastAsia="Arial" w:hAnsi="Arial"/>
                <w:sz w:val="10"/>
                <w:szCs w:val="10"/>
                <w:b w:val="1"/>
                <w:bCs w:val="1"/>
                <w:color w:val="auto"/>
                <w:w w:val="95"/>
              </w:rPr>
              <w:t>Maximum</w:t>
            </w:r>
          </w:p>
        </w:tc>
        <w:tc>
          <w:tcPr>
            <w:tcW w:w="120" w:type="dxa"/>
            <w:vAlign w:val="bottom"/>
          </w:tcPr>
          <w:p>
            <w:pPr>
              <w:spacing w:after="0"/>
              <w:rPr>
                <w:sz w:val="10"/>
                <w:szCs w:val="1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9"/>
              </w:rPr>
              <w:t>of Stock or Units</w:t>
            </w:r>
          </w:p>
        </w:tc>
        <w:tc>
          <w:tcPr>
            <w:tcW w:w="8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Options</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Awards</w:t>
            </w:r>
          </w:p>
        </w:tc>
        <w:tc>
          <w:tcPr>
            <w:tcW w:w="900" w:type="dxa"/>
            <w:vAlign w:val="bottom"/>
          </w:tcPr>
          <w:p>
            <w:pPr>
              <w:jc w:val="center"/>
              <w:ind w:right="291"/>
              <w:spacing w:after="0"/>
              <w:rPr>
                <w:sz w:val="20"/>
                <w:szCs w:val="20"/>
                <w:color w:val="auto"/>
              </w:rPr>
            </w:pPr>
            <w:r>
              <w:rPr>
                <w:rFonts w:ascii="Arial" w:cs="Arial" w:eastAsia="Arial" w:hAnsi="Arial"/>
                <w:sz w:val="10"/>
                <w:szCs w:val="10"/>
                <w:b w:val="1"/>
                <w:bCs w:val="1"/>
                <w:color w:val="auto"/>
                <w:w w:val="88"/>
              </w:rPr>
              <w:t>Awards</w:t>
            </w:r>
          </w:p>
        </w:tc>
        <w:tc>
          <w:tcPr>
            <w:tcW w:w="0" w:type="dxa"/>
            <w:vAlign w:val="bottom"/>
          </w:tcPr>
          <w:p>
            <w:pPr>
              <w:spacing w:after="0"/>
              <w:rPr>
                <w:sz w:val="1"/>
                <w:szCs w:val="1"/>
                <w:color w:val="auto"/>
              </w:rPr>
            </w:pPr>
          </w:p>
        </w:tc>
      </w:tr>
      <w:tr>
        <w:trPr>
          <w:trHeight w:val="126"/>
        </w:trPr>
        <w:tc>
          <w:tcPr>
            <w:tcW w:w="1160" w:type="dxa"/>
            <w:vAlign w:val="bottom"/>
          </w:tcPr>
          <w:p>
            <w:pPr>
              <w:ind w:left="460"/>
              <w:spacing w:after="0"/>
              <w:rPr>
                <w:sz w:val="20"/>
                <w:szCs w:val="20"/>
                <w:color w:val="auto"/>
              </w:rPr>
            </w:pPr>
            <w:r>
              <w:rPr>
                <w:rFonts w:ascii="Arial" w:cs="Arial" w:eastAsia="Arial" w:hAnsi="Arial"/>
                <w:sz w:val="10"/>
                <w:szCs w:val="10"/>
                <w:b w:val="1"/>
                <w:bCs w:val="1"/>
                <w:color w:val="auto"/>
              </w:rPr>
              <w:t>Name</w:t>
            </w:r>
          </w:p>
        </w:tc>
        <w:tc>
          <w:tcPr>
            <w:tcW w:w="120" w:type="dxa"/>
            <w:vAlign w:val="bottom"/>
          </w:tcPr>
          <w:p>
            <w:pPr>
              <w:spacing w:after="0"/>
              <w:rPr>
                <w:sz w:val="10"/>
                <w:szCs w:val="10"/>
                <w:color w:val="auto"/>
              </w:rPr>
            </w:pPr>
          </w:p>
        </w:tc>
        <w:tc>
          <w:tcPr>
            <w:tcW w:w="800" w:type="dxa"/>
            <w:vAlign w:val="bottom"/>
            <w:gridSpan w:val="2"/>
          </w:tcPr>
          <w:p>
            <w:pPr>
              <w:ind w:left="240"/>
              <w:spacing w:after="0"/>
              <w:rPr>
                <w:sz w:val="20"/>
                <w:szCs w:val="20"/>
                <w:color w:val="auto"/>
              </w:rPr>
            </w:pPr>
            <w:r>
              <w:rPr>
                <w:rFonts w:ascii="Arial" w:cs="Arial" w:eastAsia="Arial" w:hAnsi="Arial"/>
                <w:sz w:val="10"/>
                <w:szCs w:val="10"/>
                <w:b w:val="1"/>
                <w:bCs w:val="1"/>
                <w:color w:val="auto"/>
              </w:rPr>
              <w:t>Date</w:t>
            </w:r>
          </w:p>
        </w:tc>
        <w:tc>
          <w:tcPr>
            <w:tcW w:w="820" w:type="dxa"/>
            <w:vAlign w:val="bottom"/>
            <w:gridSpan w:val="2"/>
          </w:tcPr>
          <w:p>
            <w:pPr>
              <w:ind w:left="260"/>
              <w:spacing w:after="0"/>
              <w:rPr>
                <w:sz w:val="20"/>
                <w:szCs w:val="20"/>
                <w:color w:val="auto"/>
              </w:rPr>
            </w:pPr>
            <w:r>
              <w:rPr>
                <w:rFonts w:ascii="Arial" w:cs="Arial" w:eastAsia="Arial" w:hAnsi="Arial"/>
                <w:sz w:val="10"/>
                <w:szCs w:val="10"/>
                <w:b w:val="1"/>
                <w:bCs w:val="1"/>
                <w:color w:val="auto"/>
              </w:rPr>
              <w:t>Date</w:t>
            </w:r>
          </w:p>
        </w:tc>
        <w:tc>
          <w:tcPr>
            <w:tcW w:w="700" w:type="dxa"/>
            <w:vAlign w:val="bottom"/>
          </w:tcPr>
          <w:p>
            <w:pPr>
              <w:jc w:val="right"/>
              <w:ind w:right="251"/>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120" w:type="dxa"/>
            <w:vAlign w:val="bottom"/>
          </w:tcPr>
          <w:p>
            <w:pPr>
              <w:spacing w:after="0"/>
              <w:rPr>
                <w:sz w:val="10"/>
                <w:szCs w:val="10"/>
                <w:color w:val="auto"/>
              </w:rPr>
            </w:pPr>
          </w:p>
        </w:tc>
        <w:tc>
          <w:tcPr>
            <w:tcW w:w="700" w:type="dxa"/>
            <w:vAlign w:val="bottom"/>
          </w:tcPr>
          <w:p>
            <w:pPr>
              <w:jc w:val="right"/>
              <w:ind w:right="231"/>
              <w:spacing w:after="0"/>
              <w:rPr>
                <w:sz w:val="20"/>
                <w:szCs w:val="20"/>
                <w:color w:val="auto"/>
              </w:rPr>
            </w:pPr>
            <w:r>
              <w:rPr>
                <w:rFonts w:ascii="Arial" w:cs="Arial" w:eastAsia="Arial" w:hAnsi="Arial"/>
                <w:sz w:val="10"/>
                <w:szCs w:val="10"/>
                <w:b w:val="1"/>
                <w:bCs w:val="1"/>
                <w:color w:val="auto"/>
              </w:rPr>
              <w:t>($)</w:t>
            </w:r>
          </w:p>
        </w:tc>
        <w:tc>
          <w:tcPr>
            <w:tcW w:w="360" w:type="dxa"/>
            <w:vAlign w:val="bottom"/>
          </w:tcPr>
          <w:p>
            <w:pPr>
              <w:spacing w:after="0"/>
              <w:rPr>
                <w:sz w:val="10"/>
                <w:szCs w:val="10"/>
                <w:color w:val="auto"/>
              </w:rPr>
            </w:pPr>
          </w:p>
        </w:tc>
        <w:tc>
          <w:tcPr>
            <w:tcW w:w="600" w:type="dxa"/>
            <w:vAlign w:val="bottom"/>
          </w:tcPr>
          <w:p>
            <w:pPr>
              <w:jc w:val="right"/>
              <w:ind w:right="151"/>
              <w:spacing w:after="0"/>
              <w:rPr>
                <w:sz w:val="20"/>
                <w:szCs w:val="20"/>
                <w:color w:val="auto"/>
              </w:rPr>
            </w:pPr>
            <w:r>
              <w:rPr>
                <w:rFonts w:ascii="Arial" w:cs="Arial" w:eastAsia="Arial" w:hAnsi="Arial"/>
                <w:sz w:val="10"/>
                <w:szCs w:val="10"/>
                <w:b w:val="1"/>
                <w:bCs w:val="1"/>
                <w:color w:val="auto"/>
              </w:rPr>
              <w:t>(#)</w:t>
            </w:r>
          </w:p>
        </w:tc>
        <w:tc>
          <w:tcPr>
            <w:tcW w:w="760" w:type="dxa"/>
            <w:vAlign w:val="bottom"/>
            <w:gridSpan w:val="3"/>
          </w:tcPr>
          <w:p>
            <w:pPr>
              <w:jc w:val="center"/>
              <w:ind w:left="151"/>
              <w:spacing w:after="0"/>
              <w:rPr>
                <w:sz w:val="20"/>
                <w:szCs w:val="20"/>
                <w:color w:val="auto"/>
              </w:rPr>
            </w:pPr>
            <w:r>
              <w:rPr>
                <w:rFonts w:ascii="Arial" w:cs="Arial" w:eastAsia="Arial" w:hAnsi="Arial"/>
                <w:sz w:val="10"/>
                <w:szCs w:val="10"/>
                <w:b w:val="1"/>
                <w:bCs w:val="1"/>
                <w:color w:val="auto"/>
                <w:w w:val="97"/>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231"/>
              <w:spacing w:after="0"/>
              <w:rPr>
                <w:sz w:val="20"/>
                <w:szCs w:val="20"/>
                <w:color w:val="auto"/>
              </w:rPr>
            </w:pPr>
            <w:r>
              <w:rPr>
                <w:rFonts w:ascii="Arial" w:cs="Arial" w:eastAsia="Arial" w:hAnsi="Arial"/>
                <w:sz w:val="10"/>
                <w:szCs w:val="10"/>
                <w:b w:val="1"/>
                <w:bCs w:val="1"/>
                <w:color w:val="auto"/>
              </w:rPr>
              <w:t>(#)</w:t>
            </w:r>
          </w:p>
        </w:tc>
        <w:tc>
          <w:tcPr>
            <w:tcW w:w="1240" w:type="dxa"/>
            <w:vAlign w:val="bottom"/>
            <w:gridSpan w:val="2"/>
          </w:tcPr>
          <w:p>
            <w:pPr>
              <w:jc w:val="center"/>
              <w:ind w:left="71"/>
              <w:spacing w:after="0"/>
              <w:rPr>
                <w:sz w:val="20"/>
                <w:szCs w:val="20"/>
                <w:color w:val="auto"/>
              </w:rPr>
            </w:pPr>
            <w:r>
              <w:rPr>
                <w:rFonts w:ascii="Arial" w:cs="Arial" w:eastAsia="Arial" w:hAnsi="Arial"/>
                <w:sz w:val="10"/>
                <w:szCs w:val="10"/>
                <w:b w:val="1"/>
                <w:bCs w:val="1"/>
                <w:color w:val="auto"/>
                <w:w w:val="87"/>
              </w:rPr>
              <w:t>(#) (2)</w:t>
            </w:r>
          </w:p>
        </w:tc>
        <w:tc>
          <w:tcPr>
            <w:tcW w:w="12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100" w:type="dxa"/>
            <w:vAlign w:val="bottom"/>
          </w:tcPr>
          <w:p>
            <w:pPr>
              <w:spacing w:after="0"/>
              <w:rPr>
                <w:sz w:val="10"/>
                <w:szCs w:val="10"/>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3"/>
              </w:rPr>
              <w:t>($/Sh)</w:t>
            </w:r>
          </w:p>
        </w:tc>
        <w:tc>
          <w:tcPr>
            <w:tcW w:w="900" w:type="dxa"/>
            <w:vAlign w:val="bottom"/>
          </w:tcPr>
          <w:p>
            <w:pPr>
              <w:jc w:val="center"/>
              <w:ind w:right="271"/>
              <w:spacing w:after="0"/>
              <w:rPr>
                <w:sz w:val="20"/>
                <w:szCs w:val="20"/>
                <w:color w:val="auto"/>
              </w:rPr>
            </w:pPr>
            <w:r>
              <w:rPr>
                <w:rFonts w:ascii="Arial" w:cs="Arial" w:eastAsia="Arial" w:hAnsi="Arial"/>
                <w:sz w:val="10"/>
                <w:szCs w:val="10"/>
                <w:b w:val="1"/>
                <w:bCs w:val="1"/>
                <w:color w:val="auto"/>
                <w:w w:val="95"/>
              </w:rPr>
              <w:t>($) (3)</w:t>
            </w:r>
          </w:p>
        </w:tc>
        <w:tc>
          <w:tcPr>
            <w:tcW w:w="0" w:type="dxa"/>
            <w:vAlign w:val="bottom"/>
          </w:tcPr>
          <w:p>
            <w:pPr>
              <w:spacing w:after="0"/>
              <w:rPr>
                <w:sz w:val="1"/>
                <w:szCs w:val="1"/>
                <w:color w:val="auto"/>
              </w:rPr>
            </w:pPr>
          </w:p>
        </w:tc>
      </w:tr>
      <w:tr>
        <w:trPr>
          <w:trHeight w:val="26"/>
        </w:trPr>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160" w:type="dxa"/>
            <w:vAlign w:val="bottom"/>
            <w:vMerge w:val="restart"/>
            <w:shd w:val="clear" w:color="auto" w:fill="CCEEFF"/>
          </w:tcPr>
          <w:p>
            <w:pPr>
              <w:ind w:left="40"/>
              <w:spacing w:after="0"/>
              <w:rPr>
                <w:sz w:val="20"/>
                <w:szCs w:val="20"/>
                <w:color w:val="auto"/>
              </w:rPr>
            </w:pPr>
            <w:r>
              <w:rPr>
                <w:rFonts w:ascii="Arial" w:cs="Arial" w:eastAsia="Arial" w:hAnsi="Arial"/>
                <w:sz w:val="10"/>
                <w:szCs w:val="10"/>
                <w:color w:val="auto"/>
              </w:rPr>
              <w:t>John R. Hewitt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w w:val="89"/>
              </w:rPr>
              <w:t>8/26/2014</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375,000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750,000</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1,125,000</w:t>
            </w: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3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54"/>
        </w:trPr>
        <w:tc>
          <w:tcPr>
            <w:tcW w:w="116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260"/>
              <w:spacing w:after="0"/>
              <w:rPr>
                <w:sz w:val="20"/>
                <w:szCs w:val="20"/>
                <w:color w:val="auto"/>
              </w:rPr>
            </w:pPr>
            <w:r>
              <w:rPr>
                <w:rFonts w:ascii="Arial" w:cs="Arial" w:eastAsia="Arial" w:hAnsi="Arial"/>
                <w:sz w:val="10"/>
                <w:szCs w:val="10"/>
                <w:color w:val="auto"/>
                <w:w w:val="89"/>
              </w:rPr>
              <w:t>8/26/2014</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312,500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625,000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937,500</w:t>
            </w: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3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70"/>
        </w:trPr>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ind w:left="260"/>
              <w:spacing w:after="0"/>
              <w:rPr>
                <w:sz w:val="20"/>
                <w:szCs w:val="20"/>
                <w:color w:val="auto"/>
              </w:rPr>
            </w:pPr>
            <w:r>
              <w:rPr>
                <w:rFonts w:ascii="Arial" w:cs="Arial" w:eastAsia="Arial" w:hAnsi="Arial"/>
                <w:sz w:val="10"/>
                <w:szCs w:val="10"/>
                <w:color w:val="auto"/>
                <w:w w:val="89"/>
              </w:rPr>
              <w:t>8/26/2014</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ind w:left="260"/>
              <w:spacing w:after="0"/>
              <w:rPr>
                <w:sz w:val="20"/>
                <w:szCs w:val="20"/>
                <w:color w:val="auto"/>
              </w:rPr>
            </w:pPr>
            <w:r>
              <w:rPr>
                <w:rFonts w:ascii="Arial" w:cs="Arial" w:eastAsia="Arial" w:hAnsi="Arial"/>
                <w:sz w:val="10"/>
                <w:szCs w:val="10"/>
                <w:color w:val="auto"/>
                <w:w w:val="94"/>
              </w:rPr>
              <w:t>8/26/2014</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5,611</w:t>
            </w:r>
          </w:p>
        </w:tc>
        <w:tc>
          <w:tcPr>
            <w:tcW w:w="760" w:type="dxa"/>
            <w:vAlign w:val="bottom"/>
            <w:gridSpan w:val="3"/>
            <w:shd w:val="clear" w:color="auto" w:fill="CCEEFF"/>
          </w:tcPr>
          <w:p>
            <w:pPr>
              <w:jc w:val="right"/>
              <w:ind w:right="51"/>
              <w:spacing w:after="0"/>
              <w:rPr>
                <w:sz w:val="20"/>
                <w:szCs w:val="20"/>
                <w:color w:val="auto"/>
              </w:rPr>
            </w:pPr>
            <w:r>
              <w:rPr>
                <w:rFonts w:ascii="Arial" w:cs="Arial" w:eastAsia="Arial" w:hAnsi="Arial"/>
                <w:sz w:val="10"/>
                <w:szCs w:val="10"/>
                <w:color w:val="auto"/>
              </w:rPr>
              <w:t>22,442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44,884</w:t>
            </w:r>
          </w:p>
        </w:tc>
        <w:tc>
          <w:tcPr>
            <w:tcW w:w="1240" w:type="dxa"/>
            <w:vAlign w:val="bottom"/>
            <w:gridSpan w:val="2"/>
            <w:shd w:val="clear" w:color="auto" w:fill="CCEEFF"/>
          </w:tcPr>
          <w:p>
            <w:pPr>
              <w:jc w:val="right"/>
              <w:ind w:right="51"/>
              <w:spacing w:after="0"/>
              <w:rPr>
                <w:sz w:val="20"/>
                <w:szCs w:val="20"/>
                <w:color w:val="auto"/>
              </w:rPr>
            </w:pPr>
            <w:r>
              <w:rPr>
                <w:rFonts w:ascii="Arial" w:cs="Arial" w:eastAsia="Arial" w:hAnsi="Arial"/>
                <w:sz w:val="10"/>
                <w:szCs w:val="10"/>
                <w:color w:val="auto"/>
              </w:rPr>
              <w:t>22,442</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391"/>
              <w:spacing w:after="0"/>
              <w:rPr>
                <w:sz w:val="20"/>
                <w:szCs w:val="20"/>
                <w:color w:val="auto"/>
              </w:rPr>
            </w:pPr>
            <w:r>
              <w:rPr>
                <w:rFonts w:ascii="Arial" w:cs="Arial" w:eastAsia="Arial" w:hAnsi="Arial"/>
                <w:sz w:val="10"/>
                <w:szCs w:val="10"/>
                <w:color w:val="auto"/>
                <w:w w:val="98"/>
              </w:rPr>
              <w:t>1,406,665</w:t>
            </w:r>
          </w:p>
        </w:tc>
        <w:tc>
          <w:tcPr>
            <w:tcW w:w="0" w:type="dxa"/>
            <w:vAlign w:val="bottom"/>
          </w:tcPr>
          <w:p>
            <w:pPr>
              <w:spacing w:after="0"/>
              <w:rPr>
                <w:sz w:val="1"/>
                <w:szCs w:val="1"/>
                <w:color w:val="auto"/>
              </w:rPr>
            </w:pPr>
          </w:p>
        </w:tc>
      </w:tr>
      <w:tr>
        <w:trPr>
          <w:trHeight w:val="80"/>
        </w:trPr>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160" w:type="dxa"/>
            <w:vAlign w:val="bottom"/>
            <w:vMerge w:val="restart"/>
          </w:tcPr>
          <w:p>
            <w:pPr>
              <w:ind w:left="40"/>
              <w:spacing w:after="0"/>
              <w:rPr>
                <w:sz w:val="20"/>
                <w:szCs w:val="20"/>
                <w:color w:val="auto"/>
              </w:rPr>
            </w:pPr>
            <w:r>
              <w:rPr>
                <w:rFonts w:ascii="Arial" w:cs="Arial" w:eastAsia="Arial" w:hAnsi="Arial"/>
                <w:sz w:val="10"/>
                <w:szCs w:val="10"/>
                <w:color w:val="auto"/>
              </w:rPr>
              <w:t>Joseph F. Montalbano</w:t>
            </w:r>
          </w:p>
        </w:tc>
        <w:tc>
          <w:tcPr>
            <w:tcW w:w="800" w:type="dxa"/>
            <w:vAlign w:val="bottom"/>
            <w:gridSpan w:val="2"/>
          </w:tcPr>
          <w:p>
            <w:pPr>
              <w:ind w:left="380"/>
              <w:spacing w:after="0"/>
              <w:rPr>
                <w:sz w:val="20"/>
                <w:szCs w:val="20"/>
                <w:color w:val="auto"/>
              </w:rPr>
            </w:pPr>
            <w:r>
              <w:rPr>
                <w:rFonts w:ascii="Arial" w:cs="Arial" w:eastAsia="Arial" w:hAnsi="Arial"/>
                <w:sz w:val="10"/>
                <w:szCs w:val="10"/>
                <w:color w:val="auto"/>
                <w:w w:val="89"/>
              </w:rPr>
              <w:t>8/26/2014</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153,563</w:t>
            </w:r>
          </w:p>
        </w:tc>
        <w:tc>
          <w:tcPr>
            <w:tcW w:w="120" w:type="dxa"/>
            <w:vAlign w:val="bottom"/>
          </w:tcPr>
          <w:p>
            <w:pPr>
              <w:spacing w:after="0"/>
              <w:rPr>
                <w:sz w:val="16"/>
                <w:szCs w:val="16"/>
                <w:color w:val="auto"/>
              </w:rPr>
            </w:pPr>
          </w:p>
        </w:tc>
        <w:tc>
          <w:tcPr>
            <w:tcW w:w="580" w:type="dxa"/>
            <w:vAlign w:val="bottom"/>
          </w:tcPr>
          <w:p>
            <w:pPr>
              <w:jc w:val="right"/>
              <w:ind w:right="71"/>
              <w:spacing w:after="0"/>
              <w:rPr>
                <w:sz w:val="20"/>
                <w:szCs w:val="20"/>
                <w:color w:val="auto"/>
              </w:rPr>
            </w:pPr>
            <w:r>
              <w:rPr>
                <w:rFonts w:ascii="Arial" w:cs="Arial" w:eastAsia="Arial" w:hAnsi="Arial"/>
                <w:sz w:val="10"/>
                <w:szCs w:val="10"/>
                <w:color w:val="auto"/>
              </w:rPr>
              <w:t>307,125</w:t>
            </w:r>
          </w:p>
        </w:tc>
        <w:tc>
          <w:tcPr>
            <w:tcW w:w="120" w:type="dxa"/>
            <w:vAlign w:val="bottom"/>
          </w:tcPr>
          <w:p>
            <w:pPr>
              <w:spacing w:after="0"/>
              <w:rPr>
                <w:sz w:val="16"/>
                <w:szCs w:val="16"/>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460,688</w:t>
            </w:r>
          </w:p>
        </w:tc>
        <w:tc>
          <w:tcPr>
            <w:tcW w:w="360" w:type="dxa"/>
            <w:vAlign w:val="bottom"/>
          </w:tcPr>
          <w:p>
            <w:pPr>
              <w:jc w:val="right"/>
              <w:ind w:right="71"/>
              <w:spacing w:after="0"/>
              <w:rPr>
                <w:sz w:val="20"/>
                <w:szCs w:val="20"/>
                <w:color w:val="auto"/>
              </w:rPr>
            </w:pPr>
            <w:r>
              <w:rPr>
                <w:rFonts w:ascii="Arial" w:cs="Arial" w:eastAsia="Arial" w:hAnsi="Arial"/>
                <w:sz w:val="10"/>
                <w:szCs w:val="10"/>
                <w:color w:val="auto"/>
              </w:rPr>
              <w:t>(4)</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3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54"/>
        </w:trPr>
        <w:tc>
          <w:tcPr>
            <w:tcW w:w="11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0" w:type="dxa"/>
            <w:vAlign w:val="bottom"/>
            <w:gridSpan w:val="2"/>
          </w:tcPr>
          <w:p>
            <w:pPr>
              <w:ind w:left="380"/>
              <w:spacing w:after="0"/>
              <w:rPr>
                <w:sz w:val="20"/>
                <w:szCs w:val="20"/>
                <w:color w:val="auto"/>
              </w:rPr>
            </w:pPr>
            <w:r>
              <w:rPr>
                <w:rFonts w:ascii="Arial" w:cs="Arial" w:eastAsia="Arial" w:hAnsi="Arial"/>
                <w:sz w:val="10"/>
                <w:szCs w:val="10"/>
                <w:color w:val="auto"/>
                <w:w w:val="89"/>
              </w:rPr>
              <w:t>8/26/2014</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98,438</w:t>
            </w:r>
          </w:p>
        </w:tc>
        <w:tc>
          <w:tcPr>
            <w:tcW w:w="120" w:type="dxa"/>
            <w:vAlign w:val="bottom"/>
          </w:tcPr>
          <w:p>
            <w:pPr>
              <w:spacing w:after="0"/>
              <w:rPr>
                <w:sz w:val="18"/>
                <w:szCs w:val="18"/>
                <w:color w:val="auto"/>
              </w:rPr>
            </w:pPr>
          </w:p>
        </w:tc>
        <w:tc>
          <w:tcPr>
            <w:tcW w:w="580" w:type="dxa"/>
            <w:vAlign w:val="bottom"/>
          </w:tcPr>
          <w:p>
            <w:pPr>
              <w:jc w:val="right"/>
              <w:ind w:right="71"/>
              <w:spacing w:after="0"/>
              <w:rPr>
                <w:sz w:val="20"/>
                <w:szCs w:val="20"/>
                <w:color w:val="auto"/>
              </w:rPr>
            </w:pPr>
            <w:r>
              <w:rPr>
                <w:rFonts w:ascii="Arial" w:cs="Arial" w:eastAsia="Arial" w:hAnsi="Arial"/>
                <w:sz w:val="10"/>
                <w:szCs w:val="10"/>
                <w:color w:val="auto"/>
              </w:rPr>
              <w:t>196,875</w:t>
            </w:r>
          </w:p>
        </w:tc>
        <w:tc>
          <w:tcPr>
            <w:tcW w:w="120" w:type="dxa"/>
            <w:vAlign w:val="bottom"/>
          </w:tcPr>
          <w:p>
            <w:pPr>
              <w:spacing w:after="0"/>
              <w:rPr>
                <w:sz w:val="18"/>
                <w:szCs w:val="18"/>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295,313</w:t>
            </w:r>
          </w:p>
        </w:tc>
        <w:tc>
          <w:tcPr>
            <w:tcW w:w="360" w:type="dxa"/>
            <w:vAlign w:val="bottom"/>
          </w:tcPr>
          <w:p>
            <w:pPr>
              <w:jc w:val="right"/>
              <w:ind w:right="71"/>
              <w:spacing w:after="0"/>
              <w:rPr>
                <w:sz w:val="20"/>
                <w:szCs w:val="20"/>
                <w:color w:val="auto"/>
              </w:rPr>
            </w:pPr>
            <w:r>
              <w:rPr>
                <w:rFonts w:ascii="Arial" w:cs="Arial" w:eastAsia="Arial" w:hAnsi="Arial"/>
                <w:sz w:val="10"/>
                <w:szCs w:val="10"/>
                <w:color w:val="auto"/>
              </w:rPr>
              <w:t>(5)</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3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800" w:type="dxa"/>
            <w:vAlign w:val="bottom"/>
            <w:gridSpan w:val="2"/>
          </w:tcPr>
          <w:p>
            <w:pPr>
              <w:ind w:left="380"/>
              <w:spacing w:after="0"/>
              <w:rPr>
                <w:sz w:val="20"/>
                <w:szCs w:val="20"/>
                <w:color w:val="auto"/>
              </w:rPr>
            </w:pPr>
            <w:r>
              <w:rPr>
                <w:rFonts w:ascii="Arial" w:cs="Arial" w:eastAsia="Arial" w:hAnsi="Arial"/>
                <w:sz w:val="10"/>
                <w:szCs w:val="10"/>
                <w:color w:val="auto"/>
                <w:w w:val="89"/>
              </w:rPr>
              <w:t>8/26/2014</w:t>
            </w:r>
          </w:p>
        </w:tc>
        <w:tc>
          <w:tcPr>
            <w:tcW w:w="120" w:type="dxa"/>
            <w:vAlign w:val="bottom"/>
          </w:tcPr>
          <w:p>
            <w:pPr>
              <w:spacing w:after="0"/>
              <w:rPr>
                <w:sz w:val="23"/>
                <w:szCs w:val="23"/>
                <w:color w:val="auto"/>
              </w:rPr>
            </w:pPr>
          </w:p>
        </w:tc>
        <w:tc>
          <w:tcPr>
            <w:tcW w:w="700" w:type="dxa"/>
            <w:vAlign w:val="bottom"/>
          </w:tcPr>
          <w:p>
            <w:pPr>
              <w:ind w:left="260"/>
              <w:spacing w:after="0"/>
              <w:rPr>
                <w:sz w:val="20"/>
                <w:szCs w:val="20"/>
                <w:color w:val="auto"/>
              </w:rPr>
            </w:pPr>
            <w:r>
              <w:rPr>
                <w:rFonts w:ascii="Arial" w:cs="Arial" w:eastAsia="Arial" w:hAnsi="Arial"/>
                <w:sz w:val="10"/>
                <w:szCs w:val="10"/>
                <w:color w:val="auto"/>
                <w:w w:val="94"/>
              </w:rPr>
              <w:t>8/26/2014</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1,767</w:t>
            </w:r>
          </w:p>
        </w:tc>
        <w:tc>
          <w:tcPr>
            <w:tcW w:w="760" w:type="dxa"/>
            <w:vAlign w:val="bottom"/>
            <w:gridSpan w:val="3"/>
          </w:tcPr>
          <w:p>
            <w:pPr>
              <w:jc w:val="right"/>
              <w:ind w:right="51"/>
              <w:spacing w:after="0"/>
              <w:rPr>
                <w:sz w:val="20"/>
                <w:szCs w:val="20"/>
                <w:color w:val="auto"/>
              </w:rPr>
            </w:pPr>
            <w:r>
              <w:rPr>
                <w:rFonts w:ascii="Arial" w:cs="Arial" w:eastAsia="Arial" w:hAnsi="Arial"/>
                <w:sz w:val="10"/>
                <w:szCs w:val="10"/>
                <w:color w:val="auto"/>
              </w:rPr>
              <w:t>7,069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ind w:right="51"/>
              <w:spacing w:after="0"/>
              <w:rPr>
                <w:sz w:val="20"/>
                <w:szCs w:val="20"/>
                <w:color w:val="auto"/>
              </w:rPr>
            </w:pPr>
            <w:r>
              <w:rPr>
                <w:rFonts w:ascii="Arial" w:cs="Arial" w:eastAsia="Arial" w:hAnsi="Arial"/>
                <w:sz w:val="10"/>
                <w:szCs w:val="10"/>
                <w:color w:val="auto"/>
              </w:rPr>
              <w:t>14,138</w:t>
            </w:r>
          </w:p>
        </w:tc>
        <w:tc>
          <w:tcPr>
            <w:tcW w:w="1240" w:type="dxa"/>
            <w:vAlign w:val="bottom"/>
            <w:gridSpan w:val="2"/>
          </w:tcPr>
          <w:p>
            <w:pPr>
              <w:jc w:val="right"/>
              <w:ind w:right="51"/>
              <w:spacing w:after="0"/>
              <w:rPr>
                <w:sz w:val="20"/>
                <w:szCs w:val="20"/>
                <w:color w:val="auto"/>
              </w:rPr>
            </w:pPr>
            <w:r>
              <w:rPr>
                <w:rFonts w:ascii="Arial" w:cs="Arial" w:eastAsia="Arial" w:hAnsi="Arial"/>
                <w:sz w:val="10"/>
                <w:szCs w:val="10"/>
                <w:color w:val="auto"/>
              </w:rPr>
              <w:t>7,069</w:t>
            </w:r>
          </w:p>
        </w:tc>
        <w:tc>
          <w:tcPr>
            <w:tcW w:w="120" w:type="dxa"/>
            <w:vAlign w:val="bottom"/>
          </w:tcPr>
          <w:p>
            <w:pPr>
              <w:spacing w:after="0"/>
              <w:rPr>
                <w:sz w:val="23"/>
                <w:szCs w:val="23"/>
                <w:color w:val="auto"/>
              </w:rPr>
            </w:pPr>
          </w:p>
        </w:tc>
        <w:tc>
          <w:tcPr>
            <w:tcW w:w="88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391"/>
              <w:spacing w:after="0"/>
              <w:rPr>
                <w:sz w:val="20"/>
                <w:szCs w:val="20"/>
                <w:color w:val="auto"/>
              </w:rPr>
            </w:pPr>
            <w:r>
              <w:rPr>
                <w:rFonts w:ascii="Arial" w:cs="Arial" w:eastAsia="Arial" w:hAnsi="Arial"/>
                <w:sz w:val="10"/>
                <w:szCs w:val="10"/>
                <w:color w:val="auto"/>
              </w:rPr>
              <w:t>443,085</w:t>
            </w:r>
          </w:p>
        </w:tc>
        <w:tc>
          <w:tcPr>
            <w:tcW w:w="0" w:type="dxa"/>
            <w:vAlign w:val="bottom"/>
          </w:tcPr>
          <w:p>
            <w:pPr>
              <w:spacing w:after="0"/>
              <w:rPr>
                <w:sz w:val="1"/>
                <w:szCs w:val="1"/>
                <w:color w:val="auto"/>
              </w:rPr>
            </w:pPr>
          </w:p>
        </w:tc>
      </w:tr>
      <w:tr>
        <w:trPr>
          <w:trHeight w:val="80"/>
        </w:trPr>
        <w:tc>
          <w:tcPr>
            <w:tcW w:w="1160" w:type="dxa"/>
            <w:vAlign w:val="bottom"/>
          </w:tcPr>
          <w:p>
            <w:pPr>
              <w:spacing w:after="0"/>
              <w:rPr>
                <w:sz w:val="6"/>
                <w:szCs w:val="6"/>
                <w:color w:val="auto"/>
              </w:rPr>
            </w:pPr>
          </w:p>
        </w:tc>
        <w:tc>
          <w:tcPr>
            <w:tcW w:w="80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160" w:type="dxa"/>
            <w:vAlign w:val="bottom"/>
            <w:vMerge w:val="restart"/>
            <w:shd w:val="clear" w:color="auto" w:fill="CCEEFF"/>
          </w:tcPr>
          <w:p>
            <w:pPr>
              <w:ind w:left="40"/>
              <w:spacing w:after="0"/>
              <w:rPr>
                <w:sz w:val="20"/>
                <w:szCs w:val="20"/>
                <w:color w:val="auto"/>
              </w:rPr>
            </w:pPr>
            <w:r>
              <w:rPr>
                <w:rFonts w:ascii="Arial" w:cs="Arial" w:eastAsia="Arial" w:hAnsi="Arial"/>
                <w:sz w:val="10"/>
                <w:szCs w:val="10"/>
                <w:color w:val="auto"/>
              </w:rPr>
              <w:t>Kevin S. Cavanah</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w w:val="89"/>
              </w:rPr>
              <w:t>8/26/2014</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135,671</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271,343</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407,014</w:t>
            </w: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3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54"/>
        </w:trPr>
        <w:tc>
          <w:tcPr>
            <w:tcW w:w="116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260"/>
              <w:spacing w:after="0"/>
              <w:rPr>
                <w:sz w:val="20"/>
                <w:szCs w:val="20"/>
                <w:color w:val="auto"/>
              </w:rPr>
            </w:pPr>
            <w:r>
              <w:rPr>
                <w:rFonts w:ascii="Arial" w:cs="Arial" w:eastAsia="Arial" w:hAnsi="Arial"/>
                <w:sz w:val="10"/>
                <w:szCs w:val="10"/>
                <w:color w:val="auto"/>
                <w:w w:val="89"/>
              </w:rPr>
              <w:t>8/26/2014</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86,969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173,938</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260,907</w:t>
            </w: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3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70"/>
        </w:trPr>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ind w:left="260"/>
              <w:spacing w:after="0"/>
              <w:rPr>
                <w:sz w:val="20"/>
                <w:szCs w:val="20"/>
                <w:color w:val="auto"/>
              </w:rPr>
            </w:pPr>
            <w:r>
              <w:rPr>
                <w:rFonts w:ascii="Arial" w:cs="Arial" w:eastAsia="Arial" w:hAnsi="Arial"/>
                <w:sz w:val="10"/>
                <w:szCs w:val="10"/>
                <w:color w:val="auto"/>
                <w:w w:val="89"/>
              </w:rPr>
              <w:t>8/26/2014</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ind w:left="260"/>
              <w:spacing w:after="0"/>
              <w:rPr>
                <w:sz w:val="20"/>
                <w:szCs w:val="20"/>
                <w:color w:val="auto"/>
              </w:rPr>
            </w:pPr>
            <w:r>
              <w:rPr>
                <w:rFonts w:ascii="Arial" w:cs="Arial" w:eastAsia="Arial" w:hAnsi="Arial"/>
                <w:sz w:val="10"/>
                <w:szCs w:val="10"/>
                <w:color w:val="auto"/>
                <w:w w:val="94"/>
              </w:rPr>
              <w:t>8/26/2014</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1,562</w:t>
            </w:r>
          </w:p>
        </w:tc>
        <w:tc>
          <w:tcPr>
            <w:tcW w:w="760" w:type="dxa"/>
            <w:vAlign w:val="bottom"/>
            <w:gridSpan w:val="3"/>
            <w:shd w:val="clear" w:color="auto" w:fill="CCEEFF"/>
          </w:tcPr>
          <w:p>
            <w:pPr>
              <w:jc w:val="right"/>
              <w:ind w:right="51"/>
              <w:spacing w:after="0"/>
              <w:rPr>
                <w:sz w:val="20"/>
                <w:szCs w:val="20"/>
                <w:color w:val="auto"/>
              </w:rPr>
            </w:pPr>
            <w:r>
              <w:rPr>
                <w:rFonts w:ascii="Arial" w:cs="Arial" w:eastAsia="Arial" w:hAnsi="Arial"/>
                <w:sz w:val="10"/>
                <w:szCs w:val="10"/>
                <w:color w:val="auto"/>
              </w:rPr>
              <w:t>6,246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12,492</w:t>
            </w:r>
          </w:p>
        </w:tc>
        <w:tc>
          <w:tcPr>
            <w:tcW w:w="1240" w:type="dxa"/>
            <w:vAlign w:val="bottom"/>
            <w:gridSpan w:val="2"/>
            <w:shd w:val="clear" w:color="auto" w:fill="CCEEFF"/>
          </w:tcPr>
          <w:p>
            <w:pPr>
              <w:jc w:val="right"/>
              <w:ind w:right="51"/>
              <w:spacing w:after="0"/>
              <w:rPr>
                <w:sz w:val="20"/>
                <w:szCs w:val="20"/>
                <w:color w:val="auto"/>
              </w:rPr>
            </w:pPr>
            <w:r>
              <w:rPr>
                <w:rFonts w:ascii="Arial" w:cs="Arial" w:eastAsia="Arial" w:hAnsi="Arial"/>
                <w:sz w:val="10"/>
                <w:szCs w:val="10"/>
                <w:color w:val="auto"/>
              </w:rPr>
              <w:t>6,246</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391"/>
              <w:spacing w:after="0"/>
              <w:rPr>
                <w:sz w:val="20"/>
                <w:szCs w:val="20"/>
                <w:color w:val="auto"/>
              </w:rPr>
            </w:pPr>
            <w:r>
              <w:rPr>
                <w:rFonts w:ascii="Arial" w:cs="Arial" w:eastAsia="Arial" w:hAnsi="Arial"/>
                <w:sz w:val="10"/>
                <w:szCs w:val="10"/>
                <w:color w:val="auto"/>
              </w:rPr>
              <w:t>391,499</w:t>
            </w:r>
          </w:p>
        </w:tc>
        <w:tc>
          <w:tcPr>
            <w:tcW w:w="0" w:type="dxa"/>
            <w:vAlign w:val="bottom"/>
          </w:tcPr>
          <w:p>
            <w:pPr>
              <w:spacing w:after="0"/>
              <w:rPr>
                <w:sz w:val="1"/>
                <w:szCs w:val="1"/>
                <w:color w:val="auto"/>
              </w:rPr>
            </w:pPr>
          </w:p>
        </w:tc>
      </w:tr>
      <w:tr>
        <w:trPr>
          <w:trHeight w:val="80"/>
        </w:trPr>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160" w:type="dxa"/>
            <w:vAlign w:val="bottom"/>
            <w:vMerge w:val="restart"/>
          </w:tcPr>
          <w:p>
            <w:pPr>
              <w:ind w:left="40"/>
              <w:spacing w:after="0"/>
              <w:rPr>
                <w:sz w:val="20"/>
                <w:szCs w:val="20"/>
                <w:color w:val="auto"/>
              </w:rPr>
            </w:pPr>
            <w:r>
              <w:rPr>
                <w:rFonts w:ascii="Arial" w:cs="Arial" w:eastAsia="Arial" w:hAnsi="Arial"/>
                <w:sz w:val="10"/>
                <w:szCs w:val="10"/>
                <w:color w:val="auto"/>
              </w:rPr>
              <w:t>James P. Ryan</w:t>
            </w:r>
          </w:p>
        </w:tc>
        <w:tc>
          <w:tcPr>
            <w:tcW w:w="800" w:type="dxa"/>
            <w:vAlign w:val="bottom"/>
            <w:gridSpan w:val="2"/>
          </w:tcPr>
          <w:p>
            <w:pPr>
              <w:ind w:left="380"/>
              <w:spacing w:after="0"/>
              <w:rPr>
                <w:sz w:val="20"/>
                <w:szCs w:val="20"/>
                <w:color w:val="auto"/>
              </w:rPr>
            </w:pPr>
            <w:r>
              <w:rPr>
                <w:rFonts w:ascii="Arial" w:cs="Arial" w:eastAsia="Arial" w:hAnsi="Arial"/>
                <w:sz w:val="10"/>
                <w:szCs w:val="10"/>
                <w:color w:val="auto"/>
                <w:w w:val="89"/>
              </w:rPr>
              <w:t>8/26/2014</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107,447</w:t>
            </w:r>
          </w:p>
        </w:tc>
        <w:tc>
          <w:tcPr>
            <w:tcW w:w="120" w:type="dxa"/>
            <w:vAlign w:val="bottom"/>
          </w:tcPr>
          <w:p>
            <w:pPr>
              <w:spacing w:after="0"/>
              <w:rPr>
                <w:sz w:val="16"/>
                <w:szCs w:val="16"/>
                <w:color w:val="auto"/>
              </w:rPr>
            </w:pPr>
          </w:p>
        </w:tc>
        <w:tc>
          <w:tcPr>
            <w:tcW w:w="580" w:type="dxa"/>
            <w:vAlign w:val="bottom"/>
          </w:tcPr>
          <w:p>
            <w:pPr>
              <w:jc w:val="right"/>
              <w:ind w:right="71"/>
              <w:spacing w:after="0"/>
              <w:rPr>
                <w:sz w:val="20"/>
                <w:szCs w:val="20"/>
                <w:color w:val="auto"/>
              </w:rPr>
            </w:pPr>
            <w:r>
              <w:rPr>
                <w:rFonts w:ascii="Arial" w:cs="Arial" w:eastAsia="Arial" w:hAnsi="Arial"/>
                <w:sz w:val="10"/>
                <w:szCs w:val="10"/>
                <w:color w:val="auto"/>
              </w:rPr>
              <w:t>214,893</w:t>
            </w:r>
          </w:p>
        </w:tc>
        <w:tc>
          <w:tcPr>
            <w:tcW w:w="120" w:type="dxa"/>
            <w:vAlign w:val="bottom"/>
          </w:tcPr>
          <w:p>
            <w:pPr>
              <w:spacing w:after="0"/>
              <w:rPr>
                <w:sz w:val="16"/>
                <w:szCs w:val="16"/>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322,340</w:t>
            </w:r>
          </w:p>
        </w:tc>
        <w:tc>
          <w:tcPr>
            <w:tcW w:w="360" w:type="dxa"/>
            <w:vAlign w:val="bottom"/>
          </w:tcPr>
          <w:p>
            <w:pPr>
              <w:jc w:val="right"/>
              <w:ind w:right="71"/>
              <w:spacing w:after="0"/>
              <w:rPr>
                <w:sz w:val="20"/>
                <w:szCs w:val="20"/>
                <w:color w:val="auto"/>
              </w:rPr>
            </w:pPr>
            <w:r>
              <w:rPr>
                <w:rFonts w:ascii="Arial" w:cs="Arial" w:eastAsia="Arial" w:hAnsi="Arial"/>
                <w:sz w:val="10"/>
                <w:szCs w:val="10"/>
                <w:color w:val="auto"/>
              </w:rPr>
              <w:t>(4)</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3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54"/>
        </w:trPr>
        <w:tc>
          <w:tcPr>
            <w:tcW w:w="11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0" w:type="dxa"/>
            <w:vAlign w:val="bottom"/>
            <w:gridSpan w:val="2"/>
          </w:tcPr>
          <w:p>
            <w:pPr>
              <w:ind w:left="380"/>
              <w:spacing w:after="0"/>
              <w:rPr>
                <w:sz w:val="20"/>
                <w:szCs w:val="20"/>
                <w:color w:val="auto"/>
              </w:rPr>
            </w:pPr>
            <w:r>
              <w:rPr>
                <w:rFonts w:ascii="Arial" w:cs="Arial" w:eastAsia="Arial" w:hAnsi="Arial"/>
                <w:sz w:val="10"/>
                <w:szCs w:val="10"/>
                <w:color w:val="auto"/>
                <w:w w:val="89"/>
              </w:rPr>
              <w:t>8/26/2014</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59,693</w:t>
            </w:r>
          </w:p>
        </w:tc>
        <w:tc>
          <w:tcPr>
            <w:tcW w:w="120" w:type="dxa"/>
            <w:vAlign w:val="bottom"/>
          </w:tcPr>
          <w:p>
            <w:pPr>
              <w:spacing w:after="0"/>
              <w:rPr>
                <w:sz w:val="18"/>
                <w:szCs w:val="18"/>
                <w:color w:val="auto"/>
              </w:rPr>
            </w:pPr>
          </w:p>
        </w:tc>
        <w:tc>
          <w:tcPr>
            <w:tcW w:w="580" w:type="dxa"/>
            <w:vAlign w:val="bottom"/>
          </w:tcPr>
          <w:p>
            <w:pPr>
              <w:jc w:val="right"/>
              <w:ind w:right="71"/>
              <w:spacing w:after="0"/>
              <w:rPr>
                <w:sz w:val="20"/>
                <w:szCs w:val="20"/>
                <w:color w:val="auto"/>
              </w:rPr>
            </w:pPr>
            <w:r>
              <w:rPr>
                <w:rFonts w:ascii="Arial" w:cs="Arial" w:eastAsia="Arial" w:hAnsi="Arial"/>
                <w:sz w:val="10"/>
                <w:szCs w:val="10"/>
                <w:color w:val="auto"/>
              </w:rPr>
              <w:t>119,385</w:t>
            </w:r>
          </w:p>
        </w:tc>
        <w:tc>
          <w:tcPr>
            <w:tcW w:w="120" w:type="dxa"/>
            <w:vAlign w:val="bottom"/>
          </w:tcPr>
          <w:p>
            <w:pPr>
              <w:spacing w:after="0"/>
              <w:rPr>
                <w:sz w:val="18"/>
                <w:szCs w:val="18"/>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179,078</w:t>
            </w:r>
          </w:p>
        </w:tc>
        <w:tc>
          <w:tcPr>
            <w:tcW w:w="360" w:type="dxa"/>
            <w:vAlign w:val="bottom"/>
          </w:tcPr>
          <w:p>
            <w:pPr>
              <w:jc w:val="right"/>
              <w:ind w:right="71"/>
              <w:spacing w:after="0"/>
              <w:rPr>
                <w:sz w:val="20"/>
                <w:szCs w:val="20"/>
                <w:color w:val="auto"/>
              </w:rPr>
            </w:pPr>
            <w:r>
              <w:rPr>
                <w:rFonts w:ascii="Arial" w:cs="Arial" w:eastAsia="Arial" w:hAnsi="Arial"/>
                <w:sz w:val="10"/>
                <w:szCs w:val="10"/>
                <w:color w:val="auto"/>
              </w:rPr>
              <w:t>(5)</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3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800" w:type="dxa"/>
            <w:vAlign w:val="bottom"/>
            <w:gridSpan w:val="2"/>
          </w:tcPr>
          <w:p>
            <w:pPr>
              <w:ind w:left="380"/>
              <w:spacing w:after="0"/>
              <w:rPr>
                <w:sz w:val="20"/>
                <w:szCs w:val="20"/>
                <w:color w:val="auto"/>
              </w:rPr>
            </w:pPr>
            <w:r>
              <w:rPr>
                <w:rFonts w:ascii="Arial" w:cs="Arial" w:eastAsia="Arial" w:hAnsi="Arial"/>
                <w:sz w:val="10"/>
                <w:szCs w:val="10"/>
                <w:color w:val="auto"/>
                <w:w w:val="89"/>
              </w:rPr>
              <w:t>8/26/2014</w:t>
            </w:r>
          </w:p>
        </w:tc>
        <w:tc>
          <w:tcPr>
            <w:tcW w:w="120" w:type="dxa"/>
            <w:vAlign w:val="bottom"/>
          </w:tcPr>
          <w:p>
            <w:pPr>
              <w:spacing w:after="0"/>
              <w:rPr>
                <w:sz w:val="23"/>
                <w:szCs w:val="23"/>
                <w:color w:val="auto"/>
              </w:rPr>
            </w:pPr>
          </w:p>
        </w:tc>
        <w:tc>
          <w:tcPr>
            <w:tcW w:w="700" w:type="dxa"/>
            <w:vAlign w:val="bottom"/>
          </w:tcPr>
          <w:p>
            <w:pPr>
              <w:ind w:left="260"/>
              <w:spacing w:after="0"/>
              <w:rPr>
                <w:sz w:val="20"/>
                <w:szCs w:val="20"/>
                <w:color w:val="auto"/>
              </w:rPr>
            </w:pPr>
            <w:r>
              <w:rPr>
                <w:rFonts w:ascii="Arial" w:cs="Arial" w:eastAsia="Arial" w:hAnsi="Arial"/>
                <w:sz w:val="10"/>
                <w:szCs w:val="10"/>
                <w:color w:val="auto"/>
                <w:w w:val="94"/>
              </w:rPr>
              <w:t>8/26/2014</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1,072</w:t>
            </w:r>
          </w:p>
        </w:tc>
        <w:tc>
          <w:tcPr>
            <w:tcW w:w="760" w:type="dxa"/>
            <w:vAlign w:val="bottom"/>
            <w:gridSpan w:val="3"/>
          </w:tcPr>
          <w:p>
            <w:pPr>
              <w:jc w:val="right"/>
              <w:ind w:right="51"/>
              <w:spacing w:after="0"/>
              <w:rPr>
                <w:sz w:val="20"/>
                <w:szCs w:val="20"/>
                <w:color w:val="auto"/>
              </w:rPr>
            </w:pPr>
            <w:r>
              <w:rPr>
                <w:rFonts w:ascii="Arial" w:cs="Arial" w:eastAsia="Arial" w:hAnsi="Arial"/>
                <w:sz w:val="10"/>
                <w:szCs w:val="10"/>
                <w:color w:val="auto"/>
              </w:rPr>
              <w:t>4,287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ind w:right="51"/>
              <w:spacing w:after="0"/>
              <w:rPr>
                <w:sz w:val="20"/>
                <w:szCs w:val="20"/>
                <w:color w:val="auto"/>
              </w:rPr>
            </w:pPr>
            <w:r>
              <w:rPr>
                <w:rFonts w:ascii="Arial" w:cs="Arial" w:eastAsia="Arial" w:hAnsi="Arial"/>
                <w:sz w:val="10"/>
                <w:szCs w:val="10"/>
                <w:color w:val="auto"/>
              </w:rPr>
              <w:t>8,574</w:t>
            </w:r>
          </w:p>
        </w:tc>
        <w:tc>
          <w:tcPr>
            <w:tcW w:w="1240" w:type="dxa"/>
            <w:vAlign w:val="bottom"/>
            <w:gridSpan w:val="2"/>
          </w:tcPr>
          <w:p>
            <w:pPr>
              <w:jc w:val="right"/>
              <w:ind w:right="51"/>
              <w:spacing w:after="0"/>
              <w:rPr>
                <w:sz w:val="20"/>
                <w:szCs w:val="20"/>
                <w:color w:val="auto"/>
              </w:rPr>
            </w:pPr>
            <w:r>
              <w:rPr>
                <w:rFonts w:ascii="Arial" w:cs="Arial" w:eastAsia="Arial" w:hAnsi="Arial"/>
                <w:sz w:val="10"/>
                <w:szCs w:val="10"/>
                <w:color w:val="auto"/>
              </w:rPr>
              <w:t>4,287</w:t>
            </w:r>
          </w:p>
        </w:tc>
        <w:tc>
          <w:tcPr>
            <w:tcW w:w="120" w:type="dxa"/>
            <w:vAlign w:val="bottom"/>
          </w:tcPr>
          <w:p>
            <w:pPr>
              <w:spacing w:after="0"/>
              <w:rPr>
                <w:sz w:val="23"/>
                <w:szCs w:val="23"/>
                <w:color w:val="auto"/>
              </w:rPr>
            </w:pPr>
          </w:p>
        </w:tc>
        <w:tc>
          <w:tcPr>
            <w:tcW w:w="88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391"/>
              <w:spacing w:after="0"/>
              <w:rPr>
                <w:sz w:val="20"/>
                <w:szCs w:val="20"/>
                <w:color w:val="auto"/>
              </w:rPr>
            </w:pPr>
            <w:r>
              <w:rPr>
                <w:rFonts w:ascii="Arial" w:cs="Arial" w:eastAsia="Arial" w:hAnsi="Arial"/>
                <w:sz w:val="10"/>
                <w:szCs w:val="10"/>
                <w:color w:val="auto"/>
              </w:rPr>
              <w:t>268,709</w:t>
            </w:r>
          </w:p>
        </w:tc>
        <w:tc>
          <w:tcPr>
            <w:tcW w:w="0" w:type="dxa"/>
            <w:vAlign w:val="bottom"/>
          </w:tcPr>
          <w:p>
            <w:pPr>
              <w:spacing w:after="0"/>
              <w:rPr>
                <w:sz w:val="1"/>
                <w:szCs w:val="1"/>
                <w:color w:val="auto"/>
              </w:rPr>
            </w:pPr>
          </w:p>
        </w:tc>
      </w:tr>
      <w:tr>
        <w:trPr>
          <w:trHeight w:val="80"/>
        </w:trPr>
        <w:tc>
          <w:tcPr>
            <w:tcW w:w="1160" w:type="dxa"/>
            <w:vAlign w:val="bottom"/>
          </w:tcPr>
          <w:p>
            <w:pPr>
              <w:spacing w:after="0"/>
              <w:rPr>
                <w:sz w:val="6"/>
                <w:szCs w:val="6"/>
                <w:color w:val="auto"/>
              </w:rPr>
            </w:pPr>
          </w:p>
        </w:tc>
        <w:tc>
          <w:tcPr>
            <w:tcW w:w="80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160" w:type="dxa"/>
            <w:vAlign w:val="bottom"/>
            <w:vMerge w:val="restart"/>
            <w:shd w:val="clear" w:color="auto" w:fill="CCEEFF"/>
          </w:tcPr>
          <w:p>
            <w:pPr>
              <w:ind w:left="40"/>
              <w:spacing w:after="0"/>
              <w:rPr>
                <w:sz w:val="20"/>
                <w:szCs w:val="20"/>
                <w:color w:val="auto"/>
              </w:rPr>
            </w:pPr>
            <w:r>
              <w:rPr>
                <w:rFonts w:ascii="Arial" w:cs="Arial" w:eastAsia="Arial" w:hAnsi="Arial"/>
                <w:sz w:val="10"/>
                <w:szCs w:val="10"/>
                <w:color w:val="auto"/>
              </w:rPr>
              <w:t>Jason W. Turner</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w w:val="89"/>
              </w:rPr>
              <w:t>8/26/2014</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103,230</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206,460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309,690</w:t>
            </w: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3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54"/>
        </w:trPr>
        <w:tc>
          <w:tcPr>
            <w:tcW w:w="116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260"/>
              <w:spacing w:after="0"/>
              <w:rPr>
                <w:sz w:val="20"/>
                <w:szCs w:val="20"/>
                <w:color w:val="auto"/>
              </w:rPr>
            </w:pPr>
            <w:r>
              <w:rPr>
                <w:rFonts w:ascii="Arial" w:cs="Arial" w:eastAsia="Arial" w:hAnsi="Arial"/>
                <w:sz w:val="10"/>
                <w:szCs w:val="10"/>
                <w:color w:val="auto"/>
                <w:w w:val="89"/>
              </w:rPr>
              <w:t>8/26/2014</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57,350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114,700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172,050</w:t>
            </w: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3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70"/>
        </w:trPr>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ind w:left="260"/>
              <w:spacing w:after="0"/>
              <w:rPr>
                <w:sz w:val="20"/>
                <w:szCs w:val="20"/>
                <w:color w:val="auto"/>
              </w:rPr>
            </w:pPr>
            <w:r>
              <w:rPr>
                <w:rFonts w:ascii="Arial" w:cs="Arial" w:eastAsia="Arial" w:hAnsi="Arial"/>
                <w:sz w:val="10"/>
                <w:szCs w:val="10"/>
                <w:color w:val="auto"/>
                <w:w w:val="89"/>
              </w:rPr>
              <w:t>8/26/2014</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ind w:left="260"/>
              <w:spacing w:after="0"/>
              <w:rPr>
                <w:sz w:val="20"/>
                <w:szCs w:val="20"/>
                <w:color w:val="auto"/>
              </w:rPr>
            </w:pPr>
            <w:r>
              <w:rPr>
                <w:rFonts w:ascii="Arial" w:cs="Arial" w:eastAsia="Arial" w:hAnsi="Arial"/>
                <w:sz w:val="10"/>
                <w:szCs w:val="10"/>
                <w:color w:val="auto"/>
                <w:w w:val="94"/>
              </w:rPr>
              <w:t>8/26/2014</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1,030</w:t>
            </w:r>
          </w:p>
        </w:tc>
        <w:tc>
          <w:tcPr>
            <w:tcW w:w="760" w:type="dxa"/>
            <w:vAlign w:val="bottom"/>
            <w:gridSpan w:val="3"/>
            <w:shd w:val="clear" w:color="auto" w:fill="CCEEFF"/>
          </w:tcPr>
          <w:p>
            <w:pPr>
              <w:jc w:val="right"/>
              <w:ind w:right="51"/>
              <w:spacing w:after="0"/>
              <w:rPr>
                <w:sz w:val="20"/>
                <w:szCs w:val="20"/>
                <w:color w:val="auto"/>
              </w:rPr>
            </w:pPr>
            <w:r>
              <w:rPr>
                <w:rFonts w:ascii="Arial" w:cs="Arial" w:eastAsia="Arial" w:hAnsi="Arial"/>
                <w:sz w:val="10"/>
                <w:szCs w:val="10"/>
                <w:color w:val="auto"/>
              </w:rPr>
              <w:t>4,118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8,236</w:t>
            </w:r>
          </w:p>
        </w:tc>
        <w:tc>
          <w:tcPr>
            <w:tcW w:w="1240" w:type="dxa"/>
            <w:vAlign w:val="bottom"/>
            <w:gridSpan w:val="2"/>
            <w:shd w:val="clear" w:color="auto" w:fill="CCEEFF"/>
          </w:tcPr>
          <w:p>
            <w:pPr>
              <w:jc w:val="right"/>
              <w:ind w:right="51"/>
              <w:spacing w:after="0"/>
              <w:rPr>
                <w:sz w:val="20"/>
                <w:szCs w:val="20"/>
                <w:color w:val="auto"/>
              </w:rPr>
            </w:pPr>
            <w:r>
              <w:rPr>
                <w:rFonts w:ascii="Arial" w:cs="Arial" w:eastAsia="Arial" w:hAnsi="Arial"/>
                <w:sz w:val="10"/>
                <w:szCs w:val="10"/>
                <w:color w:val="auto"/>
              </w:rPr>
              <w:t>4,118</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391"/>
              <w:spacing w:after="0"/>
              <w:rPr>
                <w:sz w:val="20"/>
                <w:szCs w:val="20"/>
                <w:color w:val="auto"/>
              </w:rPr>
            </w:pPr>
            <w:r>
              <w:rPr>
                <w:rFonts w:ascii="Arial" w:cs="Arial" w:eastAsia="Arial" w:hAnsi="Arial"/>
                <w:sz w:val="10"/>
                <w:szCs w:val="10"/>
                <w:color w:val="auto"/>
              </w:rPr>
              <w:t>258,116</w:t>
            </w:r>
          </w:p>
        </w:tc>
        <w:tc>
          <w:tcPr>
            <w:tcW w:w="0" w:type="dxa"/>
            <w:vAlign w:val="bottom"/>
          </w:tcPr>
          <w:p>
            <w:pPr>
              <w:spacing w:after="0"/>
              <w:rPr>
                <w:sz w:val="1"/>
                <w:szCs w:val="1"/>
                <w:color w:val="auto"/>
              </w:rPr>
            </w:pPr>
          </w:p>
        </w:tc>
      </w:tr>
      <w:tr>
        <w:trPr>
          <w:trHeight w:val="80"/>
        </w:trPr>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460" w:right="20" w:hanging="330"/>
        <w:spacing w:after="0" w:line="277" w:lineRule="auto"/>
        <w:tabs>
          <w:tab w:leader="none" w:pos="4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the number of shares which may be issued pursuant to fiscal 2015 performance unit awards to the Named Executive Officers that cliff vest three years after the grant date. The number of shares of common stock received upon vesting of the performance units will range between 0% and 200% of the number of performance units awarded as determined by the three-year Total Shareholder Return on the Company's common stock when compared to the Total Shareholder Return on the common stock of a group of peer companies selected by the Compensation Committee of the Board of Directors. The fiscal 2015 performance unit awards are described under the caption "Compensation Discussion and Analysis".</w:t>
      </w:r>
    </w:p>
    <w:p>
      <w:pPr>
        <w:spacing w:after="0" w:line="120" w:lineRule="exact"/>
        <w:rPr>
          <w:rFonts w:ascii="Arial" w:cs="Arial" w:eastAsia="Arial" w:hAnsi="Arial"/>
          <w:sz w:val="13"/>
          <w:szCs w:val="13"/>
          <w:color w:val="auto"/>
        </w:rPr>
      </w:pPr>
    </w:p>
    <w:p>
      <w:pPr>
        <w:ind w:left="460" w:right="140" w:hanging="330"/>
        <w:spacing w:after="0" w:line="273" w:lineRule="auto"/>
        <w:tabs>
          <w:tab w:leader="none" w:pos="4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shown represent service-based restricted stock units granted to the Named Executive Officers in fiscal 2015. The awards vest in four equal annual installments beginning one year after the grant date.</w:t>
      </w:r>
    </w:p>
    <w:p>
      <w:pPr>
        <w:spacing w:after="0" w:line="119" w:lineRule="exact"/>
        <w:rPr>
          <w:rFonts w:ascii="Arial" w:cs="Arial" w:eastAsia="Arial" w:hAnsi="Arial"/>
          <w:sz w:val="14"/>
          <w:szCs w:val="14"/>
          <w:color w:val="auto"/>
        </w:rPr>
      </w:pPr>
    </w:p>
    <w:p>
      <w:pPr>
        <w:ind w:left="460" w:right="40" w:hanging="330"/>
        <w:spacing w:after="0" w:line="247" w:lineRule="auto"/>
        <w:tabs>
          <w:tab w:leader="none" w:pos="4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shown are calculated based upon the grant date fair value calculated in accordance with ASC718 – Compensation—Stock Compensation. The grant date fair value of the service-based restricted stock units is calculated by multiplying the number of restricted stock units awarded by the closing stock price on the date of grant. The grant date fair value of the performance units is calculated using a Monte Carlo model. The model estimated the fair value of the award based on approximately 100,000 simulations of the future prices of the Company's common stock compared to the future prices of its peer companies based on historical volatilities. The model also took into account the expected dividends over the performance period. See Notes 1 and 10 of the Notes to the Consolidated Financial Statements included in the Company’s fiscal 2015 Annual Report on Form 10-K for a full discussion of the Company’s stock based compensation accounting policies.</w:t>
      </w:r>
    </w:p>
    <w:p>
      <w:pPr>
        <w:spacing w:after="0" w:line="140" w:lineRule="exact"/>
        <w:rPr>
          <w:rFonts w:ascii="Arial" w:cs="Arial" w:eastAsia="Arial" w:hAnsi="Arial"/>
          <w:sz w:val="14"/>
          <w:szCs w:val="14"/>
          <w:color w:val="auto"/>
        </w:rPr>
      </w:pPr>
    </w:p>
    <w:p>
      <w:pPr>
        <w:ind w:left="460" w:right="80" w:hanging="330"/>
        <w:spacing w:after="0" w:line="286" w:lineRule="auto"/>
        <w:tabs>
          <w:tab w:leader="none" w:pos="4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amounts shown are the cash incentive compensation award potential for each Named Executive Officer under our annual/short-term incentive compensation plan described under the caption "Compensation Discussion and Analysis". Actual payouts to the Named Executive Officers for the applicable fiscal year are reported in the Summary Compensation Table as a portion of the amount shown under the column “Non-Equity Incentive Plan Compensation”. No amounts were paid for fiscal 2015 under the annual/short-term incentive compensation plan.</w:t>
      </w:r>
    </w:p>
    <w:p>
      <w:pPr>
        <w:spacing w:after="0" w:line="113" w:lineRule="exact"/>
        <w:rPr>
          <w:rFonts w:ascii="Arial" w:cs="Arial" w:eastAsia="Arial" w:hAnsi="Arial"/>
          <w:sz w:val="13"/>
          <w:szCs w:val="13"/>
          <w:color w:val="auto"/>
        </w:rPr>
      </w:pPr>
    </w:p>
    <w:p>
      <w:pPr>
        <w:ind w:left="460" w:right="180" w:hanging="330"/>
        <w:spacing w:after="0" w:line="252" w:lineRule="auto"/>
        <w:tabs>
          <w:tab w:leader="none" w:pos="4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shown represent the potential cash awards for each Named Executive Officer under the cash portion of our fiscal 2015 long-term incentive award described under the caption "Compensation Discussion and Analysis". The actual cash payout can range from 0% to 150% of the target payout and is based on average Return on Invested Capital for fiscal 2015 and fiscal 2016. Actual payouts for the applicable fiscal year are reported in the Summary Compensation Table as a portion of the amount shown under the column "Non-Equity Incentive Plan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for 2015</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with respect to outstanding equity awards held by the Named Executive Officers as of June 30, 2015:</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Option Awards</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Stock Awards</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Equity</w:t>
            </w: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Incentive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Plan</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Market</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24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Unearned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Value of</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Shares,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38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or Units</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Units or</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Stock</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or Units</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Other</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Option</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That</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Stock</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Rights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40" w:type="dxa"/>
            <w:vAlign w:val="bottom"/>
            <w:gridSpan w:val="2"/>
            <w:vMerge w:val="continue"/>
          </w:tcPr>
          <w:p>
            <w:pPr>
              <w:spacing w:after="0"/>
              <w:rPr>
                <w:sz w:val="12"/>
                <w:szCs w:val="12"/>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Have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That Have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That Have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That Have</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Options</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Not</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Not</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Not</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49"/>
        </w:trPr>
        <w:tc>
          <w:tcPr>
            <w:tcW w:w="13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Vested</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Vested</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Vested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Exercisable (#)</w:t>
            </w:r>
          </w:p>
        </w:tc>
        <w:tc>
          <w:tcPr>
            <w:tcW w:w="1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(1)</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(1)</w:t>
            </w:r>
          </w:p>
        </w:tc>
        <w:tc>
          <w:tcPr>
            <w:tcW w:w="0" w:type="dxa"/>
            <w:vAlign w:val="bottom"/>
          </w:tcPr>
          <w:p>
            <w:pPr>
              <w:spacing w:after="0"/>
              <w:rPr>
                <w:sz w:val="1"/>
                <w:szCs w:val="1"/>
                <w:color w:val="auto"/>
              </w:rPr>
            </w:pPr>
          </w:p>
        </w:tc>
      </w:tr>
      <w:tr>
        <w:trPr>
          <w:trHeight w:val="460"/>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John R. Hewitt</w:t>
            </w:r>
          </w:p>
        </w:tc>
        <w:tc>
          <w:tcPr>
            <w:tcW w:w="120" w:type="dxa"/>
            <w:vAlign w:val="bottom"/>
            <w:shd w:val="clear" w:color="auto" w:fill="CCEEFF"/>
          </w:tcPr>
          <w:p>
            <w:pPr>
              <w:spacing w:after="0"/>
              <w:rPr>
                <w:sz w:val="24"/>
                <w:szCs w:val="24"/>
                <w:color w:val="auto"/>
              </w:rPr>
            </w:pPr>
          </w:p>
        </w:tc>
        <w:tc>
          <w:tcPr>
            <w:tcW w:w="13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6"/>
              <w:spacing w:after="0"/>
              <w:rPr>
                <w:sz w:val="20"/>
                <w:szCs w:val="20"/>
                <w:color w:val="auto"/>
              </w:rPr>
            </w:pPr>
            <w:r>
              <w:rPr>
                <w:rFonts w:ascii="Arial" w:cs="Arial" w:eastAsia="Arial" w:hAnsi="Arial"/>
                <w:sz w:val="14"/>
                <w:szCs w:val="14"/>
                <w:color w:val="auto"/>
              </w:rPr>
              <w:t>87,257</w:t>
            </w:r>
          </w:p>
        </w:tc>
        <w:tc>
          <w:tcPr>
            <w:tcW w:w="100" w:type="dxa"/>
            <w:vAlign w:val="bottom"/>
            <w:shd w:val="clear" w:color="auto" w:fill="CCEEFF"/>
          </w:tcPr>
          <w:p>
            <w:pPr>
              <w:spacing w:after="0"/>
              <w:rPr>
                <w:sz w:val="24"/>
                <w:szCs w:val="24"/>
                <w:color w:val="auto"/>
              </w:rPr>
            </w:pPr>
          </w:p>
        </w:tc>
        <w:tc>
          <w:tcPr>
            <w:tcW w:w="1140" w:type="dxa"/>
            <w:vAlign w:val="bottom"/>
            <w:vMerge w:val="restart"/>
            <w:shd w:val="clear" w:color="auto" w:fill="CCEEFF"/>
          </w:tcPr>
          <w:p>
            <w:pPr>
              <w:jc w:val="right"/>
              <w:ind w:right="46"/>
              <w:spacing w:after="0"/>
              <w:rPr>
                <w:sz w:val="20"/>
                <w:szCs w:val="20"/>
                <w:color w:val="auto"/>
              </w:rPr>
            </w:pPr>
            <w:r>
              <w:rPr>
                <w:rFonts w:ascii="Arial" w:cs="Arial" w:eastAsia="Arial" w:hAnsi="Arial"/>
                <w:sz w:val="14"/>
                <w:szCs w:val="14"/>
                <w:color w:val="auto"/>
              </w:rPr>
              <w:t>1,595,058</w:t>
            </w:r>
          </w:p>
        </w:tc>
        <w:tc>
          <w:tcPr>
            <w:tcW w:w="100" w:type="dxa"/>
            <w:vAlign w:val="bottom"/>
            <w:shd w:val="clear" w:color="auto" w:fill="CCEEFF"/>
          </w:tcPr>
          <w:p>
            <w:pPr>
              <w:spacing w:after="0"/>
              <w:rPr>
                <w:sz w:val="24"/>
                <w:szCs w:val="24"/>
                <w:color w:val="auto"/>
              </w:rPr>
            </w:pPr>
          </w:p>
        </w:tc>
        <w:tc>
          <w:tcPr>
            <w:tcW w:w="1140" w:type="dxa"/>
            <w:vAlign w:val="bottom"/>
            <w:vMerge w:val="restart"/>
            <w:shd w:val="clear" w:color="auto" w:fill="CCEEFF"/>
          </w:tcPr>
          <w:p>
            <w:pPr>
              <w:jc w:val="right"/>
              <w:ind w:right="46"/>
              <w:spacing w:after="0"/>
              <w:rPr>
                <w:sz w:val="20"/>
                <w:szCs w:val="20"/>
                <w:color w:val="auto"/>
              </w:rPr>
            </w:pPr>
            <w:r>
              <w:rPr>
                <w:rFonts w:ascii="Arial" w:cs="Arial" w:eastAsia="Arial" w:hAnsi="Arial"/>
                <w:sz w:val="14"/>
                <w:szCs w:val="14"/>
                <w:color w:val="auto"/>
              </w:rPr>
              <w:t>114,384</w:t>
            </w:r>
          </w:p>
        </w:tc>
        <w:tc>
          <w:tcPr>
            <w:tcW w:w="100" w:type="dxa"/>
            <w:vAlign w:val="bottom"/>
            <w:shd w:val="clear" w:color="auto" w:fill="CCEEFF"/>
          </w:tcPr>
          <w:p>
            <w:pPr>
              <w:spacing w:after="0"/>
              <w:rPr>
                <w:sz w:val="24"/>
                <w:szCs w:val="24"/>
                <w:color w:val="auto"/>
              </w:rPr>
            </w:pPr>
          </w:p>
        </w:tc>
        <w:tc>
          <w:tcPr>
            <w:tcW w:w="1140" w:type="dxa"/>
            <w:vAlign w:val="bottom"/>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2,090,940</w:t>
            </w:r>
          </w:p>
        </w:tc>
        <w:tc>
          <w:tcPr>
            <w:tcW w:w="0" w:type="dxa"/>
            <w:vAlign w:val="bottom"/>
          </w:tcPr>
          <w:p>
            <w:pPr>
              <w:spacing w:after="0"/>
              <w:rPr>
                <w:sz w:val="1"/>
                <w:szCs w:val="1"/>
                <w:color w:val="auto"/>
              </w:rPr>
            </w:pPr>
          </w:p>
        </w:tc>
      </w:tr>
      <w:tr>
        <w:trPr>
          <w:trHeight w:val="80"/>
        </w:trPr>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380" w:type="dxa"/>
            <w:vAlign w:val="bottom"/>
          </w:tcPr>
          <w:p>
            <w:pPr>
              <w:ind w:left="40"/>
              <w:spacing w:after="0"/>
              <w:rPr>
                <w:sz w:val="20"/>
                <w:szCs w:val="20"/>
                <w:color w:val="auto"/>
              </w:rPr>
            </w:pPr>
            <w:r>
              <w:rPr>
                <w:rFonts w:ascii="Arial" w:cs="Arial" w:eastAsia="Arial" w:hAnsi="Arial"/>
                <w:sz w:val="14"/>
                <w:szCs w:val="14"/>
                <w:color w:val="auto"/>
                <w:w w:val="95"/>
              </w:rPr>
              <w:t>Joseph F. Montalbano</w:t>
            </w:r>
          </w:p>
        </w:tc>
        <w:tc>
          <w:tcPr>
            <w:tcW w:w="128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21,050</w:t>
            </w:r>
          </w:p>
        </w:tc>
        <w:tc>
          <w:tcPr>
            <w:tcW w:w="140" w:type="dxa"/>
            <w:vAlign w:val="bottom"/>
          </w:tcPr>
          <w:p>
            <w:pPr>
              <w:spacing w:after="0"/>
              <w:rPr>
                <w:sz w:val="16"/>
                <w:szCs w:val="16"/>
                <w:color w:val="auto"/>
              </w:rPr>
            </w:pPr>
          </w:p>
        </w:tc>
        <w:tc>
          <w:tcPr>
            <w:tcW w:w="1380" w:type="dxa"/>
            <w:vAlign w:val="bottom"/>
            <w:gridSpan w:val="2"/>
            <w:vMerge w:val="restart"/>
          </w:tcPr>
          <w:p>
            <w:pPr>
              <w:ind w:left="100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10.19</w:t>
            </w:r>
          </w:p>
        </w:tc>
        <w:tc>
          <w:tcPr>
            <w:tcW w:w="12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11/17/2021</w:t>
            </w:r>
          </w:p>
        </w:tc>
        <w:tc>
          <w:tcPr>
            <w:tcW w:w="100" w:type="dxa"/>
            <w:vAlign w:val="bottom"/>
          </w:tcPr>
          <w:p>
            <w:pPr>
              <w:spacing w:after="0"/>
              <w:rPr>
                <w:sz w:val="16"/>
                <w:szCs w:val="16"/>
                <w:color w:val="auto"/>
              </w:rPr>
            </w:pPr>
          </w:p>
        </w:tc>
        <w:tc>
          <w:tcPr>
            <w:tcW w:w="1140" w:type="dxa"/>
            <w:vAlign w:val="bottom"/>
            <w:vMerge w:val="restart"/>
          </w:tcPr>
          <w:p>
            <w:pPr>
              <w:jc w:val="right"/>
              <w:ind w:right="46"/>
              <w:spacing w:after="0"/>
              <w:rPr>
                <w:sz w:val="20"/>
                <w:szCs w:val="20"/>
                <w:color w:val="auto"/>
              </w:rPr>
            </w:pPr>
            <w:r>
              <w:rPr>
                <w:rFonts w:ascii="Arial" w:cs="Arial" w:eastAsia="Arial" w:hAnsi="Arial"/>
                <w:sz w:val="14"/>
                <w:szCs w:val="14"/>
                <w:color w:val="auto"/>
              </w:rPr>
              <w:t>32,581</w:t>
            </w:r>
          </w:p>
        </w:tc>
        <w:tc>
          <w:tcPr>
            <w:tcW w:w="100" w:type="dxa"/>
            <w:vAlign w:val="bottom"/>
          </w:tcPr>
          <w:p>
            <w:pPr>
              <w:spacing w:after="0"/>
              <w:rPr>
                <w:sz w:val="16"/>
                <w:szCs w:val="16"/>
                <w:color w:val="auto"/>
              </w:rPr>
            </w:pPr>
          </w:p>
        </w:tc>
        <w:tc>
          <w:tcPr>
            <w:tcW w:w="1140" w:type="dxa"/>
            <w:vAlign w:val="bottom"/>
            <w:vMerge w:val="restart"/>
          </w:tcPr>
          <w:p>
            <w:pPr>
              <w:jc w:val="right"/>
              <w:ind w:right="46"/>
              <w:spacing w:after="0"/>
              <w:rPr>
                <w:sz w:val="20"/>
                <w:szCs w:val="20"/>
                <w:color w:val="auto"/>
              </w:rPr>
            </w:pPr>
            <w:r>
              <w:rPr>
                <w:rFonts w:ascii="Arial" w:cs="Arial" w:eastAsia="Arial" w:hAnsi="Arial"/>
                <w:sz w:val="14"/>
                <w:szCs w:val="14"/>
                <w:color w:val="auto"/>
              </w:rPr>
              <w:t>595,581</w:t>
            </w:r>
          </w:p>
        </w:tc>
        <w:tc>
          <w:tcPr>
            <w:tcW w:w="100" w:type="dxa"/>
            <w:vAlign w:val="bottom"/>
          </w:tcPr>
          <w:p>
            <w:pPr>
              <w:spacing w:after="0"/>
              <w:rPr>
                <w:sz w:val="16"/>
                <w:szCs w:val="16"/>
                <w:color w:val="auto"/>
              </w:rPr>
            </w:pPr>
          </w:p>
        </w:tc>
        <w:tc>
          <w:tcPr>
            <w:tcW w:w="1140" w:type="dxa"/>
            <w:vAlign w:val="bottom"/>
            <w:vMerge w:val="restart"/>
          </w:tcPr>
          <w:p>
            <w:pPr>
              <w:jc w:val="right"/>
              <w:ind w:right="46"/>
              <w:spacing w:after="0"/>
              <w:rPr>
                <w:sz w:val="20"/>
                <w:szCs w:val="20"/>
                <w:color w:val="auto"/>
              </w:rPr>
            </w:pPr>
            <w:r>
              <w:rPr>
                <w:rFonts w:ascii="Arial" w:cs="Arial" w:eastAsia="Arial" w:hAnsi="Arial"/>
                <w:sz w:val="14"/>
                <w:szCs w:val="14"/>
                <w:color w:val="auto"/>
              </w:rPr>
              <w:t>45,845</w:t>
            </w:r>
          </w:p>
        </w:tc>
        <w:tc>
          <w:tcPr>
            <w:tcW w:w="100" w:type="dxa"/>
            <w:vAlign w:val="bottom"/>
          </w:tcPr>
          <w:p>
            <w:pPr>
              <w:spacing w:after="0"/>
              <w:rPr>
                <w:sz w:val="16"/>
                <w:szCs w:val="16"/>
                <w:color w:val="auto"/>
              </w:rPr>
            </w:pPr>
          </w:p>
        </w:tc>
        <w:tc>
          <w:tcPr>
            <w:tcW w:w="1140" w:type="dxa"/>
            <w:vAlign w:val="bottom"/>
            <w:vMerge w:val="restart"/>
          </w:tcPr>
          <w:p>
            <w:pPr>
              <w:jc w:val="right"/>
              <w:ind w:right="26"/>
              <w:spacing w:after="0"/>
              <w:rPr>
                <w:sz w:val="20"/>
                <w:szCs w:val="20"/>
                <w:color w:val="auto"/>
              </w:rPr>
            </w:pPr>
            <w:r>
              <w:rPr>
                <w:rFonts w:ascii="Arial" w:cs="Arial" w:eastAsia="Arial" w:hAnsi="Arial"/>
                <w:sz w:val="14"/>
                <w:szCs w:val="14"/>
                <w:color w:val="auto"/>
              </w:rPr>
              <w:t>838,047</w:t>
            </w:r>
          </w:p>
        </w:tc>
        <w:tc>
          <w:tcPr>
            <w:tcW w:w="0" w:type="dxa"/>
            <w:vAlign w:val="bottom"/>
          </w:tcPr>
          <w:p>
            <w:pPr>
              <w:spacing w:after="0"/>
              <w:rPr>
                <w:sz w:val="1"/>
                <w:szCs w:val="1"/>
                <w:color w:val="auto"/>
              </w:rPr>
            </w:pPr>
          </w:p>
        </w:tc>
      </w:tr>
      <w:tr>
        <w:trPr>
          <w:trHeight w:val="74"/>
        </w:trPr>
        <w:tc>
          <w:tcPr>
            <w:tcW w:w="138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Kevin S. Cavanah</w:t>
            </w:r>
          </w:p>
        </w:tc>
        <w:tc>
          <w:tcPr>
            <w:tcW w:w="128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8,000</w:t>
            </w:r>
          </w:p>
        </w:tc>
        <w:tc>
          <w:tcPr>
            <w:tcW w:w="14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5.49</w:t>
            </w: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8/17/2015</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6"/>
              <w:spacing w:after="0"/>
              <w:rPr>
                <w:sz w:val="20"/>
                <w:szCs w:val="20"/>
                <w:color w:val="auto"/>
              </w:rPr>
            </w:pPr>
            <w:r>
              <w:rPr>
                <w:rFonts w:ascii="Arial" w:cs="Arial" w:eastAsia="Arial" w:hAnsi="Arial"/>
                <w:sz w:val="14"/>
                <w:szCs w:val="14"/>
                <w:color w:val="auto"/>
              </w:rPr>
              <w:t>26,744</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6"/>
              <w:spacing w:after="0"/>
              <w:rPr>
                <w:sz w:val="20"/>
                <w:szCs w:val="20"/>
                <w:color w:val="auto"/>
              </w:rPr>
            </w:pPr>
            <w:r>
              <w:rPr>
                <w:rFonts w:ascii="Arial" w:cs="Arial" w:eastAsia="Arial" w:hAnsi="Arial"/>
                <w:sz w:val="14"/>
                <w:szCs w:val="14"/>
                <w:color w:val="auto"/>
              </w:rPr>
              <w:t>488,880</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6"/>
              <w:spacing w:after="0"/>
              <w:rPr>
                <w:sz w:val="20"/>
                <w:szCs w:val="20"/>
                <w:color w:val="auto"/>
              </w:rPr>
            </w:pPr>
            <w:r>
              <w:rPr>
                <w:rFonts w:ascii="Arial" w:cs="Arial" w:eastAsia="Arial" w:hAnsi="Arial"/>
                <w:sz w:val="14"/>
                <w:szCs w:val="14"/>
                <w:color w:val="auto"/>
              </w:rPr>
              <w:t>38,590</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705,425</w:t>
            </w:r>
          </w:p>
        </w:tc>
        <w:tc>
          <w:tcPr>
            <w:tcW w:w="0" w:type="dxa"/>
            <w:vAlign w:val="bottom"/>
          </w:tcPr>
          <w:p>
            <w:pPr>
              <w:spacing w:after="0"/>
              <w:rPr>
                <w:sz w:val="1"/>
                <w:szCs w:val="1"/>
                <w:color w:val="auto"/>
              </w:rPr>
            </w:pPr>
          </w:p>
        </w:tc>
      </w:tr>
      <w:tr>
        <w:trPr>
          <w:trHeight w:val="68"/>
        </w:trPr>
        <w:tc>
          <w:tcPr>
            <w:tcW w:w="1380" w:type="dxa"/>
            <w:vAlign w:val="bottom"/>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80" w:type="dxa"/>
            <w:vAlign w:val="bottom"/>
            <w:gridSpan w:val="2"/>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4,000</w:t>
            </w: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8.93</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10/21/2015</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16,850</w:t>
            </w:r>
          </w:p>
        </w:tc>
        <w:tc>
          <w:tcPr>
            <w:tcW w:w="1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10.19</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11/17/2021</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1"/>
        </w:trPr>
        <w:tc>
          <w:tcPr>
            <w:tcW w:w="1380" w:type="dxa"/>
            <w:vAlign w:val="bottom"/>
          </w:tcPr>
          <w:p>
            <w:pPr>
              <w:ind w:left="40"/>
              <w:spacing w:after="0"/>
              <w:rPr>
                <w:sz w:val="20"/>
                <w:szCs w:val="20"/>
                <w:color w:val="auto"/>
              </w:rPr>
            </w:pPr>
            <w:r>
              <w:rPr>
                <w:rFonts w:ascii="Arial" w:cs="Arial" w:eastAsia="Arial" w:hAnsi="Arial"/>
                <w:sz w:val="14"/>
                <w:szCs w:val="14"/>
                <w:color w:val="auto"/>
              </w:rPr>
              <w:t>James P. Ryan</w:t>
            </w:r>
          </w:p>
        </w:tc>
        <w:tc>
          <w:tcPr>
            <w:tcW w:w="128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16,950</w:t>
            </w:r>
          </w:p>
        </w:tc>
        <w:tc>
          <w:tcPr>
            <w:tcW w:w="140" w:type="dxa"/>
            <w:vAlign w:val="bottom"/>
          </w:tcPr>
          <w:p>
            <w:pPr>
              <w:spacing w:after="0"/>
              <w:rPr>
                <w:sz w:val="16"/>
                <w:szCs w:val="16"/>
                <w:color w:val="auto"/>
              </w:rPr>
            </w:pPr>
          </w:p>
        </w:tc>
        <w:tc>
          <w:tcPr>
            <w:tcW w:w="1380" w:type="dxa"/>
            <w:vAlign w:val="bottom"/>
            <w:gridSpan w:val="2"/>
            <w:vMerge w:val="restart"/>
          </w:tcPr>
          <w:p>
            <w:pPr>
              <w:ind w:left="100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10.19</w:t>
            </w:r>
          </w:p>
        </w:tc>
        <w:tc>
          <w:tcPr>
            <w:tcW w:w="12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11/17/2021</w:t>
            </w:r>
          </w:p>
        </w:tc>
        <w:tc>
          <w:tcPr>
            <w:tcW w:w="100" w:type="dxa"/>
            <w:vAlign w:val="bottom"/>
          </w:tcPr>
          <w:p>
            <w:pPr>
              <w:spacing w:after="0"/>
              <w:rPr>
                <w:sz w:val="16"/>
                <w:szCs w:val="16"/>
                <w:color w:val="auto"/>
              </w:rPr>
            </w:pPr>
          </w:p>
        </w:tc>
        <w:tc>
          <w:tcPr>
            <w:tcW w:w="1140" w:type="dxa"/>
            <w:vAlign w:val="bottom"/>
            <w:vMerge w:val="restart"/>
          </w:tcPr>
          <w:p>
            <w:pPr>
              <w:jc w:val="right"/>
              <w:ind w:right="46"/>
              <w:spacing w:after="0"/>
              <w:rPr>
                <w:sz w:val="20"/>
                <w:szCs w:val="20"/>
                <w:color w:val="auto"/>
              </w:rPr>
            </w:pPr>
            <w:r>
              <w:rPr>
                <w:rFonts w:ascii="Arial" w:cs="Arial" w:eastAsia="Arial" w:hAnsi="Arial"/>
                <w:sz w:val="14"/>
                <w:szCs w:val="14"/>
                <w:color w:val="auto"/>
              </w:rPr>
              <w:t>24,359</w:t>
            </w:r>
          </w:p>
        </w:tc>
        <w:tc>
          <w:tcPr>
            <w:tcW w:w="100" w:type="dxa"/>
            <w:vAlign w:val="bottom"/>
          </w:tcPr>
          <w:p>
            <w:pPr>
              <w:spacing w:after="0"/>
              <w:rPr>
                <w:sz w:val="16"/>
                <w:szCs w:val="16"/>
                <w:color w:val="auto"/>
              </w:rPr>
            </w:pPr>
          </w:p>
        </w:tc>
        <w:tc>
          <w:tcPr>
            <w:tcW w:w="1140" w:type="dxa"/>
            <w:vAlign w:val="bottom"/>
            <w:vMerge w:val="restart"/>
          </w:tcPr>
          <w:p>
            <w:pPr>
              <w:jc w:val="right"/>
              <w:ind w:right="46"/>
              <w:spacing w:after="0"/>
              <w:rPr>
                <w:sz w:val="20"/>
                <w:szCs w:val="20"/>
                <w:color w:val="auto"/>
              </w:rPr>
            </w:pPr>
            <w:r>
              <w:rPr>
                <w:rFonts w:ascii="Arial" w:cs="Arial" w:eastAsia="Arial" w:hAnsi="Arial"/>
                <w:sz w:val="14"/>
                <w:szCs w:val="14"/>
                <w:color w:val="auto"/>
              </w:rPr>
              <w:t>445,283</w:t>
            </w:r>
          </w:p>
        </w:tc>
        <w:tc>
          <w:tcPr>
            <w:tcW w:w="100" w:type="dxa"/>
            <w:vAlign w:val="bottom"/>
          </w:tcPr>
          <w:p>
            <w:pPr>
              <w:spacing w:after="0"/>
              <w:rPr>
                <w:sz w:val="16"/>
                <w:szCs w:val="16"/>
                <w:color w:val="auto"/>
              </w:rPr>
            </w:pPr>
          </w:p>
        </w:tc>
        <w:tc>
          <w:tcPr>
            <w:tcW w:w="1140" w:type="dxa"/>
            <w:vAlign w:val="bottom"/>
            <w:vMerge w:val="restart"/>
          </w:tcPr>
          <w:p>
            <w:pPr>
              <w:jc w:val="right"/>
              <w:ind w:right="46"/>
              <w:spacing w:after="0"/>
              <w:rPr>
                <w:sz w:val="20"/>
                <w:szCs w:val="20"/>
                <w:color w:val="auto"/>
              </w:rPr>
            </w:pPr>
            <w:r>
              <w:rPr>
                <w:rFonts w:ascii="Arial" w:cs="Arial" w:eastAsia="Arial" w:hAnsi="Arial"/>
                <w:sz w:val="14"/>
                <w:szCs w:val="14"/>
                <w:color w:val="auto"/>
              </w:rPr>
              <w:t>37,432</w:t>
            </w:r>
          </w:p>
        </w:tc>
        <w:tc>
          <w:tcPr>
            <w:tcW w:w="100" w:type="dxa"/>
            <w:vAlign w:val="bottom"/>
          </w:tcPr>
          <w:p>
            <w:pPr>
              <w:spacing w:after="0"/>
              <w:rPr>
                <w:sz w:val="16"/>
                <w:szCs w:val="16"/>
                <w:color w:val="auto"/>
              </w:rPr>
            </w:pPr>
          </w:p>
        </w:tc>
        <w:tc>
          <w:tcPr>
            <w:tcW w:w="1140" w:type="dxa"/>
            <w:vAlign w:val="bottom"/>
            <w:vMerge w:val="restart"/>
          </w:tcPr>
          <w:p>
            <w:pPr>
              <w:jc w:val="right"/>
              <w:ind w:right="26"/>
              <w:spacing w:after="0"/>
              <w:rPr>
                <w:sz w:val="20"/>
                <w:szCs w:val="20"/>
                <w:color w:val="auto"/>
              </w:rPr>
            </w:pPr>
            <w:r>
              <w:rPr>
                <w:rFonts w:ascii="Arial" w:cs="Arial" w:eastAsia="Arial" w:hAnsi="Arial"/>
                <w:sz w:val="14"/>
                <w:szCs w:val="14"/>
                <w:color w:val="auto"/>
              </w:rPr>
              <w:t>684,257</w:t>
            </w:r>
          </w:p>
        </w:tc>
        <w:tc>
          <w:tcPr>
            <w:tcW w:w="0" w:type="dxa"/>
            <w:vAlign w:val="bottom"/>
          </w:tcPr>
          <w:p>
            <w:pPr>
              <w:spacing w:after="0"/>
              <w:rPr>
                <w:sz w:val="1"/>
                <w:szCs w:val="1"/>
                <w:color w:val="auto"/>
              </w:rPr>
            </w:pPr>
          </w:p>
        </w:tc>
      </w:tr>
      <w:tr>
        <w:trPr>
          <w:trHeight w:val="74"/>
        </w:trPr>
        <w:tc>
          <w:tcPr>
            <w:tcW w:w="138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Jason W. Turner</w:t>
            </w:r>
          </w:p>
        </w:tc>
        <w:tc>
          <w:tcPr>
            <w:tcW w:w="128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8,000</w:t>
            </w:r>
          </w:p>
        </w:tc>
        <w:tc>
          <w:tcPr>
            <w:tcW w:w="14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10.19</w:t>
            </w: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11/17/2021</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6"/>
              <w:spacing w:after="0"/>
              <w:rPr>
                <w:sz w:val="20"/>
                <w:szCs w:val="20"/>
                <w:color w:val="auto"/>
              </w:rPr>
            </w:pPr>
            <w:r>
              <w:rPr>
                <w:rFonts w:ascii="Arial" w:cs="Arial" w:eastAsia="Arial" w:hAnsi="Arial"/>
                <w:sz w:val="14"/>
                <w:szCs w:val="14"/>
                <w:color w:val="auto"/>
              </w:rPr>
              <w:t>16,891</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6"/>
              <w:spacing w:after="0"/>
              <w:rPr>
                <w:sz w:val="20"/>
                <w:szCs w:val="20"/>
                <w:color w:val="auto"/>
              </w:rPr>
            </w:pPr>
            <w:r>
              <w:rPr>
                <w:rFonts w:ascii="Arial" w:cs="Arial" w:eastAsia="Arial" w:hAnsi="Arial"/>
                <w:sz w:val="14"/>
                <w:szCs w:val="14"/>
                <w:color w:val="auto"/>
              </w:rPr>
              <w:t>308,767</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6"/>
              <w:spacing w:after="0"/>
              <w:rPr>
                <w:sz w:val="20"/>
                <w:szCs w:val="20"/>
                <w:color w:val="auto"/>
              </w:rPr>
            </w:pPr>
            <w:r>
              <w:rPr>
                <w:rFonts w:ascii="Arial" w:cs="Arial" w:eastAsia="Arial" w:hAnsi="Arial"/>
                <w:sz w:val="14"/>
                <w:szCs w:val="14"/>
                <w:color w:val="auto"/>
              </w:rPr>
              <w:t>18,202</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332,733</w:t>
            </w:r>
          </w:p>
        </w:tc>
        <w:tc>
          <w:tcPr>
            <w:tcW w:w="0" w:type="dxa"/>
            <w:vAlign w:val="bottom"/>
          </w:tcPr>
          <w:p>
            <w:pPr>
              <w:spacing w:after="0"/>
              <w:rPr>
                <w:sz w:val="1"/>
                <w:szCs w:val="1"/>
                <w:color w:val="auto"/>
              </w:rPr>
            </w:pPr>
          </w:p>
        </w:tc>
      </w:tr>
      <w:tr>
        <w:trPr>
          <w:trHeight w:val="80"/>
        </w:trPr>
        <w:tc>
          <w:tcPr>
            <w:tcW w:w="13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(1)  Based on the closing price of our common stock on June 30, 2015 of $18.28.</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9" w:name="page30"/>
    <w:bookmarkEnd w:id="29"/>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stock awards vest according to the following schedule: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Number of Shares or</w:t>
            </w:r>
          </w:p>
        </w:tc>
        <w:tc>
          <w:tcPr>
            <w:tcW w:w="300" w:type="dxa"/>
            <w:vAlign w:val="bottom"/>
          </w:tcPr>
          <w:p>
            <w:pPr>
              <w:spacing w:after="0"/>
              <w:rPr>
                <w:sz w:val="14"/>
                <w:szCs w:val="14"/>
                <w:color w:val="auto"/>
              </w:rPr>
            </w:pPr>
          </w:p>
        </w:tc>
        <w:tc>
          <w:tcPr>
            <w:tcW w:w="3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Equity Incentive Plan</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3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Awards: Number of Unearned</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Units of Stock That Have Not</w:t>
            </w:r>
          </w:p>
        </w:tc>
        <w:tc>
          <w:tcPr>
            <w:tcW w:w="300" w:type="dxa"/>
            <w:vAlign w:val="bottom"/>
          </w:tcPr>
          <w:p>
            <w:pPr>
              <w:spacing w:after="0"/>
              <w:rPr>
                <w:sz w:val="12"/>
                <w:szCs w:val="12"/>
                <w:color w:val="auto"/>
              </w:rPr>
            </w:pPr>
          </w:p>
        </w:tc>
        <w:tc>
          <w:tcPr>
            <w:tcW w:w="3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Shares, Units or Other Rights</w:t>
            </w:r>
          </w:p>
        </w:tc>
        <w:tc>
          <w:tcPr>
            <w:tcW w:w="0" w:type="dxa"/>
            <w:vAlign w:val="bottom"/>
          </w:tcPr>
          <w:p>
            <w:pPr>
              <w:spacing w:after="0"/>
              <w:rPr>
                <w:sz w:val="1"/>
                <w:szCs w:val="1"/>
                <w:color w:val="auto"/>
              </w:rPr>
            </w:pPr>
          </w:p>
        </w:tc>
      </w:tr>
      <w:tr>
        <w:trPr>
          <w:trHeight w:val="192"/>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left="1068"/>
              <w:spacing w:after="0"/>
              <w:rPr>
                <w:sz w:val="20"/>
                <w:szCs w:val="20"/>
                <w:color w:val="auto"/>
              </w:rPr>
            </w:pPr>
            <w:r>
              <w:rPr>
                <w:rFonts w:ascii="Arial" w:cs="Arial" w:eastAsia="Arial" w:hAnsi="Arial"/>
                <w:sz w:val="14"/>
                <w:szCs w:val="14"/>
                <w:b w:val="1"/>
                <w:bCs w:val="1"/>
                <w:color w:val="auto"/>
                <w:w w:val="87"/>
              </w:rPr>
              <w:t>Vested</w:t>
            </w:r>
          </w:p>
        </w:tc>
        <w:tc>
          <w:tcPr>
            <w:tcW w:w="11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That Have Not Vested</w:t>
            </w:r>
          </w:p>
        </w:tc>
        <w:tc>
          <w:tcPr>
            <w:tcW w:w="0" w:type="dxa"/>
            <w:vAlign w:val="bottom"/>
          </w:tcPr>
          <w:p>
            <w:pPr>
              <w:spacing w:after="0"/>
              <w:rPr>
                <w:sz w:val="1"/>
                <w:szCs w:val="1"/>
                <w:color w:val="auto"/>
              </w:rPr>
            </w:pPr>
          </w:p>
        </w:tc>
      </w:tr>
      <w:tr>
        <w:trPr>
          <w:trHeight w:val="264"/>
        </w:trPr>
        <w:tc>
          <w:tcPr>
            <w:tcW w:w="41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Vest Date</w:t>
            </w:r>
          </w:p>
        </w:tc>
        <w:tc>
          <w:tcPr>
            <w:tcW w:w="3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Shares</w:t>
            </w:r>
          </w:p>
        </w:tc>
        <w:tc>
          <w:tcPr>
            <w:tcW w:w="3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Vest Date</w:t>
            </w:r>
          </w:p>
        </w:tc>
        <w:tc>
          <w:tcPr>
            <w:tcW w:w="0" w:type="dxa"/>
            <w:vAlign w:val="bottom"/>
          </w:tcPr>
          <w:p>
            <w:pPr>
              <w:spacing w:after="0"/>
              <w:rPr>
                <w:sz w:val="1"/>
                <w:szCs w:val="1"/>
                <w:color w:val="auto"/>
              </w:rPr>
            </w:pPr>
          </w:p>
        </w:tc>
      </w:tr>
      <w:tr>
        <w:trPr>
          <w:trHeight w:val="190"/>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John R. Hewitt</w:t>
            </w:r>
          </w:p>
        </w:tc>
        <w:tc>
          <w:tcPr>
            <w:tcW w:w="15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5,611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8/26/2015</w:t>
            </w:r>
          </w:p>
        </w:tc>
        <w:tc>
          <w:tcPr>
            <w:tcW w:w="178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58,573</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11/16/2015</w:t>
            </w:r>
          </w:p>
        </w:tc>
        <w:tc>
          <w:tcPr>
            <w:tcW w:w="0" w:type="dxa"/>
            <w:vAlign w:val="bottom"/>
          </w:tcPr>
          <w:p>
            <w:pPr>
              <w:spacing w:after="0"/>
              <w:rPr>
                <w:sz w:val="1"/>
                <w:szCs w:val="1"/>
                <w:color w:val="auto"/>
              </w:rPr>
            </w:pPr>
          </w:p>
        </w:tc>
      </w:tr>
      <w:tr>
        <w:trPr>
          <w:trHeight w:val="54"/>
        </w:trPr>
        <w:tc>
          <w:tcPr>
            <w:tcW w:w="4160" w:type="dxa"/>
            <w:vAlign w:val="bottom"/>
            <w:shd w:val="clear" w:color="auto" w:fill="CCEEFF"/>
          </w:tcPr>
          <w:p>
            <w:pPr>
              <w:spacing w:after="0"/>
              <w:rPr>
                <w:sz w:val="4"/>
                <w:szCs w:val="4"/>
                <w:color w:val="auto"/>
              </w:rPr>
            </w:pPr>
          </w:p>
        </w:tc>
        <w:tc>
          <w:tcPr>
            <w:tcW w:w="1500" w:type="dxa"/>
            <w:vAlign w:val="bottom"/>
            <w:gridSpan w:val="2"/>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140" w:type="dxa"/>
            <w:vAlign w:val="bottom"/>
            <w:vMerge w:val="continue"/>
            <w:shd w:val="clear" w:color="auto" w:fill="CCEEFF"/>
          </w:tcPr>
          <w:p>
            <w:pPr>
              <w:spacing w:after="0"/>
              <w:rPr>
                <w:sz w:val="4"/>
                <w:szCs w:val="4"/>
                <w:color w:val="auto"/>
              </w:rPr>
            </w:pPr>
          </w:p>
        </w:tc>
        <w:tc>
          <w:tcPr>
            <w:tcW w:w="1780" w:type="dxa"/>
            <w:vAlign w:val="bottom"/>
            <w:gridSpan w:val="2"/>
            <w:vMerge w:val="continue"/>
            <w:shd w:val="clear" w:color="auto" w:fill="CCEEFF"/>
          </w:tcPr>
          <w:p>
            <w:pPr>
              <w:spacing w:after="0"/>
              <w:rPr>
                <w:sz w:val="4"/>
                <w:szCs w:val="4"/>
                <w:color w:val="auto"/>
              </w:rPr>
            </w:pPr>
          </w:p>
        </w:tc>
        <w:tc>
          <w:tcPr>
            <w:tcW w:w="300" w:type="dxa"/>
            <w:vAlign w:val="bottom"/>
            <w:vMerge w:val="continue"/>
            <w:shd w:val="clear" w:color="auto" w:fill="CCEEFF"/>
          </w:tcPr>
          <w:p>
            <w:pPr>
              <w:spacing w:after="0"/>
              <w:rPr>
                <w:sz w:val="4"/>
                <w:szCs w:val="4"/>
                <w:color w:val="auto"/>
              </w:rPr>
            </w:pPr>
          </w:p>
        </w:tc>
        <w:tc>
          <w:tcPr>
            <w:tcW w:w="136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6,275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8/27/2015</w:t>
            </w:r>
          </w:p>
        </w:tc>
        <w:tc>
          <w:tcPr>
            <w:tcW w:w="1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50,200</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8/27/2016</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7,958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11/16/2015</w:t>
            </w:r>
          </w:p>
        </w:tc>
        <w:tc>
          <w:tcPr>
            <w:tcW w:w="1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5,611</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8/26/2017</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22,074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11/17/2015</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5/4/2016</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5,611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8/26/2016</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6,275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8/27/2016</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7,958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11/16/2016</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5,610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8/26/2017</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6,275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8/27/2017</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1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5,610</w:t>
            </w:r>
          </w:p>
        </w:tc>
        <w:tc>
          <w:tcPr>
            <w:tcW w:w="1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8/26/2018</w:t>
            </w:r>
          </w:p>
        </w:tc>
        <w:tc>
          <w:tcPr>
            <w:tcW w:w="30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160" w:type="dxa"/>
            <w:vAlign w:val="bottom"/>
          </w:tcPr>
          <w:p>
            <w:pPr>
              <w:ind w:left="40"/>
              <w:spacing w:after="0"/>
              <w:rPr>
                <w:sz w:val="20"/>
                <w:szCs w:val="20"/>
                <w:color w:val="auto"/>
              </w:rPr>
            </w:pPr>
            <w:r>
              <w:rPr>
                <w:rFonts w:ascii="Arial" w:cs="Arial" w:eastAsia="Arial" w:hAnsi="Arial"/>
                <w:sz w:val="14"/>
                <w:szCs w:val="14"/>
                <w:color w:val="auto"/>
              </w:rPr>
              <w:t>Joseph F. Montalbano</w:t>
            </w:r>
          </w:p>
        </w:tc>
        <w:tc>
          <w:tcPr>
            <w:tcW w:w="150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1,768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8/26/2015</w:t>
            </w:r>
          </w:p>
        </w:tc>
        <w:tc>
          <w:tcPr>
            <w:tcW w:w="178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25,944</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11/16/2015</w:t>
            </w: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78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2,267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8/27/2015</w:t>
            </w:r>
          </w:p>
        </w:tc>
        <w:tc>
          <w:tcPr>
            <w:tcW w:w="1780" w:type="dxa"/>
            <w:vAlign w:val="bottom"/>
            <w:gridSpan w:val="2"/>
          </w:tcPr>
          <w:p>
            <w:pPr>
              <w:jc w:val="right"/>
              <w:ind w:right="28"/>
              <w:spacing w:after="0"/>
              <w:rPr>
                <w:sz w:val="20"/>
                <w:szCs w:val="20"/>
                <w:color w:val="auto"/>
              </w:rPr>
            </w:pPr>
            <w:r>
              <w:rPr>
                <w:rFonts w:ascii="Arial" w:cs="Arial" w:eastAsia="Arial" w:hAnsi="Arial"/>
                <w:sz w:val="14"/>
                <w:szCs w:val="14"/>
                <w:color w:val="auto"/>
              </w:rPr>
              <w:t>18,134</w:t>
            </w: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1360" w:type="dxa"/>
            <w:vAlign w:val="bottom"/>
          </w:tcPr>
          <w:p>
            <w:pPr>
              <w:jc w:val="right"/>
              <w:spacing w:after="0"/>
              <w:rPr>
                <w:sz w:val="20"/>
                <w:szCs w:val="20"/>
                <w:color w:val="auto"/>
              </w:rPr>
            </w:pPr>
            <w:r>
              <w:rPr>
                <w:rFonts w:ascii="Arial" w:cs="Arial" w:eastAsia="Arial" w:hAnsi="Arial"/>
                <w:sz w:val="14"/>
                <w:szCs w:val="14"/>
                <w:color w:val="auto"/>
              </w:rPr>
              <w:t>8/27/2016</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3,525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11/16/2015</w:t>
            </w:r>
          </w:p>
        </w:tc>
        <w:tc>
          <w:tcPr>
            <w:tcW w:w="1780" w:type="dxa"/>
            <w:vAlign w:val="bottom"/>
            <w:gridSpan w:val="2"/>
          </w:tcPr>
          <w:p>
            <w:pPr>
              <w:jc w:val="right"/>
              <w:ind w:right="28"/>
              <w:spacing w:after="0"/>
              <w:rPr>
                <w:sz w:val="20"/>
                <w:szCs w:val="20"/>
                <w:color w:val="auto"/>
              </w:rPr>
            </w:pPr>
            <w:r>
              <w:rPr>
                <w:rFonts w:ascii="Arial" w:cs="Arial" w:eastAsia="Arial" w:hAnsi="Arial"/>
                <w:sz w:val="14"/>
                <w:szCs w:val="14"/>
                <w:color w:val="auto"/>
              </w:rPr>
              <w:t>1,767</w:t>
            </w: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1360" w:type="dxa"/>
            <w:vAlign w:val="bottom"/>
          </w:tcPr>
          <w:p>
            <w:pPr>
              <w:jc w:val="right"/>
              <w:spacing w:after="0"/>
              <w:rPr>
                <w:sz w:val="20"/>
                <w:szCs w:val="20"/>
                <w:color w:val="auto"/>
              </w:rPr>
            </w:pPr>
            <w:r>
              <w:rPr>
                <w:rFonts w:ascii="Arial" w:cs="Arial" w:eastAsia="Arial" w:hAnsi="Arial"/>
                <w:sz w:val="14"/>
                <w:szCs w:val="14"/>
                <w:color w:val="auto"/>
              </w:rPr>
              <w:t>8/26/2017</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5,262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11/17/2015</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6,400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12/2/2015</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1,767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8/26/2016</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2,267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8/27/2016</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3,525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11/16/2016</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1,767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8/26/2017</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2,266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8/27/2017</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1,767</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8/26/2018</w:t>
            </w: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Kevin S. Cavanah</w:t>
            </w:r>
          </w:p>
        </w:tc>
        <w:tc>
          <w:tcPr>
            <w:tcW w:w="15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1,562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8/26/2015</w:t>
            </w:r>
          </w:p>
        </w:tc>
        <w:tc>
          <w:tcPr>
            <w:tcW w:w="178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21,294</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11/16/2015</w:t>
            </w:r>
          </w:p>
        </w:tc>
        <w:tc>
          <w:tcPr>
            <w:tcW w:w="0" w:type="dxa"/>
            <w:vAlign w:val="bottom"/>
          </w:tcPr>
          <w:p>
            <w:pPr>
              <w:spacing w:after="0"/>
              <w:rPr>
                <w:sz w:val="1"/>
                <w:szCs w:val="1"/>
                <w:color w:val="auto"/>
              </w:rPr>
            </w:pPr>
          </w:p>
        </w:tc>
      </w:tr>
      <w:tr>
        <w:trPr>
          <w:trHeight w:val="68"/>
        </w:trPr>
        <w:tc>
          <w:tcPr>
            <w:tcW w:w="4160" w:type="dxa"/>
            <w:vAlign w:val="bottom"/>
            <w:shd w:val="clear" w:color="auto" w:fill="CCEEFF"/>
          </w:tcPr>
          <w:p>
            <w:pPr>
              <w:spacing w:after="0"/>
              <w:rPr>
                <w:sz w:val="5"/>
                <w:szCs w:val="5"/>
                <w:color w:val="auto"/>
              </w:rPr>
            </w:pPr>
          </w:p>
        </w:tc>
        <w:tc>
          <w:tcPr>
            <w:tcW w:w="150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780" w:type="dxa"/>
            <w:vAlign w:val="bottom"/>
            <w:gridSpan w:val="2"/>
            <w:vMerge w:val="continue"/>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8/27/2015</w:t>
            </w:r>
          </w:p>
        </w:tc>
        <w:tc>
          <w:tcPr>
            <w:tcW w:w="1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15,734</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8/27/2016</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11/16/2015</w:t>
            </w:r>
          </w:p>
        </w:tc>
        <w:tc>
          <w:tcPr>
            <w:tcW w:w="1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1,562</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8/26/2017</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4,212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11/17/2015</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12/6/2015</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8/26/2016</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8/27/2016</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11/16/2016</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8/26/2017</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8/27/2017</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1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1,561</w:t>
            </w:r>
          </w:p>
        </w:tc>
        <w:tc>
          <w:tcPr>
            <w:tcW w:w="1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8/26/2018</w:t>
            </w:r>
          </w:p>
        </w:tc>
        <w:tc>
          <w:tcPr>
            <w:tcW w:w="30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160" w:type="dxa"/>
            <w:vAlign w:val="bottom"/>
          </w:tcPr>
          <w:p>
            <w:pPr>
              <w:ind w:left="40"/>
              <w:spacing w:after="0"/>
              <w:rPr>
                <w:sz w:val="20"/>
                <w:szCs w:val="20"/>
                <w:color w:val="auto"/>
              </w:rPr>
            </w:pPr>
            <w:r>
              <w:rPr>
                <w:rFonts w:ascii="Arial" w:cs="Arial" w:eastAsia="Arial" w:hAnsi="Arial"/>
                <w:sz w:val="14"/>
                <w:szCs w:val="14"/>
                <w:color w:val="auto"/>
              </w:rPr>
              <w:t>James P. Ryan</w:t>
            </w:r>
          </w:p>
        </w:tc>
        <w:tc>
          <w:tcPr>
            <w:tcW w:w="150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1,072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8/26/2015</w:t>
            </w:r>
          </w:p>
        </w:tc>
        <w:tc>
          <w:tcPr>
            <w:tcW w:w="178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21,294</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11/16/2015</w:t>
            </w: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78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1,883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8/27/2015</w:t>
            </w:r>
          </w:p>
        </w:tc>
        <w:tc>
          <w:tcPr>
            <w:tcW w:w="1780" w:type="dxa"/>
            <w:vAlign w:val="bottom"/>
            <w:gridSpan w:val="2"/>
          </w:tcPr>
          <w:p>
            <w:pPr>
              <w:jc w:val="right"/>
              <w:ind w:right="28"/>
              <w:spacing w:after="0"/>
              <w:rPr>
                <w:sz w:val="20"/>
                <w:szCs w:val="20"/>
                <w:color w:val="auto"/>
              </w:rPr>
            </w:pPr>
            <w:r>
              <w:rPr>
                <w:rFonts w:ascii="Arial" w:cs="Arial" w:eastAsia="Arial" w:hAnsi="Arial"/>
                <w:sz w:val="14"/>
                <w:szCs w:val="14"/>
                <w:color w:val="auto"/>
              </w:rPr>
              <w:t>15,066</w:t>
            </w: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1360" w:type="dxa"/>
            <w:vAlign w:val="bottom"/>
          </w:tcPr>
          <w:p>
            <w:pPr>
              <w:jc w:val="right"/>
              <w:spacing w:after="0"/>
              <w:rPr>
                <w:sz w:val="20"/>
                <w:szCs w:val="20"/>
                <w:color w:val="auto"/>
              </w:rPr>
            </w:pPr>
            <w:r>
              <w:rPr>
                <w:rFonts w:ascii="Arial" w:cs="Arial" w:eastAsia="Arial" w:hAnsi="Arial"/>
                <w:sz w:val="14"/>
                <w:szCs w:val="14"/>
                <w:color w:val="auto"/>
              </w:rPr>
              <w:t>8/27/2016</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2,893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11/16/2015</w:t>
            </w:r>
          </w:p>
        </w:tc>
        <w:tc>
          <w:tcPr>
            <w:tcW w:w="1780" w:type="dxa"/>
            <w:vAlign w:val="bottom"/>
            <w:gridSpan w:val="2"/>
          </w:tcPr>
          <w:p>
            <w:pPr>
              <w:jc w:val="right"/>
              <w:ind w:right="28"/>
              <w:spacing w:after="0"/>
              <w:rPr>
                <w:sz w:val="20"/>
                <w:szCs w:val="20"/>
                <w:color w:val="auto"/>
              </w:rPr>
            </w:pPr>
            <w:r>
              <w:rPr>
                <w:rFonts w:ascii="Arial" w:cs="Arial" w:eastAsia="Arial" w:hAnsi="Arial"/>
                <w:sz w:val="14"/>
                <w:szCs w:val="14"/>
                <w:color w:val="auto"/>
              </w:rPr>
              <w:t>1,072</w:t>
            </w: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1360" w:type="dxa"/>
            <w:vAlign w:val="bottom"/>
          </w:tcPr>
          <w:p>
            <w:pPr>
              <w:jc w:val="right"/>
              <w:spacing w:after="0"/>
              <w:rPr>
                <w:sz w:val="20"/>
                <w:szCs w:val="20"/>
                <w:color w:val="auto"/>
              </w:rPr>
            </w:pPr>
            <w:r>
              <w:rPr>
                <w:rFonts w:ascii="Arial" w:cs="Arial" w:eastAsia="Arial" w:hAnsi="Arial"/>
                <w:sz w:val="14"/>
                <w:szCs w:val="14"/>
                <w:color w:val="auto"/>
              </w:rPr>
              <w:t>8/26/2017</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4,237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11/17/2015</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4,400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12/2/2015</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1,072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8/26/2016</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1,883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8/27/2016</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2,893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11/16/2016</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1,072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8/26/2017</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1,883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8/27/2017</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1,071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8/26/2018</w:t>
            </w: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Jason W. Turner</w:t>
            </w:r>
          </w:p>
        </w:tc>
        <w:tc>
          <w:tcPr>
            <w:tcW w:w="15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1,030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8/26/2015</w:t>
            </w:r>
          </w:p>
        </w:tc>
        <w:tc>
          <w:tcPr>
            <w:tcW w:w="178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9,838</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11/16/2015</w:t>
            </w:r>
          </w:p>
        </w:tc>
        <w:tc>
          <w:tcPr>
            <w:tcW w:w="0" w:type="dxa"/>
            <w:vAlign w:val="bottom"/>
          </w:tcPr>
          <w:p>
            <w:pPr>
              <w:spacing w:after="0"/>
              <w:rPr>
                <w:sz w:val="1"/>
                <w:szCs w:val="1"/>
                <w:color w:val="auto"/>
              </w:rPr>
            </w:pPr>
          </w:p>
        </w:tc>
      </w:tr>
      <w:tr>
        <w:trPr>
          <w:trHeight w:val="68"/>
        </w:trPr>
        <w:tc>
          <w:tcPr>
            <w:tcW w:w="4160" w:type="dxa"/>
            <w:vAlign w:val="bottom"/>
            <w:shd w:val="clear" w:color="auto" w:fill="CCEEFF"/>
          </w:tcPr>
          <w:p>
            <w:pPr>
              <w:spacing w:after="0"/>
              <w:rPr>
                <w:sz w:val="5"/>
                <w:szCs w:val="5"/>
                <w:color w:val="auto"/>
              </w:rPr>
            </w:pPr>
          </w:p>
        </w:tc>
        <w:tc>
          <w:tcPr>
            <w:tcW w:w="150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780" w:type="dxa"/>
            <w:vAlign w:val="bottom"/>
            <w:gridSpan w:val="2"/>
            <w:vMerge w:val="continue"/>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8/27/2015</w:t>
            </w:r>
          </w:p>
        </w:tc>
        <w:tc>
          <w:tcPr>
            <w:tcW w:w="1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7,334</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8/27/2016</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11/16/2015</w:t>
            </w:r>
          </w:p>
        </w:tc>
        <w:tc>
          <w:tcPr>
            <w:tcW w:w="1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1,030</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8/26/2017</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11/17/2015</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12/2/2015</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12/23/2015</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8/26/2016</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8/27/2016</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11/16/2016</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55"/>
        </w:trPr>
        <w:tc>
          <w:tcPr>
            <w:tcW w:w="41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3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4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0600"/>
          </w:cols>
          <w:pgMar w:left="240" w:top="125" w:right="1059" w:bottom="0" w:gutter="0" w:footer="0" w:header="0"/>
        </w:sectPr>
      </w:pPr>
    </w:p>
    <w:bookmarkStart w:id="30" w:name="page31"/>
    <w:bookmarkEnd w:id="30"/>
    <w:p>
      <w:pPr>
        <w:ind w:left="5120"/>
        <w:spacing w:after="0"/>
        <w:tabs>
          <w:tab w:leader="none" w:pos="6320" w:val="left"/>
        </w:tabs>
        <w:rPr>
          <w:sz w:val="20"/>
          <w:szCs w:val="20"/>
          <w:color w:val="auto"/>
        </w:rPr>
      </w:pPr>
      <w:r>
        <w:rPr>
          <w:rFonts w:ascii="Arial" w:cs="Arial" w:eastAsia="Arial" w:hAnsi="Arial"/>
          <w:sz w:val="14"/>
          <w:szCs w:val="14"/>
          <w:color w:val="auto"/>
        </w:rPr>
        <w:t>1,050</w:t>
      </w:r>
      <w:r>
        <w:rPr>
          <w:sz w:val="20"/>
          <w:szCs w:val="20"/>
          <w:color w:val="auto"/>
        </w:rPr>
        <w:tab/>
      </w:r>
      <w:r>
        <w:rPr>
          <w:rFonts w:ascii="Arial" w:cs="Arial" w:eastAsia="Arial" w:hAnsi="Arial"/>
          <w:sz w:val="14"/>
          <w:szCs w:val="14"/>
          <w:color w:val="auto"/>
        </w:rPr>
        <w:t>12/23/2016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-90170</wp:posOffset>
            </wp:positionV>
            <wp:extent cx="6732270" cy="840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270" cy="840740"/>
                    </a:xfrm>
                    <a:prstGeom prst="rect">
                      <a:avLst/>
                    </a:prstGeom>
                    <a:noFill/>
                  </pic:spPr>
                </pic:pic>
              </a:graphicData>
            </a:graphic>
          </wp:anchor>
        </w:drawing>
      </w:r>
    </w:p>
    <w:p>
      <w:pPr>
        <w:spacing w:after="0" w:line="156" w:lineRule="exact"/>
        <w:rPr>
          <w:sz w:val="20"/>
          <w:szCs w:val="20"/>
          <w:color w:val="auto"/>
        </w:rPr>
      </w:pPr>
    </w:p>
    <w:p>
      <w:pPr>
        <w:ind w:left="5120"/>
        <w:spacing w:after="0"/>
        <w:tabs>
          <w:tab w:leader="none" w:pos="6400" w:val="left"/>
        </w:tabs>
        <w:rPr>
          <w:sz w:val="20"/>
          <w:szCs w:val="20"/>
          <w:color w:val="auto"/>
        </w:rPr>
      </w:pPr>
      <w:r>
        <w:rPr>
          <w:rFonts w:ascii="Arial" w:cs="Arial" w:eastAsia="Arial" w:hAnsi="Arial"/>
          <w:sz w:val="14"/>
          <w:szCs w:val="14"/>
          <w:color w:val="auto"/>
        </w:rPr>
        <w:t>1,029</w:t>
      </w:r>
      <w:r>
        <w:rPr>
          <w:sz w:val="20"/>
          <w:szCs w:val="20"/>
          <w:color w:val="auto"/>
        </w:rPr>
        <w:tab/>
      </w:r>
      <w:r>
        <w:rPr>
          <w:rFonts w:ascii="Arial" w:cs="Arial" w:eastAsia="Arial" w:hAnsi="Arial"/>
          <w:sz w:val="14"/>
          <w:szCs w:val="14"/>
          <w:color w:val="auto"/>
        </w:rPr>
        <w:t>8/26/2017</w:t>
      </w:r>
    </w:p>
    <w:p>
      <w:pPr>
        <w:spacing w:after="0" w:line="109" w:lineRule="exact"/>
        <w:rPr>
          <w:sz w:val="20"/>
          <w:szCs w:val="20"/>
          <w:color w:val="auto"/>
        </w:rPr>
      </w:pPr>
    </w:p>
    <w:p>
      <w:pPr>
        <w:ind w:left="5220"/>
        <w:spacing w:after="0"/>
        <w:tabs>
          <w:tab w:leader="none" w:pos="6400" w:val="left"/>
        </w:tabs>
        <w:rPr>
          <w:sz w:val="20"/>
          <w:szCs w:val="20"/>
          <w:color w:val="auto"/>
        </w:rPr>
      </w:pPr>
      <w:r>
        <w:rPr>
          <w:rFonts w:ascii="Arial" w:cs="Arial" w:eastAsia="Arial" w:hAnsi="Arial"/>
          <w:sz w:val="14"/>
          <w:szCs w:val="14"/>
          <w:color w:val="auto"/>
        </w:rPr>
        <w:t>916</w:t>
      </w:r>
      <w:r>
        <w:rPr>
          <w:sz w:val="20"/>
          <w:szCs w:val="20"/>
          <w:color w:val="auto"/>
        </w:rPr>
        <w:tab/>
      </w:r>
      <w:r>
        <w:rPr>
          <w:rFonts w:ascii="Arial" w:cs="Arial" w:eastAsia="Arial" w:hAnsi="Arial"/>
          <w:sz w:val="14"/>
          <w:szCs w:val="14"/>
          <w:color w:val="auto"/>
        </w:rPr>
        <w:t>8/27/2017</w:t>
      </w:r>
    </w:p>
    <w:p>
      <w:pPr>
        <w:spacing w:after="0" w:line="109" w:lineRule="exact"/>
        <w:rPr>
          <w:sz w:val="20"/>
          <w:szCs w:val="20"/>
          <w:color w:val="auto"/>
        </w:rPr>
      </w:pPr>
    </w:p>
    <w:p>
      <w:pPr>
        <w:ind w:left="5120"/>
        <w:spacing w:after="0"/>
        <w:tabs>
          <w:tab w:leader="none" w:pos="6320" w:val="left"/>
        </w:tabs>
        <w:rPr>
          <w:sz w:val="20"/>
          <w:szCs w:val="20"/>
          <w:color w:val="auto"/>
        </w:rPr>
      </w:pPr>
      <w:r>
        <w:rPr>
          <w:rFonts w:ascii="Arial" w:cs="Arial" w:eastAsia="Arial" w:hAnsi="Arial"/>
          <w:sz w:val="14"/>
          <w:szCs w:val="14"/>
          <w:color w:val="auto"/>
        </w:rPr>
        <w:t>1,050</w:t>
      </w:r>
      <w:r>
        <w:rPr>
          <w:sz w:val="20"/>
          <w:szCs w:val="20"/>
          <w:color w:val="auto"/>
        </w:rPr>
        <w:tab/>
      </w:r>
      <w:r>
        <w:rPr>
          <w:rFonts w:ascii="Arial" w:cs="Arial" w:eastAsia="Arial" w:hAnsi="Arial"/>
          <w:sz w:val="14"/>
          <w:szCs w:val="14"/>
          <w:color w:val="auto"/>
        </w:rPr>
        <w:t>12/23/2017</w:t>
      </w:r>
    </w:p>
    <w:p>
      <w:pPr>
        <w:spacing w:after="0" w:line="109" w:lineRule="exact"/>
        <w:rPr>
          <w:sz w:val="20"/>
          <w:szCs w:val="20"/>
          <w:color w:val="auto"/>
        </w:rPr>
      </w:pPr>
    </w:p>
    <w:p>
      <w:pPr>
        <w:ind w:left="5120"/>
        <w:spacing w:after="0"/>
        <w:tabs>
          <w:tab w:leader="none" w:pos="6400" w:val="left"/>
        </w:tabs>
        <w:rPr>
          <w:sz w:val="20"/>
          <w:szCs w:val="20"/>
          <w:color w:val="auto"/>
        </w:rPr>
      </w:pPr>
      <w:r>
        <w:rPr>
          <w:rFonts w:ascii="Arial" w:cs="Arial" w:eastAsia="Arial" w:hAnsi="Arial"/>
          <w:sz w:val="14"/>
          <w:szCs w:val="14"/>
          <w:color w:val="auto"/>
        </w:rPr>
        <w:t>1,029</w:t>
      </w:r>
      <w:r>
        <w:rPr>
          <w:sz w:val="20"/>
          <w:szCs w:val="20"/>
          <w:color w:val="auto"/>
        </w:rPr>
        <w:tab/>
      </w:r>
      <w:r>
        <w:rPr>
          <w:rFonts w:ascii="Arial" w:cs="Arial" w:eastAsia="Arial" w:hAnsi="Arial"/>
          <w:sz w:val="14"/>
          <w:szCs w:val="14"/>
          <w:color w:val="auto"/>
        </w:rPr>
        <w:t>8/26/2018</w:t>
      </w:r>
    </w:p>
    <w:p>
      <w:pPr>
        <w:spacing w:after="0" w:line="21" w:lineRule="exact"/>
        <w:rPr>
          <w:sz w:val="20"/>
          <w:szCs w:val="20"/>
          <w:color w:val="auto"/>
        </w:rPr>
      </w:pPr>
    </w:p>
    <w:p>
      <w:pPr>
        <w:ind w:left="340" w:hanging="330"/>
        <w:spacing w:after="0" w:line="248"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fiscal 2013, 2014 and 2015 performance unit awards to the Named Executive Officers that cliff vest three years after the grant date. If threshold performance is achieved, the performance units are converted to the Company's common stock upon vesting. The number of shares of common stock received for each performance unit will vary from zero to two based on the Total Shareholder Return on the Company's common stock when compared to Total Shareholder Return on common stock of peer companies selected by the Compensation Committee of the Board of Directors. The Total Shareholder Return Goals are as follows:</w:t>
      </w:r>
    </w:p>
    <w:p>
      <w:pPr>
        <w:spacing w:after="0" w:line="224"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00"/>
          </w:cols>
          <w:pgMar w:left="360" w:top="12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89"/>
              </w:rPr>
              <w:t>Shares of Common Stock for Each Performance</w:t>
            </w:r>
          </w:p>
        </w:tc>
      </w:tr>
      <w:tr>
        <w:trPr>
          <w:trHeight w:val="230"/>
        </w:trPr>
        <w:tc>
          <w:tcPr>
            <w:tcW w:w="4620" w:type="dxa"/>
            <w:vAlign w:val="bottom"/>
            <w:gridSpan w:val="2"/>
          </w:tcPr>
          <w:p>
            <w:pPr>
              <w:ind w:left="1360"/>
              <w:spacing w:after="0"/>
              <w:rPr>
                <w:sz w:val="20"/>
                <w:szCs w:val="20"/>
                <w:color w:val="auto"/>
              </w:rPr>
            </w:pPr>
            <w:r>
              <w:rPr>
                <w:rFonts w:ascii="Arial" w:cs="Arial" w:eastAsia="Arial" w:hAnsi="Arial"/>
                <w:sz w:val="18"/>
                <w:szCs w:val="18"/>
                <w:color w:val="auto"/>
              </w:rPr>
              <w:t>Shareholder Return Goal</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Total Shareholder Return</w:t>
            </w:r>
          </w:p>
        </w:tc>
        <w:tc>
          <w:tcPr>
            <w:tcW w:w="3860" w:type="dxa"/>
            <w:vAlign w:val="bottom"/>
          </w:tcPr>
          <w:p>
            <w:pPr>
              <w:jc w:val="center"/>
              <w:spacing w:after="0"/>
              <w:rPr>
                <w:sz w:val="20"/>
                <w:szCs w:val="20"/>
                <w:color w:val="auto"/>
              </w:rPr>
            </w:pPr>
            <w:r>
              <w:rPr>
                <w:rFonts w:ascii="Arial" w:cs="Arial" w:eastAsia="Arial" w:hAnsi="Arial"/>
                <w:sz w:val="18"/>
                <w:szCs w:val="18"/>
                <w:color w:val="auto"/>
                <w:w w:val="99"/>
              </w:rPr>
              <w:t>Unit</w:t>
            </w:r>
          </w:p>
        </w:tc>
      </w:tr>
      <w:tr>
        <w:trPr>
          <w:trHeight w:val="34"/>
        </w:trPr>
        <w:tc>
          <w:tcPr>
            <w:tcW w:w="4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r>
        <w:trPr>
          <w:trHeight w:val="257"/>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Threshold</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25th percentile of Peer Group</w:t>
            </w:r>
          </w:p>
        </w:tc>
        <w:tc>
          <w:tcPr>
            <w:tcW w:w="3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0.25</w:t>
            </w:r>
          </w:p>
        </w:tc>
      </w:tr>
      <w:tr>
        <w:trPr>
          <w:trHeight w:val="264"/>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Above Threshold</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35th percentile of Peer Group</w:t>
            </w:r>
          </w:p>
        </w:tc>
        <w:tc>
          <w:tcPr>
            <w:tcW w:w="3860" w:type="dxa"/>
            <w:vAlign w:val="bottom"/>
          </w:tcPr>
          <w:p>
            <w:pPr>
              <w:jc w:val="center"/>
              <w:spacing w:after="0"/>
              <w:rPr>
                <w:sz w:val="20"/>
                <w:szCs w:val="20"/>
                <w:color w:val="auto"/>
              </w:rPr>
            </w:pPr>
            <w:r>
              <w:rPr>
                <w:rFonts w:ascii="Arial" w:cs="Arial" w:eastAsia="Arial" w:hAnsi="Arial"/>
                <w:sz w:val="14"/>
                <w:szCs w:val="14"/>
                <w:color w:val="auto"/>
                <w:w w:val="95"/>
              </w:rPr>
              <w:t>0.50</w:t>
            </w:r>
          </w:p>
        </w:tc>
      </w:tr>
      <w:tr>
        <w:trPr>
          <w:trHeight w:val="27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Target</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50th percentile of Peer Group</w:t>
            </w:r>
          </w:p>
        </w:tc>
        <w:tc>
          <w:tcPr>
            <w:tcW w:w="3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1.00</w:t>
            </w:r>
          </w:p>
        </w:tc>
      </w:tr>
      <w:tr>
        <w:trPr>
          <w:trHeight w:val="258"/>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Above Target</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75th percentile of Peer Group</w:t>
            </w:r>
          </w:p>
        </w:tc>
        <w:tc>
          <w:tcPr>
            <w:tcW w:w="3860" w:type="dxa"/>
            <w:vAlign w:val="bottom"/>
          </w:tcPr>
          <w:p>
            <w:pPr>
              <w:jc w:val="center"/>
              <w:spacing w:after="0"/>
              <w:rPr>
                <w:sz w:val="20"/>
                <w:szCs w:val="20"/>
                <w:color w:val="auto"/>
              </w:rPr>
            </w:pPr>
            <w:r>
              <w:rPr>
                <w:rFonts w:ascii="Arial" w:cs="Arial" w:eastAsia="Arial" w:hAnsi="Arial"/>
                <w:sz w:val="14"/>
                <w:szCs w:val="14"/>
                <w:color w:val="auto"/>
                <w:w w:val="95"/>
              </w:rPr>
              <w:t>1.50</w:t>
            </w:r>
          </w:p>
        </w:tc>
      </w:tr>
      <w:tr>
        <w:trPr>
          <w:trHeight w:val="270"/>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Maximum</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90th percentile of Peer Group</w:t>
            </w:r>
          </w:p>
        </w:tc>
        <w:tc>
          <w:tcPr>
            <w:tcW w:w="3860" w:type="dxa"/>
            <w:vAlign w:val="bottom"/>
          </w:tcPr>
          <w:p>
            <w:pPr>
              <w:jc w:val="center"/>
              <w:spacing w:after="0"/>
              <w:rPr>
                <w:sz w:val="20"/>
                <w:szCs w:val="20"/>
                <w:color w:val="auto"/>
              </w:rPr>
            </w:pPr>
            <w:r>
              <w:rPr>
                <w:rFonts w:ascii="Arial" w:cs="Arial" w:eastAsia="Arial" w:hAnsi="Arial"/>
                <w:sz w:val="14"/>
                <w:szCs w:val="14"/>
                <w:color w:val="auto"/>
                <w:w w:val="95"/>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-163195</wp:posOffset>
            </wp:positionV>
            <wp:extent cx="698944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171450"/>
                    </a:xfrm>
                    <a:prstGeom prst="rect">
                      <a:avLst/>
                    </a:prstGeom>
                    <a:noFill/>
                  </pic:spPr>
                </pic:pic>
              </a:graphicData>
            </a:graphic>
          </wp:anchor>
        </w:drawing>
      </w:r>
    </w:p>
    <w:p>
      <w:pPr>
        <w:ind w:left="500" w:right="60"/>
        <w:spacing w:after="0" w:line="270" w:lineRule="auto"/>
        <w:rPr>
          <w:sz w:val="20"/>
          <w:szCs w:val="20"/>
          <w:color w:val="auto"/>
        </w:rPr>
      </w:pPr>
      <w:r>
        <w:rPr>
          <w:rFonts w:ascii="Arial" w:cs="Arial" w:eastAsia="Arial" w:hAnsi="Arial"/>
          <w:sz w:val="13"/>
          <w:szCs w:val="13"/>
          <w:color w:val="auto"/>
        </w:rPr>
        <w:t>The performance period (fiscal 2013, 2014 and 2015) for the fiscal 2013 performance unit award has been completed. In August 2015, the Compensation Committee certified that the Company’s relative Total Shareholder Return for the performance period resulted in an award of 1.84 shares for each performance unit granted. Accordingly, the number of shares presented for the fiscal 2013 performance unit award is equal to the number of shares actually earned for that period. Based on the Company's relative Total Shareholder Return for fiscal 2014 and 2015 (two-thirds of the performance period for the fiscal 2014 award), the fiscal 2014 award is presented at the Maximum performance level. Based on the Company's relative Total Shareholder Return for fiscal 2015 (one-third of the performance period for the fiscal 2015 award), the fiscal 2015 award is presented at the Threshold performance level.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During Fiscal 2015</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sets forth information with respect to the value realized by our Named Executive Officers upon the exercise of stock options and the vesting of restricted stock units in fiscal 2015.</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4"/>
          </w:tcPr>
          <w:p>
            <w:pPr>
              <w:ind w:left="1420"/>
              <w:spacing w:after="0"/>
              <w:rPr>
                <w:sz w:val="20"/>
                <w:szCs w:val="20"/>
                <w:color w:val="auto"/>
              </w:rPr>
            </w:pPr>
            <w:r>
              <w:rPr>
                <w:rFonts w:ascii="Arial" w:cs="Arial" w:eastAsia="Arial" w:hAnsi="Arial"/>
                <w:sz w:val="14"/>
                <w:szCs w:val="14"/>
                <w:b w:val="1"/>
                <w:bCs w:val="1"/>
                <w:color w:val="auto"/>
              </w:rPr>
              <w:t>Fiscal 2015</w:t>
            </w:r>
          </w:p>
        </w:tc>
        <w:tc>
          <w:tcPr>
            <w:tcW w:w="1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34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Pr>
          <w:p>
            <w:pPr>
              <w:spacing w:after="0"/>
              <w:rPr>
                <w:sz w:val="22"/>
                <w:szCs w:val="22"/>
                <w:color w:val="auto"/>
              </w:rPr>
            </w:pPr>
          </w:p>
        </w:tc>
        <w:tc>
          <w:tcPr>
            <w:tcW w:w="3840" w:type="dxa"/>
            <w:vAlign w:val="bottom"/>
            <w:tcBorders>
              <w:bottom w:val="single" w:sz="8" w:color="auto"/>
            </w:tcBorders>
            <w:gridSpan w:val="3"/>
          </w:tcPr>
          <w:p>
            <w:pPr>
              <w:jc w:val="right"/>
              <w:ind w:right="1568"/>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Number of Shares</w:t>
            </w:r>
          </w:p>
        </w:tc>
        <w:tc>
          <w:tcPr>
            <w:tcW w:w="17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Value Realized on</w:t>
            </w:r>
          </w:p>
        </w:tc>
        <w:tc>
          <w:tcPr>
            <w:tcW w:w="19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Number of Shares</w:t>
            </w:r>
          </w:p>
        </w:tc>
        <w:tc>
          <w:tcPr>
            <w:tcW w:w="1920" w:type="dxa"/>
            <w:vAlign w:val="bottom"/>
          </w:tcPr>
          <w:p>
            <w:pPr>
              <w:jc w:val="center"/>
              <w:ind w:right="268"/>
              <w:spacing w:after="0" w:line="153" w:lineRule="exact"/>
              <w:rPr>
                <w:sz w:val="20"/>
                <w:szCs w:val="20"/>
                <w:color w:val="auto"/>
              </w:rPr>
            </w:pPr>
            <w:r>
              <w:rPr>
                <w:rFonts w:ascii="Arial" w:cs="Arial" w:eastAsia="Arial" w:hAnsi="Arial"/>
                <w:sz w:val="14"/>
                <w:szCs w:val="14"/>
                <w:b w:val="1"/>
                <w:bCs w:val="1"/>
                <w:color w:val="auto"/>
                <w:w w:val="92"/>
              </w:rPr>
              <w:t>Value Realized on</w:t>
            </w: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Name</w:t>
            </w:r>
          </w:p>
        </w:tc>
        <w:tc>
          <w:tcPr>
            <w:tcW w:w="1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w:t>
            </w:r>
          </w:p>
        </w:tc>
        <w:tc>
          <w:tcPr>
            <w:tcW w:w="1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920" w:type="dxa"/>
            <w:vAlign w:val="bottom"/>
          </w:tcPr>
          <w:p>
            <w:pPr>
              <w:jc w:val="center"/>
              <w:ind w:right="268"/>
              <w:spacing w:after="0" w:line="149" w:lineRule="exact"/>
              <w:rPr>
                <w:sz w:val="20"/>
                <w:szCs w:val="20"/>
                <w:color w:val="auto"/>
              </w:rPr>
            </w:pPr>
            <w:r>
              <w:rPr>
                <w:rFonts w:ascii="Arial" w:cs="Arial" w:eastAsia="Arial" w:hAnsi="Arial"/>
                <w:sz w:val="14"/>
                <w:szCs w:val="14"/>
                <w:b w:val="1"/>
                <w:bCs w:val="1"/>
                <w:color w:val="auto"/>
                <w:w w:val="90"/>
              </w:rPr>
              <w:t>Vesting</w:t>
            </w:r>
          </w:p>
        </w:tc>
        <w:tc>
          <w:tcPr>
            <w:tcW w:w="0" w:type="dxa"/>
            <w:vAlign w:val="bottom"/>
          </w:tcPr>
          <w:p>
            <w:pPr>
              <w:spacing w:after="0"/>
              <w:rPr>
                <w:sz w:val="1"/>
                <w:szCs w:val="1"/>
                <w:color w:val="auto"/>
              </w:rPr>
            </w:pPr>
          </w:p>
        </w:tc>
      </w:tr>
      <w:tr>
        <w:trPr>
          <w:trHeight w:val="192"/>
        </w:trPr>
        <w:tc>
          <w:tcPr>
            <w:tcW w:w="4120" w:type="dxa"/>
            <w:vAlign w:val="bottom"/>
            <w:gridSpan w:val="2"/>
            <w:vMerge w:val="continue"/>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Exercise (#)</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4"/>
              </w:rPr>
              <w:t>($) (1)</w:t>
            </w:r>
          </w:p>
        </w:tc>
        <w:tc>
          <w:tcPr>
            <w:tcW w:w="120" w:type="dxa"/>
            <w:vAlign w:val="bottom"/>
          </w:tcPr>
          <w:p>
            <w:pPr>
              <w:spacing w:after="0"/>
              <w:rPr>
                <w:sz w:val="16"/>
                <w:szCs w:val="16"/>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Vesting (#)</w:t>
            </w:r>
          </w:p>
        </w:tc>
        <w:tc>
          <w:tcPr>
            <w:tcW w:w="1920" w:type="dxa"/>
            <w:vAlign w:val="bottom"/>
          </w:tcPr>
          <w:p>
            <w:pPr>
              <w:jc w:val="center"/>
              <w:ind w:right="268"/>
              <w:spacing w:after="0"/>
              <w:rPr>
                <w:sz w:val="20"/>
                <w:szCs w:val="20"/>
                <w:color w:val="auto"/>
              </w:rPr>
            </w:pPr>
            <w:r>
              <w:rPr>
                <w:rFonts w:ascii="Arial" w:cs="Arial" w:eastAsia="Arial" w:hAnsi="Arial"/>
                <w:sz w:val="14"/>
                <w:szCs w:val="14"/>
                <w:b w:val="1"/>
                <w:bCs w:val="1"/>
                <w:color w:val="auto"/>
                <w:w w:val="99"/>
              </w:rPr>
              <w:t>($) (2)</w:t>
            </w:r>
          </w:p>
        </w:tc>
        <w:tc>
          <w:tcPr>
            <w:tcW w:w="0" w:type="dxa"/>
            <w:vAlign w:val="bottom"/>
          </w:tcPr>
          <w:p>
            <w:pPr>
              <w:spacing w:after="0"/>
              <w:rPr>
                <w:sz w:val="1"/>
                <w:szCs w:val="1"/>
                <w:color w:val="auto"/>
              </w:rPr>
            </w:pPr>
          </w:p>
        </w:tc>
      </w:tr>
      <w:tr>
        <w:trPr>
          <w:trHeight w:val="162"/>
        </w:trPr>
        <w:tc>
          <w:tcPr>
            <w:tcW w:w="4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John R. Hewitt</w:t>
            </w:r>
          </w:p>
        </w:tc>
        <w:tc>
          <w:tcPr>
            <w:tcW w:w="1740" w:type="dxa"/>
            <w:vAlign w:val="bottom"/>
            <w:gridSpan w:val="2"/>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44,307</w:t>
            </w:r>
          </w:p>
        </w:tc>
        <w:tc>
          <w:tcPr>
            <w:tcW w:w="34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1,054,219</w:t>
            </w:r>
          </w:p>
        </w:tc>
        <w:tc>
          <w:tcPr>
            <w:tcW w:w="0" w:type="dxa"/>
            <w:vAlign w:val="bottom"/>
          </w:tcPr>
          <w:p>
            <w:pPr>
              <w:spacing w:after="0"/>
              <w:rPr>
                <w:sz w:val="1"/>
                <w:szCs w:val="1"/>
                <w:color w:val="auto"/>
              </w:rPr>
            </w:pPr>
          </w:p>
        </w:tc>
      </w:tr>
      <w:tr>
        <w:trPr>
          <w:trHeight w:val="264"/>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Joseph F. Montalbano</w:t>
            </w:r>
          </w:p>
        </w:tc>
        <w:tc>
          <w:tcPr>
            <w:tcW w:w="174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172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19,854</w:t>
            </w:r>
          </w:p>
        </w:tc>
        <w:tc>
          <w:tcPr>
            <w:tcW w:w="340" w:type="dxa"/>
            <w:vAlign w:val="bottom"/>
          </w:tcPr>
          <w:p>
            <w:pPr>
              <w:spacing w:after="0"/>
              <w:rPr>
                <w:sz w:val="22"/>
                <w:szCs w:val="22"/>
                <w:color w:val="auto"/>
              </w:rPr>
            </w:pPr>
          </w:p>
        </w:tc>
        <w:tc>
          <w:tcPr>
            <w:tcW w:w="1920" w:type="dxa"/>
            <w:vAlign w:val="bottom"/>
          </w:tcPr>
          <w:p>
            <w:pPr>
              <w:jc w:val="right"/>
              <w:ind w:right="368"/>
              <w:spacing w:after="0"/>
              <w:rPr>
                <w:sz w:val="20"/>
                <w:szCs w:val="20"/>
                <w:color w:val="auto"/>
              </w:rPr>
            </w:pPr>
            <w:r>
              <w:rPr>
                <w:rFonts w:ascii="Arial" w:cs="Arial" w:eastAsia="Arial" w:hAnsi="Arial"/>
                <w:sz w:val="14"/>
                <w:szCs w:val="14"/>
                <w:color w:val="auto"/>
              </w:rPr>
              <w:t>458,506</w:t>
            </w: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Kevin S. Cavanah</w:t>
            </w:r>
          </w:p>
        </w:tc>
        <w:tc>
          <w:tcPr>
            <w:tcW w:w="1740" w:type="dxa"/>
            <w:vAlign w:val="bottom"/>
            <w:gridSpan w:val="2"/>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14,122</w:t>
            </w:r>
          </w:p>
        </w:tc>
        <w:tc>
          <w:tcPr>
            <w:tcW w:w="34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333,327</w:t>
            </w:r>
          </w:p>
        </w:tc>
        <w:tc>
          <w:tcPr>
            <w:tcW w:w="0" w:type="dxa"/>
            <w:vAlign w:val="bottom"/>
          </w:tcPr>
          <w:p>
            <w:pPr>
              <w:spacing w:after="0"/>
              <w:rPr>
                <w:sz w:val="1"/>
                <w:szCs w:val="1"/>
                <w:color w:val="auto"/>
              </w:rPr>
            </w:pPr>
          </w:p>
        </w:tc>
      </w:tr>
      <w:tr>
        <w:trPr>
          <w:trHeight w:val="258"/>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James P. Ryan</w:t>
            </w:r>
          </w:p>
        </w:tc>
        <w:tc>
          <w:tcPr>
            <w:tcW w:w="174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172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15,014</w:t>
            </w:r>
          </w:p>
        </w:tc>
        <w:tc>
          <w:tcPr>
            <w:tcW w:w="340" w:type="dxa"/>
            <w:vAlign w:val="bottom"/>
          </w:tcPr>
          <w:p>
            <w:pPr>
              <w:spacing w:after="0"/>
              <w:rPr>
                <w:sz w:val="22"/>
                <w:szCs w:val="22"/>
                <w:color w:val="auto"/>
              </w:rPr>
            </w:pPr>
          </w:p>
        </w:tc>
        <w:tc>
          <w:tcPr>
            <w:tcW w:w="1920" w:type="dxa"/>
            <w:vAlign w:val="bottom"/>
          </w:tcPr>
          <w:p>
            <w:pPr>
              <w:jc w:val="right"/>
              <w:ind w:right="368"/>
              <w:spacing w:after="0"/>
              <w:rPr>
                <w:sz w:val="20"/>
                <w:szCs w:val="20"/>
                <w:color w:val="auto"/>
              </w:rPr>
            </w:pPr>
            <w:r>
              <w:rPr>
                <w:rFonts w:ascii="Arial" w:cs="Arial" w:eastAsia="Arial" w:hAnsi="Arial"/>
                <w:sz w:val="14"/>
                <w:szCs w:val="14"/>
                <w:color w:val="auto"/>
              </w:rPr>
              <w:t>348,854</w:t>
            </w:r>
          </w:p>
        </w:tc>
        <w:tc>
          <w:tcPr>
            <w:tcW w:w="0" w:type="dxa"/>
            <w:vAlign w:val="bottom"/>
          </w:tcPr>
          <w:p>
            <w:pPr>
              <w:spacing w:after="0"/>
              <w:rPr>
                <w:sz w:val="1"/>
                <w:szCs w:val="1"/>
                <w:color w:val="auto"/>
              </w:rPr>
            </w:pPr>
          </w:p>
        </w:tc>
      </w:tr>
      <w:tr>
        <w:trPr>
          <w:trHeight w:val="270"/>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Jason W. Turner</w:t>
            </w:r>
          </w:p>
        </w:tc>
        <w:tc>
          <w:tcPr>
            <w:tcW w:w="174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172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7,954</w:t>
            </w:r>
          </w:p>
        </w:tc>
        <w:tc>
          <w:tcPr>
            <w:tcW w:w="340" w:type="dxa"/>
            <w:vAlign w:val="bottom"/>
          </w:tcPr>
          <w:p>
            <w:pPr>
              <w:spacing w:after="0"/>
              <w:rPr>
                <w:sz w:val="23"/>
                <w:szCs w:val="23"/>
                <w:color w:val="auto"/>
              </w:rPr>
            </w:pPr>
          </w:p>
        </w:tc>
        <w:tc>
          <w:tcPr>
            <w:tcW w:w="1920" w:type="dxa"/>
            <w:vAlign w:val="bottom"/>
          </w:tcPr>
          <w:p>
            <w:pPr>
              <w:jc w:val="right"/>
              <w:ind w:right="368"/>
              <w:spacing w:after="0"/>
              <w:rPr>
                <w:sz w:val="20"/>
                <w:szCs w:val="20"/>
                <w:color w:val="auto"/>
              </w:rPr>
            </w:pPr>
            <w:r>
              <w:rPr>
                <w:rFonts w:ascii="Arial" w:cs="Arial" w:eastAsia="Arial" w:hAnsi="Arial"/>
                <w:sz w:val="14"/>
                <w:szCs w:val="14"/>
                <w:color w:val="auto"/>
              </w:rPr>
              <w:t>182,828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60" w:right="420" w:hanging="330"/>
        <w:spacing w:after="0" w:line="245" w:lineRule="auto"/>
        <w:tabs>
          <w:tab w:leader="none" w:pos="4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value realized is the difference between the option exercise price and the sales price of the common stock on the date of exercise, multiplied by the number of shares for which the options were exercised.</w:t>
      </w:r>
    </w:p>
    <w:p>
      <w:pPr>
        <w:ind w:left="460" w:hanging="330"/>
        <w:spacing w:after="0"/>
        <w:tabs>
          <w:tab w:leader="none" w:pos="4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value realized is the closing sales price of the common stock on the vesting date, multiplied by the number of shares for which the restrictions lapsed.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94"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We have entered into Change of Control/Severance Agreements with Mr. Hewitt, Mr. Cavanah, Mr. Montalbano, Mr. Ryan and Mr. Turner. These agreements are designed to promote stability, continuity and focus for key members of leadership during periods of uncertainty that may be created by change of control situations. Additionally, the use of such agreements is a competitive practice that enhances our ability to attract and retain leadership talent.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Under these agreements, payment of benefits may occur under two circumstances:</w:t>
      </w:r>
    </w:p>
    <w:p>
      <w:pPr>
        <w:spacing w:after="0" w:line="279" w:lineRule="exact"/>
        <w:rPr>
          <w:sz w:val="20"/>
          <w:szCs w:val="20"/>
          <w:color w:val="auto"/>
        </w:rPr>
      </w:pPr>
    </w:p>
    <w:p>
      <w:pPr>
        <w:ind w:left="540" w:right="480" w:hanging="316"/>
        <w:spacing w:after="0" w:line="277"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If we experience a “Change of Control”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the executive suffers an “Adverse Event” or is terminated without “Cause,” either on the date of the Change of Control or within 24 months following the Change of Control date; or</w:t>
      </w:r>
    </w:p>
    <w:p>
      <w:pPr>
        <w:spacing w:after="0" w:line="170" w:lineRule="exact"/>
        <w:rPr>
          <w:rFonts w:ascii="Arial" w:cs="Arial" w:eastAsia="Arial" w:hAnsi="Arial"/>
          <w:sz w:val="18"/>
          <w:szCs w:val="18"/>
          <w:color w:val="auto"/>
        </w:rPr>
      </w:pPr>
    </w:p>
    <w:p>
      <w:pPr>
        <w:ind w:left="540" w:hanging="316"/>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executive is terminated from employment at any time for reasons other than Cause.</w:t>
      </w:r>
    </w:p>
    <w:p>
      <w:pPr>
        <w:spacing w:after="0" w:line="17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“Change of Control” means (i) a “change in ownership” of the Company of greater than 50% of the outstanding voting stock of the Company within a six month period; (ii) a “change in the effective control” of the Company as determined by a change of greater than 35% of the outstanding voting stock of the Company by a person or persons acting as a group within a twelve month period; or (iii) a “change in the ownership” of a substantial portion of the assets of the Company as these terms are defined under Internal Revenue Code § 409A(a)(2)(A)(v) and Treasury Regulations § 1.409A-3(g)(5) or other then existing and applicable Treasury Regulations promulgated under Code § 409A that define the terms “change of control” for deferred compensation arrangements.</w:t>
      </w:r>
    </w:p>
    <w:p>
      <w:pPr>
        <w:spacing w:after="0" w:line="21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“Cause” means, with reference to a severance event, that the executive has been severed from employment with the Company because of the executive’s theft of Company property, embezzlement or dishonesty that results in harm to the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 xml:space="preserve">continued gross or willful neglect of his or her job responsibilities after receiving written warnings regarding such neglect from the Company; conviction of a felony or pleading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felony charged under state or federal law; or willful violation of Company policy. A determination by the Company’s Board of Directors that an event constituting “Cause” under this Agreement has occurred is binding upon the Company and the executive.</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“Adverse Event” means that the executive has experienced an event that has a material adverse impact on the executive’s job position, responsibilities, duties, authorities, compensation or opportunities within the Company. An Adverse Event shall be considered “material” when: (i) the executive experiences any reduction in base salary; (ii) the executive experiences a reduction in salary range or opportunity for increases in salary; (iii) the executive experiences a reduction in incentive compensation range or opportunity; (iv) there is a material reduction in the executive’s executive benefits or perquisites; (v) the executive is reassigned to a position or role with a lower salary range, salary opportunity, incentive range or incentive opportunity; or (vi) the executive experiences a material reduction in responsibilities.</w:t>
      </w:r>
    </w:p>
    <w:p>
      <w:pPr>
        <w:spacing w:after="0" w:line="13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the event payment of benefits is triggered under these agreements, the executive officer will be paid in the manner outlined below. All benefits paid under these agreements are conditioned upon the executive executing a non-interference, non-solicitation, waiver and release of claims and confidentiality agreement in a form satisfactory to us. Failure to execute such an agreement prior to the payment date is considered an absolute forfeiture of the severance benefit. In the event an executive officer is terminated for Cause, all benefits and payments under the agreement are forfeited.</w:t>
      </w:r>
    </w:p>
    <w:p>
      <w:pPr>
        <w:spacing w:after="0" w:line="3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the event an executive suffers an Adverse Event within 24 months of a Change of Control, benefits are paid as follows:</w:t>
      </w:r>
    </w:p>
    <w:p>
      <w:pPr>
        <w:spacing w:after="0" w:line="90" w:lineRule="exact"/>
        <w:rPr>
          <w:sz w:val="20"/>
          <w:szCs w:val="20"/>
          <w:color w:val="auto"/>
        </w:rPr>
      </w:pPr>
    </w:p>
    <w:p>
      <w:pPr>
        <w:jc w:val="both"/>
        <w:ind w:left="660" w:right="6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Hewitt, Mr. Cavanah and Mr. Montalbano – Paid an amount equal to two years of base salary plus the average annual bonus compensation paid to the executive in the lesser of the previous three years or the number of full fiscal years the executive has been employed in the position. All forms of equity benefits vest and restrictions on such benefits lapse immediately.</w:t>
      </w:r>
    </w:p>
    <w:p>
      <w:pPr>
        <w:spacing w:after="0" w:line="46"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Ryan and Mr. Turner – Paid an amount equal to one year of base salary plus the average annual bonus compensation paid to the executive in the previous three calendar years. All forms of equity benefits vest and restrictions on such benefits lapse immediately.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the event an executive is terminated from employment for reasons other than Cause, benefits are paid as follows:</w:t>
      </w:r>
    </w:p>
    <w:p>
      <w:pPr>
        <w:spacing w:after="0" w:line="90"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Hewitt – Paid an amount equal to one year of base salary plus bonus compensation in an amount equal to 75% of base salary.</w:t>
      </w:r>
    </w:p>
    <w:p>
      <w:pPr>
        <w:spacing w:after="0" w:line="90" w:lineRule="exact"/>
        <w:rPr>
          <w:rFonts w:ascii="Arial" w:cs="Arial" w:eastAsia="Arial" w:hAnsi="Arial"/>
          <w:sz w:val="18"/>
          <w:szCs w:val="18"/>
          <w:color w:val="auto"/>
        </w:rPr>
      </w:pPr>
    </w:p>
    <w:p>
      <w:pPr>
        <w:ind w:left="660" w:right="40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Cavanah, Mr. Montalbano, Mr. Ryan and Mr. Turner – Paid an amount equal to one year of base salary plus the lesser of the average annual bonus compensation paid to the executive in the previous three years or the number of full fiscal years the executive has been employed in the position.</w:t>
      </w:r>
    </w:p>
    <w:p>
      <w:pPr>
        <w:spacing w:after="0" w:line="12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We have also entered into Change of Control Agreements with other executive officers and key members of management. These agreements are designed to promote stability, continuity and focus for key personnel during periods of uncertainty that may be created by potential change of control situations. We seek to offer some security and protection when asking officers and managers to remain engaged through uncertain times.</w:t>
      </w:r>
    </w:p>
    <w:p>
      <w:pPr>
        <w:spacing w:after="0" w:line="11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Under these agreements, payment of benefits occurs in the event of a Change of Control and the executive officer/manager has suffered an Adverse Event or been terminated from employment for reasons other than Cause, either on the date of the Change of Control or within six months of the Change of Control date. There is no general severance clause in these agreements.</w:t>
      </w:r>
    </w:p>
    <w:p>
      <w:pPr>
        <w:spacing w:after="0" w:line="271" w:lineRule="auto"/>
        <w:rPr>
          <w:sz w:val="20"/>
          <w:szCs w:val="20"/>
          <w:color w:val="auto"/>
        </w:rPr>
      </w:pPr>
      <w:r>
        <w:rPr>
          <w:rFonts w:ascii="Arial" w:cs="Arial" w:eastAsia="Arial" w:hAnsi="Arial"/>
          <w:sz w:val="17"/>
          <w:szCs w:val="17"/>
          <w:color w:val="auto"/>
        </w:rPr>
        <w:t>In the event payment of benefits is triggered under these agreements, the executive officer/manager will be paid an amount equal to one year of base salary. In addition, all equity awards immediately vest and all restrictions on such benefits lapse. All benefits paid under these agreements are conditional upon the executive officer/manager executing a non-interference, non-solicitation, waiver and release of claims and confidentiality agreement in a form satisfactory to us. Failure to execute such an agreement prior to the payment date will be considered an absolute forfeiture of the severance benefit. In the event an executive officer/manager is terminated for Cause, all benefits and payments under the agreement are forfeited.</w:t>
      </w:r>
    </w:p>
    <w:p>
      <w:pPr>
        <w:spacing w:after="0" w:line="1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Benefits will be paid in the calendar year the event occurs and, generally, within thirty days of the date of the event. In no case shall the payment of the severance benefits be paid later than March 15 following the calendar year in which the event occurred.</w:t>
      </w:r>
    </w:p>
    <w:p>
      <w:pPr>
        <w:spacing w:after="0" w:line="11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following table shows potential payments to our Named Executive Officers under existing contracts, agreements, plans or arrangements, whether written or unwritten for various scenarios involving a termination of each of such Named Executive Officers, assuming a June 30, 2015 termination date and, where applicable, using the closing price of our common stock 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June 30, 2015 of $18.28. These amounts are estimates only. The actual amounts to be paid out can only be determined at the time of such executive officer’s separation from us.</w:t>
      </w:r>
    </w:p>
    <w:p>
      <w:pPr>
        <w:spacing w:after="0" w:line="11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Except for certain terminations which entitle a Named Executive Officer to severance payments under the agreements described above, and except for the acceleration of vesting of equity awards upon retirement, death or disability to which a Named Executive Officer may be entitled under his respective award agreements, there are no agreements, arrangements or plans that entitle the Named Executive Officers to severance, perquisites or other enhanced benefits upon their termination of employment. Any agreement to provide such other payments or benefits to a terminating executive would be at the discretion of the Compensation Committee.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40" w:type="dxa"/>
            <w:vAlign w:val="bottom"/>
            <w:gridSpan w:val="9"/>
          </w:tcPr>
          <w:p>
            <w:pPr>
              <w:jc w:val="center"/>
              <w:ind w:right="80"/>
              <w:spacing w:after="0"/>
              <w:rPr>
                <w:sz w:val="20"/>
                <w:szCs w:val="20"/>
                <w:color w:val="auto"/>
              </w:rPr>
            </w:pPr>
            <w:r>
              <w:rPr>
                <w:rFonts w:ascii="Arial" w:cs="Arial" w:eastAsia="Arial" w:hAnsi="Arial"/>
                <w:sz w:val="9"/>
                <w:szCs w:val="9"/>
                <w:b w:val="1"/>
                <w:bCs w:val="1"/>
                <w:color w:val="auto"/>
                <w:w w:val="91"/>
              </w:rPr>
              <w:t>Termination by the Company at any Time for Reasons Other than</w:t>
            </w:r>
          </w:p>
        </w:tc>
        <w:tc>
          <w:tcPr>
            <w:tcW w:w="90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6"/>
              </w:rPr>
              <w:t>Voluntary</w:t>
            </w: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40" w:type="dxa"/>
            <w:vAlign w:val="bottom"/>
            <w:gridSpan w:val="4"/>
          </w:tcPr>
          <w:p>
            <w:pPr>
              <w:jc w:val="center"/>
              <w:ind w:right="80"/>
              <w:spacing w:after="0"/>
              <w:rPr>
                <w:sz w:val="20"/>
                <w:szCs w:val="20"/>
                <w:color w:val="auto"/>
              </w:rPr>
            </w:pPr>
            <w:r>
              <w:rPr>
                <w:rFonts w:ascii="Arial" w:cs="Arial" w:eastAsia="Arial" w:hAnsi="Arial"/>
                <w:sz w:val="9"/>
                <w:szCs w:val="9"/>
                <w:b w:val="1"/>
                <w:bCs w:val="1"/>
                <w:color w:val="auto"/>
                <w:w w:val="92"/>
              </w:rPr>
              <w:t>Death, Disability or Change of</w:t>
            </w: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gridSpan w:val="7"/>
          </w:tcPr>
          <w:p>
            <w:pPr>
              <w:jc w:val="right"/>
              <w:ind w:right="512"/>
              <w:spacing w:after="0"/>
              <w:rPr>
                <w:sz w:val="20"/>
                <w:szCs w:val="20"/>
                <w:color w:val="auto"/>
              </w:rPr>
            </w:pPr>
            <w:r>
              <w:rPr>
                <w:rFonts w:ascii="Arial" w:cs="Arial" w:eastAsia="Arial" w:hAnsi="Arial"/>
                <w:sz w:val="9"/>
                <w:szCs w:val="9"/>
                <w:b w:val="1"/>
                <w:bCs w:val="1"/>
                <w:color w:val="auto"/>
                <w:w w:val="91"/>
              </w:rPr>
              <w:t>Change of Control with Adverse Event or Termination</w:t>
            </w:r>
          </w:p>
        </w:tc>
        <w:tc>
          <w:tcPr>
            <w:tcW w:w="12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3"/>
          </w:tcPr>
          <w:p>
            <w:pPr>
              <w:jc w:val="center"/>
              <w:ind w:left="471"/>
              <w:spacing w:after="0"/>
              <w:rPr>
                <w:sz w:val="20"/>
                <w:szCs w:val="20"/>
                <w:color w:val="auto"/>
              </w:rPr>
            </w:pPr>
            <w:r>
              <w:rPr>
                <w:rFonts w:ascii="Arial" w:cs="Arial" w:eastAsia="Arial" w:hAnsi="Arial"/>
                <w:sz w:val="9"/>
                <w:szCs w:val="9"/>
                <w:b w:val="1"/>
                <w:bCs w:val="1"/>
                <w:color w:val="auto"/>
                <w:w w:val="88"/>
              </w:rPr>
              <w:t>Cause</w:t>
            </w: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Termination</w:t>
            </w:r>
          </w:p>
        </w:tc>
        <w:tc>
          <w:tcPr>
            <w:tcW w:w="100" w:type="dxa"/>
            <w:vAlign w:val="bottom"/>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Retirement</w:t>
            </w:r>
          </w:p>
        </w:tc>
        <w:tc>
          <w:tcPr>
            <w:tcW w:w="120" w:type="dxa"/>
            <w:vAlign w:val="bottom"/>
          </w:tcPr>
          <w:p>
            <w:pPr>
              <w:spacing w:after="0"/>
              <w:rPr>
                <w:sz w:val="10"/>
                <w:szCs w:val="10"/>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9"/>
                <w:szCs w:val="9"/>
                <w:b w:val="1"/>
                <w:bCs w:val="1"/>
                <w:color w:val="auto"/>
                <w:w w:val="90"/>
              </w:rPr>
              <w:t>Control (No Adverse Event)</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1"/>
              </w:rPr>
              <w:t>Value of</w:t>
            </w: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1"/>
              </w:rPr>
              <w:t>Value of</w:t>
            </w: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0"/>
              </w:rPr>
              <w:t>RSUs,</w:t>
            </w: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0"/>
              </w:rPr>
              <w:t>RSUs,</w:t>
            </w: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9"/>
                <w:szCs w:val="9"/>
                <w:b w:val="1"/>
                <w:bCs w:val="1"/>
                <w:color w:val="auto"/>
                <w:w w:val="91"/>
              </w:rPr>
              <w:t>Value of</w:t>
            </w:r>
          </w:p>
        </w:tc>
        <w:tc>
          <w:tcPr>
            <w:tcW w:w="92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9"/>
              </w:rPr>
              <w:t>Performance Units</w:t>
            </w: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1"/>
              </w:rPr>
              <w:t>Value</w:t>
            </w:r>
          </w:p>
        </w:tc>
        <w:tc>
          <w:tcPr>
            <w:tcW w:w="78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w w:val="89"/>
              </w:rPr>
              <w:t>Value of</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0"/>
              </w:rPr>
              <w:t>Value of RSUs,</w:t>
            </w: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85"/>
              </w:rPr>
              <w:t>Value of</w:t>
            </w:r>
          </w:p>
        </w:tc>
        <w:tc>
          <w:tcPr>
            <w:tcW w:w="88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9"/>
              </w:rPr>
              <w:t>Performance Units</w:t>
            </w: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920" w:type="dxa"/>
            <w:vAlign w:val="bottom"/>
            <w:gridSpan w:val="2"/>
          </w:tcPr>
          <w:p>
            <w:pPr>
              <w:jc w:val="center"/>
              <w:ind w:right="120"/>
              <w:spacing w:after="0" w:line="82" w:lineRule="exact"/>
              <w:rPr>
                <w:sz w:val="20"/>
                <w:szCs w:val="20"/>
                <w:color w:val="auto"/>
              </w:rPr>
            </w:pPr>
            <w:r>
              <w:rPr>
                <w:rFonts w:ascii="Arial" w:cs="Arial" w:eastAsia="Arial" w:hAnsi="Arial"/>
                <w:sz w:val="9"/>
                <w:szCs w:val="9"/>
                <w:b w:val="1"/>
                <w:bCs w:val="1"/>
                <w:color w:val="auto"/>
                <w:w w:val="90"/>
              </w:rPr>
              <w:t>and Cash-Based</w:t>
            </w: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gridSpan w:val="2"/>
          </w:tcPr>
          <w:p>
            <w:pPr>
              <w:jc w:val="center"/>
              <w:ind w:right="140"/>
              <w:spacing w:after="0" w:line="82" w:lineRule="exact"/>
              <w:rPr>
                <w:sz w:val="20"/>
                <w:szCs w:val="20"/>
                <w:color w:val="auto"/>
              </w:rPr>
            </w:pPr>
            <w:r>
              <w:rPr>
                <w:rFonts w:ascii="Arial" w:cs="Arial" w:eastAsia="Arial" w:hAnsi="Arial"/>
                <w:sz w:val="9"/>
                <w:szCs w:val="9"/>
                <w:b w:val="1"/>
                <w:bCs w:val="1"/>
                <w:color w:val="auto"/>
                <w:w w:val="93"/>
              </w:rPr>
              <w:t>of</w:t>
            </w:r>
          </w:p>
        </w:tc>
        <w:tc>
          <w:tcPr>
            <w:tcW w:w="780" w:type="dxa"/>
            <w:vAlign w:val="bottom"/>
            <w:gridSpan w:val="2"/>
          </w:tcPr>
          <w:p>
            <w:pPr>
              <w:jc w:val="center"/>
              <w:ind w:right="80"/>
              <w:spacing w:after="0" w:line="82" w:lineRule="exact"/>
              <w:rPr>
                <w:sz w:val="20"/>
                <w:szCs w:val="20"/>
                <w:color w:val="auto"/>
              </w:rPr>
            </w:pPr>
            <w:r>
              <w:rPr>
                <w:rFonts w:ascii="Arial" w:cs="Arial" w:eastAsia="Arial" w:hAnsi="Arial"/>
                <w:sz w:val="8"/>
                <w:szCs w:val="8"/>
                <w:b w:val="1"/>
                <w:bCs w:val="1"/>
                <w:color w:val="auto"/>
                <w:w w:val="89"/>
              </w:rPr>
              <w:t>RSUs and</w:t>
            </w: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880" w:type="dxa"/>
            <w:vAlign w:val="bottom"/>
            <w:gridSpan w:val="2"/>
          </w:tcPr>
          <w:p>
            <w:pPr>
              <w:jc w:val="center"/>
              <w:ind w:right="100"/>
              <w:spacing w:after="0" w:line="82" w:lineRule="exact"/>
              <w:rPr>
                <w:sz w:val="20"/>
                <w:szCs w:val="20"/>
                <w:color w:val="auto"/>
              </w:rPr>
            </w:pPr>
            <w:r>
              <w:rPr>
                <w:rFonts w:ascii="Arial" w:cs="Arial" w:eastAsia="Arial" w:hAnsi="Arial"/>
                <w:sz w:val="9"/>
                <w:szCs w:val="9"/>
                <w:b w:val="1"/>
                <w:bCs w:val="1"/>
                <w:color w:val="auto"/>
                <w:w w:val="87"/>
              </w:rPr>
              <w:t>and Cash-Based</w:t>
            </w: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tcPr>
          <w:p>
            <w:pPr>
              <w:jc w:val="center"/>
              <w:ind w:right="120"/>
              <w:spacing w:after="0" w:line="94" w:lineRule="exact"/>
              <w:rPr>
                <w:sz w:val="20"/>
                <w:szCs w:val="20"/>
                <w:color w:val="auto"/>
              </w:rPr>
            </w:pPr>
            <w:r>
              <w:rPr>
                <w:rFonts w:ascii="Arial" w:cs="Arial" w:eastAsia="Arial" w:hAnsi="Arial"/>
                <w:sz w:val="9"/>
                <w:szCs w:val="9"/>
                <w:b w:val="1"/>
                <w:bCs w:val="1"/>
                <w:color w:val="auto"/>
                <w:w w:val="89"/>
              </w:rPr>
              <w:t>Stock</w:t>
            </w:r>
          </w:p>
        </w:tc>
        <w:tc>
          <w:tcPr>
            <w:tcW w:w="920" w:type="dxa"/>
            <w:vAlign w:val="bottom"/>
            <w:gridSpan w:val="2"/>
          </w:tcPr>
          <w:p>
            <w:pPr>
              <w:jc w:val="center"/>
              <w:ind w:right="120"/>
              <w:spacing w:after="0" w:line="94" w:lineRule="exact"/>
              <w:rPr>
                <w:sz w:val="20"/>
                <w:szCs w:val="20"/>
                <w:color w:val="auto"/>
              </w:rPr>
            </w:pPr>
            <w:r>
              <w:rPr>
                <w:rFonts w:ascii="Arial" w:cs="Arial" w:eastAsia="Arial" w:hAnsi="Arial"/>
                <w:sz w:val="9"/>
                <w:szCs w:val="9"/>
                <w:b w:val="1"/>
                <w:bCs w:val="1"/>
                <w:color w:val="auto"/>
                <w:w w:val="95"/>
              </w:rPr>
              <w:t>LTI Awards for</w:t>
            </w: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gridSpan w:val="2"/>
          </w:tcPr>
          <w:p>
            <w:pPr>
              <w:jc w:val="center"/>
              <w:ind w:right="160"/>
              <w:spacing w:after="0" w:line="94" w:lineRule="exact"/>
              <w:rPr>
                <w:sz w:val="20"/>
                <w:szCs w:val="20"/>
                <w:color w:val="auto"/>
              </w:rPr>
            </w:pPr>
            <w:r>
              <w:rPr>
                <w:rFonts w:ascii="Arial" w:cs="Arial" w:eastAsia="Arial" w:hAnsi="Arial"/>
                <w:sz w:val="9"/>
                <w:szCs w:val="9"/>
                <w:b w:val="1"/>
                <w:bCs w:val="1"/>
                <w:color w:val="auto"/>
                <w:w w:val="89"/>
              </w:rPr>
              <w:t>Stock</w:t>
            </w:r>
          </w:p>
        </w:tc>
        <w:tc>
          <w:tcPr>
            <w:tcW w:w="78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w w:val="89"/>
              </w:rPr>
              <w:t>Performance</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center"/>
              <w:ind w:right="120"/>
              <w:spacing w:after="0" w:line="94" w:lineRule="exact"/>
              <w:rPr>
                <w:sz w:val="20"/>
                <w:szCs w:val="20"/>
                <w:color w:val="auto"/>
              </w:rPr>
            </w:pPr>
            <w:r>
              <w:rPr>
                <w:rFonts w:ascii="Arial" w:cs="Arial" w:eastAsia="Arial" w:hAnsi="Arial"/>
                <w:sz w:val="9"/>
                <w:szCs w:val="9"/>
                <w:b w:val="1"/>
                <w:bCs w:val="1"/>
                <w:color w:val="auto"/>
                <w:w w:val="92"/>
              </w:rPr>
              <w:t>Performance Units</w:t>
            </w:r>
          </w:p>
        </w:tc>
        <w:tc>
          <w:tcPr>
            <w:tcW w:w="660" w:type="dxa"/>
            <w:vAlign w:val="bottom"/>
            <w:gridSpan w:val="2"/>
          </w:tcPr>
          <w:p>
            <w:pPr>
              <w:jc w:val="center"/>
              <w:ind w:right="120"/>
              <w:spacing w:after="0" w:line="94" w:lineRule="exact"/>
              <w:rPr>
                <w:sz w:val="20"/>
                <w:szCs w:val="20"/>
                <w:color w:val="auto"/>
              </w:rPr>
            </w:pPr>
            <w:r>
              <w:rPr>
                <w:rFonts w:ascii="Arial" w:cs="Arial" w:eastAsia="Arial" w:hAnsi="Arial"/>
                <w:sz w:val="9"/>
                <w:szCs w:val="9"/>
                <w:b w:val="1"/>
                <w:bCs w:val="1"/>
                <w:color w:val="auto"/>
                <w:w w:val="89"/>
              </w:rPr>
              <w:t>Stock</w:t>
            </w:r>
          </w:p>
        </w:tc>
        <w:tc>
          <w:tcPr>
            <w:tcW w:w="880" w:type="dxa"/>
            <w:vAlign w:val="bottom"/>
            <w:gridSpan w:val="2"/>
          </w:tcPr>
          <w:p>
            <w:pPr>
              <w:jc w:val="center"/>
              <w:ind w:right="120"/>
              <w:spacing w:after="0" w:line="94" w:lineRule="exact"/>
              <w:rPr>
                <w:sz w:val="20"/>
                <w:szCs w:val="20"/>
                <w:color w:val="auto"/>
              </w:rPr>
            </w:pPr>
            <w:r>
              <w:rPr>
                <w:rFonts w:ascii="Arial" w:cs="Arial" w:eastAsia="Arial" w:hAnsi="Arial"/>
                <w:sz w:val="9"/>
                <w:szCs w:val="9"/>
                <w:b w:val="1"/>
                <w:bCs w:val="1"/>
                <w:color w:val="auto"/>
                <w:w w:val="95"/>
              </w:rPr>
              <w:t>LTI Awards for</w:t>
            </w: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5"/>
              </w:rPr>
              <w:t>Non-Equity</w:t>
            </w:r>
          </w:p>
        </w:tc>
        <w:tc>
          <w:tcPr>
            <w:tcW w:w="70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8"/>
              </w:rPr>
              <w:t>Options</w:t>
            </w:r>
          </w:p>
        </w:tc>
        <w:tc>
          <w:tcPr>
            <w:tcW w:w="92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8"/>
              </w:rPr>
              <w:t>Which</w:t>
            </w: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3"/>
          </w:tcPr>
          <w:p>
            <w:pPr>
              <w:jc w:val="center"/>
              <w:ind w:right="160"/>
              <w:spacing w:after="0" w:line="95" w:lineRule="exact"/>
              <w:rPr>
                <w:sz w:val="20"/>
                <w:szCs w:val="20"/>
                <w:color w:val="auto"/>
              </w:rPr>
            </w:pPr>
            <w:r>
              <w:rPr>
                <w:rFonts w:ascii="Arial" w:cs="Arial" w:eastAsia="Arial" w:hAnsi="Arial"/>
                <w:sz w:val="9"/>
                <w:szCs w:val="9"/>
                <w:b w:val="1"/>
                <w:bCs w:val="1"/>
                <w:color w:val="auto"/>
                <w:w w:val="91"/>
              </w:rPr>
              <w:t>Non-Equity</w:t>
            </w:r>
          </w:p>
        </w:tc>
        <w:tc>
          <w:tcPr>
            <w:tcW w:w="500" w:type="dxa"/>
            <w:vAlign w:val="bottom"/>
            <w:gridSpan w:val="2"/>
          </w:tcPr>
          <w:p>
            <w:pPr>
              <w:jc w:val="center"/>
              <w:ind w:right="160"/>
              <w:spacing w:after="0" w:line="95" w:lineRule="exact"/>
              <w:rPr>
                <w:sz w:val="20"/>
                <w:szCs w:val="20"/>
                <w:color w:val="auto"/>
              </w:rPr>
            </w:pPr>
            <w:r>
              <w:rPr>
                <w:rFonts w:ascii="Arial" w:cs="Arial" w:eastAsia="Arial" w:hAnsi="Arial"/>
                <w:sz w:val="9"/>
                <w:szCs w:val="9"/>
                <w:b w:val="1"/>
                <w:bCs w:val="1"/>
                <w:color w:val="auto"/>
                <w:w w:val="88"/>
              </w:rPr>
              <w:t>Options</w:t>
            </w:r>
          </w:p>
        </w:tc>
        <w:tc>
          <w:tcPr>
            <w:tcW w:w="78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w w:val="97"/>
              </w:rPr>
              <w:t>Units for</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7"/>
              </w:rPr>
              <w:t>and Cash-Based</w:t>
            </w:r>
          </w:p>
        </w:tc>
        <w:tc>
          <w:tcPr>
            <w:tcW w:w="66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8"/>
              </w:rPr>
              <w:t>Options</w:t>
            </w:r>
          </w:p>
        </w:tc>
        <w:tc>
          <w:tcPr>
            <w:tcW w:w="88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w w:val="96"/>
              </w:rPr>
              <w:t>Which</w:t>
            </w: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140"/>
              <w:spacing w:after="0" w:line="99" w:lineRule="exact"/>
              <w:rPr>
                <w:sz w:val="20"/>
                <w:szCs w:val="20"/>
                <w:color w:val="auto"/>
              </w:rPr>
            </w:pPr>
            <w:r>
              <w:rPr>
                <w:rFonts w:ascii="Arial" w:cs="Arial" w:eastAsia="Arial" w:hAnsi="Arial"/>
                <w:sz w:val="9"/>
                <w:szCs w:val="9"/>
                <w:b w:val="1"/>
                <w:bCs w:val="1"/>
                <w:color w:val="auto"/>
                <w:w w:val="92"/>
              </w:rPr>
              <w:t>Incentive</w:t>
            </w:r>
          </w:p>
        </w:tc>
        <w:tc>
          <w:tcPr>
            <w:tcW w:w="700" w:type="dxa"/>
            <w:vAlign w:val="bottom"/>
            <w:gridSpan w:val="2"/>
            <w:vMerge w:val="restart"/>
          </w:tcPr>
          <w:p>
            <w:pPr>
              <w:jc w:val="center"/>
              <w:ind w:right="120"/>
              <w:spacing w:after="0" w:line="99" w:lineRule="exact"/>
              <w:rPr>
                <w:sz w:val="20"/>
                <w:szCs w:val="20"/>
                <w:color w:val="auto"/>
              </w:rPr>
            </w:pPr>
            <w:r>
              <w:rPr>
                <w:rFonts w:ascii="Arial" w:cs="Arial" w:eastAsia="Arial" w:hAnsi="Arial"/>
                <w:sz w:val="9"/>
                <w:szCs w:val="9"/>
                <w:b w:val="1"/>
                <w:bCs w:val="1"/>
                <w:color w:val="auto"/>
                <w:w w:val="94"/>
              </w:rPr>
              <w:t>That</w:t>
            </w:r>
          </w:p>
        </w:tc>
        <w:tc>
          <w:tcPr>
            <w:tcW w:w="920" w:type="dxa"/>
            <w:vAlign w:val="bottom"/>
            <w:gridSpan w:val="2"/>
            <w:vMerge w:val="restart"/>
          </w:tcPr>
          <w:p>
            <w:pPr>
              <w:jc w:val="center"/>
              <w:ind w:right="100"/>
              <w:spacing w:after="0" w:line="99" w:lineRule="exact"/>
              <w:rPr>
                <w:sz w:val="20"/>
                <w:szCs w:val="20"/>
                <w:color w:val="auto"/>
              </w:rPr>
            </w:pPr>
            <w:r>
              <w:rPr>
                <w:rFonts w:ascii="Arial" w:cs="Arial" w:eastAsia="Arial" w:hAnsi="Arial"/>
                <w:sz w:val="9"/>
                <w:szCs w:val="9"/>
                <w:b w:val="1"/>
                <w:bCs w:val="1"/>
                <w:color w:val="auto"/>
                <w:w w:val="88"/>
              </w:rPr>
              <w:t>Restrictions</w:t>
            </w: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3"/>
            <w:vMerge w:val="restart"/>
          </w:tcPr>
          <w:p>
            <w:pPr>
              <w:jc w:val="center"/>
              <w:ind w:right="160"/>
              <w:spacing w:after="0" w:line="99" w:lineRule="exact"/>
              <w:rPr>
                <w:sz w:val="20"/>
                <w:szCs w:val="20"/>
                <w:color w:val="auto"/>
              </w:rPr>
            </w:pPr>
            <w:r>
              <w:rPr>
                <w:rFonts w:ascii="Arial" w:cs="Arial" w:eastAsia="Arial" w:hAnsi="Arial"/>
                <w:sz w:val="9"/>
                <w:szCs w:val="9"/>
                <w:b w:val="1"/>
                <w:bCs w:val="1"/>
                <w:color w:val="auto"/>
                <w:w w:val="92"/>
              </w:rPr>
              <w:t>Incentive</w:t>
            </w:r>
          </w:p>
        </w:tc>
        <w:tc>
          <w:tcPr>
            <w:tcW w:w="500" w:type="dxa"/>
            <w:vAlign w:val="bottom"/>
            <w:gridSpan w:val="2"/>
            <w:vMerge w:val="restart"/>
          </w:tcPr>
          <w:p>
            <w:pPr>
              <w:jc w:val="center"/>
              <w:ind w:right="160"/>
              <w:spacing w:after="0" w:line="99" w:lineRule="exact"/>
              <w:rPr>
                <w:sz w:val="20"/>
                <w:szCs w:val="20"/>
                <w:color w:val="auto"/>
              </w:rPr>
            </w:pPr>
            <w:r>
              <w:rPr>
                <w:rFonts w:ascii="Arial" w:cs="Arial" w:eastAsia="Arial" w:hAnsi="Arial"/>
                <w:sz w:val="9"/>
                <w:szCs w:val="9"/>
                <w:b w:val="1"/>
                <w:bCs w:val="1"/>
                <w:color w:val="auto"/>
                <w:w w:val="94"/>
              </w:rPr>
              <w:t>That</w:t>
            </w:r>
          </w:p>
        </w:tc>
        <w:tc>
          <w:tcPr>
            <w:tcW w:w="780" w:type="dxa"/>
            <w:vAlign w:val="bottom"/>
            <w:gridSpan w:val="2"/>
          </w:tcPr>
          <w:p>
            <w:pPr>
              <w:jc w:val="center"/>
              <w:ind w:right="100"/>
              <w:spacing w:after="0" w:line="55" w:lineRule="exact"/>
              <w:rPr>
                <w:sz w:val="20"/>
                <w:szCs w:val="20"/>
                <w:color w:val="auto"/>
              </w:rPr>
            </w:pPr>
            <w:r>
              <w:rPr>
                <w:rFonts w:ascii="Arial" w:cs="Arial" w:eastAsia="Arial" w:hAnsi="Arial"/>
                <w:sz w:val="6"/>
                <w:szCs w:val="6"/>
                <w:b w:val="1"/>
                <w:bCs w:val="1"/>
                <w:color w:val="auto"/>
              </w:rPr>
              <w:t>Which</w:t>
            </w: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100"/>
              <w:spacing w:after="0" w:line="99" w:lineRule="exact"/>
              <w:rPr>
                <w:sz w:val="20"/>
                <w:szCs w:val="20"/>
                <w:color w:val="auto"/>
              </w:rPr>
            </w:pPr>
            <w:r>
              <w:rPr>
                <w:rFonts w:ascii="Arial" w:cs="Arial" w:eastAsia="Arial" w:hAnsi="Arial"/>
                <w:sz w:val="9"/>
                <w:szCs w:val="9"/>
                <w:b w:val="1"/>
                <w:bCs w:val="1"/>
                <w:color w:val="auto"/>
                <w:w w:val="95"/>
              </w:rPr>
              <w:t>LTI Awards for</w:t>
            </w:r>
          </w:p>
        </w:tc>
        <w:tc>
          <w:tcPr>
            <w:tcW w:w="660" w:type="dxa"/>
            <w:vAlign w:val="bottom"/>
            <w:gridSpan w:val="2"/>
            <w:vMerge w:val="restart"/>
          </w:tcPr>
          <w:p>
            <w:pPr>
              <w:jc w:val="center"/>
              <w:ind w:right="120"/>
              <w:spacing w:after="0" w:line="99" w:lineRule="exact"/>
              <w:rPr>
                <w:sz w:val="20"/>
                <w:szCs w:val="20"/>
                <w:color w:val="auto"/>
              </w:rPr>
            </w:pPr>
            <w:r>
              <w:rPr>
                <w:rFonts w:ascii="Arial" w:cs="Arial" w:eastAsia="Arial" w:hAnsi="Arial"/>
                <w:sz w:val="9"/>
                <w:szCs w:val="9"/>
                <w:b w:val="1"/>
                <w:bCs w:val="1"/>
                <w:color w:val="auto"/>
                <w:w w:val="94"/>
              </w:rPr>
              <w:t>That</w:t>
            </w:r>
          </w:p>
        </w:tc>
        <w:tc>
          <w:tcPr>
            <w:tcW w:w="880" w:type="dxa"/>
            <w:vAlign w:val="bottom"/>
            <w:gridSpan w:val="2"/>
            <w:vMerge w:val="restart"/>
          </w:tcPr>
          <w:p>
            <w:pPr>
              <w:jc w:val="center"/>
              <w:ind w:right="100"/>
              <w:spacing w:after="0" w:line="99" w:lineRule="exact"/>
              <w:rPr>
                <w:sz w:val="20"/>
                <w:szCs w:val="20"/>
                <w:color w:val="auto"/>
              </w:rPr>
            </w:pPr>
            <w:r>
              <w:rPr>
                <w:rFonts w:ascii="Arial" w:cs="Arial" w:eastAsia="Arial" w:hAnsi="Arial"/>
                <w:sz w:val="9"/>
                <w:szCs w:val="9"/>
                <w:b w:val="1"/>
                <w:bCs w:val="1"/>
                <w:color w:val="auto"/>
                <w:w w:val="88"/>
              </w:rPr>
              <w:t>Restrictions</w:t>
            </w: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3"/>
            <w:vMerge w:val="continue"/>
          </w:tcPr>
          <w:p>
            <w:pPr>
              <w:spacing w:after="0"/>
              <w:rPr>
                <w:sz w:val="3"/>
                <w:szCs w:val="3"/>
                <w:color w:val="auto"/>
              </w:rPr>
            </w:pPr>
          </w:p>
        </w:tc>
        <w:tc>
          <w:tcPr>
            <w:tcW w:w="500" w:type="dxa"/>
            <w:vAlign w:val="bottom"/>
            <w:gridSpan w:val="2"/>
            <w:vMerge w:val="continue"/>
          </w:tcPr>
          <w:p>
            <w:pPr>
              <w:spacing w:after="0"/>
              <w:rPr>
                <w:sz w:val="3"/>
                <w:szCs w:val="3"/>
                <w:color w:val="auto"/>
              </w:rPr>
            </w:pPr>
          </w:p>
        </w:tc>
        <w:tc>
          <w:tcPr>
            <w:tcW w:w="780" w:type="dxa"/>
            <w:vAlign w:val="bottom"/>
            <w:gridSpan w:val="2"/>
            <w:vMerge w:val="restart"/>
          </w:tcPr>
          <w:p>
            <w:pPr>
              <w:jc w:val="center"/>
              <w:ind w:right="80"/>
              <w:spacing w:after="0" w:line="81" w:lineRule="exact"/>
              <w:rPr>
                <w:sz w:val="20"/>
                <w:szCs w:val="20"/>
                <w:color w:val="auto"/>
              </w:rPr>
            </w:pPr>
            <w:r>
              <w:rPr>
                <w:rFonts w:ascii="Arial" w:cs="Arial" w:eastAsia="Arial" w:hAnsi="Arial"/>
                <w:sz w:val="8"/>
                <w:szCs w:val="8"/>
                <w:b w:val="1"/>
                <w:bCs w:val="1"/>
                <w:color w:val="auto"/>
                <w:w w:val="90"/>
              </w:rPr>
              <w:t>Restrictions</w:t>
            </w: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restart"/>
          </w:tcPr>
          <w:p>
            <w:pPr>
              <w:jc w:val="center"/>
              <w:ind w:left="70"/>
              <w:spacing w:after="0"/>
              <w:rPr>
                <w:sz w:val="20"/>
                <w:szCs w:val="20"/>
                <w:color w:val="auto"/>
              </w:rPr>
            </w:pPr>
            <w:r>
              <w:rPr>
                <w:rFonts w:ascii="Arial" w:cs="Arial" w:eastAsia="Arial" w:hAnsi="Arial"/>
                <w:sz w:val="9"/>
                <w:szCs w:val="9"/>
                <w:b w:val="1"/>
                <w:bCs w:val="1"/>
                <w:color w:val="auto"/>
                <w:w w:val="96"/>
              </w:rPr>
              <w:t>Salary</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4"/>
              </w:rPr>
              <w:t>Plan</w:t>
            </w: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4"/>
              </w:rPr>
              <w:t>Would</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87"/>
              </w:rPr>
              <w:t>Would</w:t>
            </w: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9"/>
                <w:szCs w:val="9"/>
                <w:b w:val="1"/>
                <w:bCs w:val="1"/>
                <w:color w:val="auto"/>
                <w:w w:val="88"/>
              </w:rPr>
              <w:t>Salary</w:t>
            </w:r>
          </w:p>
        </w:tc>
        <w:tc>
          <w:tcPr>
            <w:tcW w:w="760" w:type="dxa"/>
            <w:vAlign w:val="bottom"/>
            <w:gridSpan w:val="3"/>
            <w:vMerge w:val="restart"/>
          </w:tcPr>
          <w:p>
            <w:pPr>
              <w:jc w:val="center"/>
              <w:ind w:right="160"/>
              <w:spacing w:after="0"/>
              <w:rPr>
                <w:sz w:val="20"/>
                <w:szCs w:val="20"/>
                <w:color w:val="auto"/>
              </w:rPr>
            </w:pPr>
            <w:r>
              <w:rPr>
                <w:rFonts w:ascii="Arial" w:cs="Arial" w:eastAsia="Arial" w:hAnsi="Arial"/>
                <w:sz w:val="9"/>
                <w:szCs w:val="9"/>
                <w:b w:val="1"/>
                <w:bCs w:val="1"/>
                <w:color w:val="auto"/>
                <w:w w:val="83"/>
              </w:rPr>
              <w:t>Plan</w:t>
            </w:r>
          </w:p>
        </w:tc>
        <w:tc>
          <w:tcPr>
            <w:tcW w:w="500" w:type="dxa"/>
            <w:vAlign w:val="bottom"/>
            <w:gridSpan w:val="2"/>
            <w:vMerge w:val="restart"/>
          </w:tcPr>
          <w:p>
            <w:pPr>
              <w:jc w:val="center"/>
              <w:ind w:right="160"/>
              <w:spacing w:after="0"/>
              <w:rPr>
                <w:sz w:val="20"/>
                <w:szCs w:val="20"/>
                <w:color w:val="auto"/>
              </w:rPr>
            </w:pPr>
            <w:r>
              <w:rPr>
                <w:rFonts w:ascii="Arial" w:cs="Arial" w:eastAsia="Arial" w:hAnsi="Arial"/>
                <w:sz w:val="9"/>
                <w:szCs w:val="9"/>
                <w:b w:val="1"/>
                <w:bCs w:val="1"/>
                <w:color w:val="auto"/>
                <w:w w:val="94"/>
              </w:rPr>
              <w:t>Would</w:t>
            </w:r>
          </w:p>
        </w:tc>
        <w:tc>
          <w:tcPr>
            <w:tcW w:w="780" w:type="dxa"/>
            <w:vAlign w:val="bottom"/>
            <w:gridSpan w:val="2"/>
            <w:vMerge w:val="continue"/>
          </w:tcPr>
          <w:p>
            <w:pPr>
              <w:spacing w:after="0"/>
              <w:rPr>
                <w:sz w:val="3"/>
                <w:szCs w:val="3"/>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9"/>
                <w:szCs w:val="9"/>
                <w:b w:val="1"/>
                <w:bCs w:val="1"/>
                <w:color w:val="auto"/>
                <w:w w:val="99"/>
              </w:rPr>
              <w:t>No</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6"/>
              </w:rPr>
              <w:t>Which</w:t>
            </w: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4"/>
              </w:rPr>
              <w:t>Would</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9"/>
                <w:szCs w:val="9"/>
                <w:b w:val="1"/>
                <w:bCs w:val="1"/>
                <w:color w:val="auto"/>
                <w:w w:val="94"/>
              </w:rPr>
              <w:t>Would</w:t>
            </w:r>
          </w:p>
        </w:tc>
        <w:tc>
          <w:tcPr>
            <w:tcW w:w="680" w:type="dxa"/>
            <w:vAlign w:val="bottom"/>
            <w:vMerge w:val="restart"/>
          </w:tcPr>
          <w:p>
            <w:pPr>
              <w:ind w:left="140"/>
              <w:spacing w:after="0"/>
              <w:rPr>
                <w:sz w:val="20"/>
                <w:szCs w:val="20"/>
                <w:color w:val="auto"/>
              </w:rPr>
            </w:pPr>
            <w:r>
              <w:rPr>
                <w:rFonts w:ascii="Arial" w:cs="Arial" w:eastAsia="Arial" w:hAnsi="Arial"/>
                <w:sz w:val="9"/>
                <w:szCs w:val="9"/>
                <w:b w:val="1"/>
                <w:bCs w:val="1"/>
                <w:color w:val="auto"/>
              </w:rPr>
              <w:t>Maximum</w:t>
            </w:r>
          </w:p>
        </w:tc>
        <w:tc>
          <w:tcPr>
            <w:tcW w:w="0" w:type="dxa"/>
            <w:vAlign w:val="bottom"/>
          </w:tcPr>
          <w:p>
            <w:pPr>
              <w:spacing w:after="0" w:line="20" w:lineRule="exact"/>
              <w:rPr>
                <w:sz w:val="1"/>
                <w:szCs w:val="1"/>
                <w:color w:val="auto"/>
              </w:rPr>
            </w:pPr>
          </w:p>
        </w:tc>
      </w:tr>
      <w:tr>
        <w:trPr>
          <w:trHeight w:val="80"/>
        </w:trPr>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780" w:type="dxa"/>
            <w:vAlign w:val="bottom"/>
            <w:gridSpan w:val="2"/>
          </w:tcPr>
          <w:p>
            <w:pPr>
              <w:jc w:val="center"/>
              <w:ind w:right="100"/>
              <w:spacing w:after="0" w:line="81" w:lineRule="exact"/>
              <w:rPr>
                <w:sz w:val="20"/>
                <w:szCs w:val="20"/>
                <w:color w:val="auto"/>
              </w:rPr>
            </w:pPr>
            <w:r>
              <w:rPr>
                <w:rFonts w:ascii="Arial" w:cs="Arial" w:eastAsia="Arial" w:hAnsi="Arial"/>
                <w:sz w:val="8"/>
                <w:szCs w:val="8"/>
                <w:b w:val="1"/>
                <w:bCs w:val="1"/>
                <w:color w:val="auto"/>
                <w:w w:val="97"/>
              </w:rPr>
              <w:t>Would</w:t>
            </w:r>
          </w:p>
        </w:tc>
        <w:tc>
          <w:tcPr>
            <w:tcW w:w="90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160" w:type="dxa"/>
            <w:vAlign w:val="bottom"/>
            <w:vMerge w:val="restart"/>
          </w:tcPr>
          <w:p>
            <w:pPr>
              <w:ind w:left="440"/>
              <w:spacing w:after="0"/>
              <w:rPr>
                <w:sz w:val="20"/>
                <w:szCs w:val="20"/>
                <w:color w:val="auto"/>
              </w:rPr>
            </w:pPr>
            <w:r>
              <w:rPr>
                <w:rFonts w:ascii="Arial" w:cs="Arial" w:eastAsia="Arial" w:hAnsi="Arial"/>
                <w:sz w:val="11"/>
                <w:szCs w:val="11"/>
                <w:b w:val="1"/>
                <w:bCs w:val="1"/>
                <w:color w:val="auto"/>
              </w:rPr>
              <w:t>Name</w:t>
            </w:r>
          </w:p>
        </w:tc>
        <w:tc>
          <w:tcPr>
            <w:tcW w:w="120" w:type="dxa"/>
            <w:vAlign w:val="bottom"/>
            <w:vMerge w:val="restart"/>
          </w:tcPr>
          <w:p>
            <w:pPr>
              <w:spacing w:after="0"/>
              <w:rPr>
                <w:sz w:val="6"/>
                <w:szCs w:val="6"/>
                <w:color w:val="auto"/>
              </w:rPr>
            </w:pPr>
          </w:p>
        </w:tc>
        <w:tc>
          <w:tcPr>
            <w:tcW w:w="580" w:type="dxa"/>
            <w:vAlign w:val="bottom"/>
          </w:tcPr>
          <w:p>
            <w:pPr>
              <w:jc w:val="center"/>
              <w:ind w:left="70"/>
              <w:spacing w:after="0" w:line="72" w:lineRule="exact"/>
              <w:rPr>
                <w:sz w:val="20"/>
                <w:szCs w:val="20"/>
                <w:color w:val="auto"/>
              </w:rPr>
            </w:pPr>
            <w:r>
              <w:rPr>
                <w:rFonts w:ascii="Arial" w:cs="Arial" w:eastAsia="Arial" w:hAnsi="Arial"/>
                <w:sz w:val="8"/>
                <w:szCs w:val="8"/>
                <w:b w:val="1"/>
                <w:bCs w:val="1"/>
                <w:color w:val="auto"/>
                <w:w w:val="94"/>
              </w:rPr>
              <w:t>Severance</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tcPr>
          <w:p>
            <w:pPr>
              <w:jc w:val="center"/>
              <w:ind w:right="120"/>
              <w:spacing w:after="0" w:line="72" w:lineRule="exact"/>
              <w:rPr>
                <w:sz w:val="20"/>
                <w:szCs w:val="20"/>
                <w:color w:val="auto"/>
              </w:rPr>
            </w:pPr>
            <w:r>
              <w:rPr>
                <w:rFonts w:ascii="Arial" w:cs="Arial" w:eastAsia="Arial" w:hAnsi="Arial"/>
                <w:sz w:val="8"/>
                <w:szCs w:val="8"/>
                <w:b w:val="1"/>
                <w:bCs w:val="1"/>
                <w:color w:val="auto"/>
                <w:w w:val="94"/>
              </w:rPr>
              <w:t>Severance</w:t>
            </w:r>
          </w:p>
        </w:tc>
        <w:tc>
          <w:tcPr>
            <w:tcW w:w="700" w:type="dxa"/>
            <w:vAlign w:val="bottom"/>
            <w:gridSpan w:val="2"/>
          </w:tcPr>
          <w:p>
            <w:pPr>
              <w:jc w:val="center"/>
              <w:ind w:right="140"/>
              <w:spacing w:after="0" w:line="72" w:lineRule="exact"/>
              <w:rPr>
                <w:sz w:val="20"/>
                <w:szCs w:val="20"/>
                <w:color w:val="auto"/>
              </w:rPr>
            </w:pPr>
            <w:r>
              <w:rPr>
                <w:rFonts w:ascii="Arial" w:cs="Arial" w:eastAsia="Arial" w:hAnsi="Arial"/>
                <w:sz w:val="8"/>
                <w:szCs w:val="8"/>
                <w:b w:val="1"/>
                <w:bCs w:val="1"/>
                <w:color w:val="auto"/>
                <w:w w:val="94"/>
              </w:rPr>
              <w:t>Vest</w:t>
            </w:r>
          </w:p>
        </w:tc>
        <w:tc>
          <w:tcPr>
            <w:tcW w:w="920" w:type="dxa"/>
            <w:vAlign w:val="bottom"/>
            <w:gridSpan w:val="2"/>
          </w:tcPr>
          <w:p>
            <w:pPr>
              <w:jc w:val="center"/>
              <w:ind w:right="120"/>
              <w:spacing w:after="0" w:line="72" w:lineRule="exact"/>
              <w:rPr>
                <w:sz w:val="20"/>
                <w:szCs w:val="20"/>
                <w:color w:val="auto"/>
              </w:rPr>
            </w:pPr>
            <w:r>
              <w:rPr>
                <w:rFonts w:ascii="Arial" w:cs="Arial" w:eastAsia="Arial" w:hAnsi="Arial"/>
                <w:sz w:val="8"/>
                <w:szCs w:val="8"/>
                <w:b w:val="1"/>
                <w:bCs w:val="1"/>
                <w:color w:val="auto"/>
              </w:rPr>
              <w:t>Lapse</w:t>
            </w:r>
          </w:p>
        </w:tc>
        <w:tc>
          <w:tcPr>
            <w:tcW w:w="700" w:type="dxa"/>
            <w:vAlign w:val="bottom"/>
            <w:gridSpan w:val="2"/>
          </w:tcPr>
          <w:p>
            <w:pPr>
              <w:jc w:val="center"/>
              <w:ind w:right="100"/>
              <w:spacing w:after="0" w:line="72" w:lineRule="exact"/>
              <w:rPr>
                <w:sz w:val="20"/>
                <w:szCs w:val="20"/>
                <w:color w:val="auto"/>
              </w:rPr>
            </w:pPr>
            <w:r>
              <w:rPr>
                <w:rFonts w:ascii="Arial" w:cs="Arial" w:eastAsia="Arial" w:hAnsi="Arial"/>
                <w:sz w:val="8"/>
                <w:szCs w:val="8"/>
                <w:b w:val="1"/>
                <w:bCs w:val="1"/>
                <w:color w:val="auto"/>
                <w:w w:val="99"/>
              </w:rPr>
              <w:t>Severance</w:t>
            </w:r>
          </w:p>
        </w:tc>
        <w:tc>
          <w:tcPr>
            <w:tcW w:w="760" w:type="dxa"/>
            <w:vAlign w:val="bottom"/>
            <w:gridSpan w:val="3"/>
          </w:tcPr>
          <w:p>
            <w:pPr>
              <w:jc w:val="center"/>
              <w:ind w:right="160"/>
              <w:spacing w:after="0" w:line="72" w:lineRule="exact"/>
              <w:rPr>
                <w:sz w:val="20"/>
                <w:szCs w:val="20"/>
                <w:color w:val="auto"/>
              </w:rPr>
            </w:pPr>
            <w:r>
              <w:rPr>
                <w:rFonts w:ascii="Arial" w:cs="Arial" w:eastAsia="Arial" w:hAnsi="Arial"/>
                <w:sz w:val="8"/>
                <w:szCs w:val="8"/>
                <w:b w:val="1"/>
                <w:bCs w:val="1"/>
                <w:color w:val="auto"/>
                <w:w w:val="99"/>
              </w:rPr>
              <w:t>Severance</w:t>
            </w:r>
          </w:p>
        </w:tc>
        <w:tc>
          <w:tcPr>
            <w:tcW w:w="500" w:type="dxa"/>
            <w:vAlign w:val="bottom"/>
            <w:gridSpan w:val="2"/>
          </w:tcPr>
          <w:p>
            <w:pPr>
              <w:jc w:val="center"/>
              <w:ind w:right="140"/>
              <w:spacing w:after="0" w:line="72" w:lineRule="exact"/>
              <w:rPr>
                <w:sz w:val="20"/>
                <w:szCs w:val="20"/>
                <w:color w:val="auto"/>
              </w:rPr>
            </w:pPr>
            <w:r>
              <w:rPr>
                <w:rFonts w:ascii="Arial" w:cs="Arial" w:eastAsia="Arial" w:hAnsi="Arial"/>
                <w:sz w:val="8"/>
                <w:szCs w:val="8"/>
                <w:b w:val="1"/>
                <w:bCs w:val="1"/>
                <w:color w:val="auto"/>
                <w:w w:val="94"/>
              </w:rPr>
              <w:t>Vest</w:t>
            </w:r>
          </w:p>
        </w:tc>
        <w:tc>
          <w:tcPr>
            <w:tcW w:w="780" w:type="dxa"/>
            <w:vAlign w:val="bottom"/>
            <w:gridSpan w:val="2"/>
          </w:tcPr>
          <w:p>
            <w:pPr>
              <w:jc w:val="center"/>
              <w:ind w:right="100"/>
              <w:spacing w:after="0" w:line="72" w:lineRule="exact"/>
              <w:rPr>
                <w:sz w:val="20"/>
                <w:szCs w:val="20"/>
                <w:color w:val="auto"/>
              </w:rPr>
            </w:pPr>
            <w:r>
              <w:rPr>
                <w:rFonts w:ascii="Arial" w:cs="Arial" w:eastAsia="Arial" w:hAnsi="Arial"/>
                <w:sz w:val="8"/>
                <w:szCs w:val="8"/>
                <w:b w:val="1"/>
                <w:bCs w:val="1"/>
                <w:color w:val="auto"/>
                <w:w w:val="86"/>
              </w:rPr>
              <w:t>Lapse</w:t>
            </w:r>
          </w:p>
        </w:tc>
        <w:tc>
          <w:tcPr>
            <w:tcW w:w="900" w:type="dxa"/>
            <w:vAlign w:val="bottom"/>
            <w:gridSpan w:val="2"/>
          </w:tcPr>
          <w:p>
            <w:pPr>
              <w:jc w:val="center"/>
              <w:ind w:right="100"/>
              <w:spacing w:after="0" w:line="72" w:lineRule="exact"/>
              <w:rPr>
                <w:sz w:val="20"/>
                <w:szCs w:val="20"/>
                <w:color w:val="auto"/>
              </w:rPr>
            </w:pPr>
            <w:r>
              <w:rPr>
                <w:rFonts w:ascii="Arial" w:cs="Arial" w:eastAsia="Arial" w:hAnsi="Arial"/>
                <w:sz w:val="8"/>
                <w:szCs w:val="8"/>
                <w:b w:val="1"/>
                <w:bCs w:val="1"/>
                <w:color w:val="auto"/>
              </w:rPr>
              <w:t>Contractual</w:t>
            </w:r>
          </w:p>
        </w:tc>
        <w:tc>
          <w:tcPr>
            <w:tcW w:w="900" w:type="dxa"/>
            <w:vAlign w:val="bottom"/>
            <w:gridSpan w:val="2"/>
          </w:tcPr>
          <w:p>
            <w:pPr>
              <w:jc w:val="center"/>
              <w:ind w:right="120"/>
              <w:spacing w:after="0" w:line="72" w:lineRule="exact"/>
              <w:rPr>
                <w:sz w:val="20"/>
                <w:szCs w:val="20"/>
                <w:color w:val="auto"/>
              </w:rPr>
            </w:pPr>
            <w:r>
              <w:rPr>
                <w:rFonts w:ascii="Arial" w:cs="Arial" w:eastAsia="Arial" w:hAnsi="Arial"/>
                <w:sz w:val="8"/>
                <w:szCs w:val="8"/>
                <w:b w:val="1"/>
                <w:bCs w:val="1"/>
                <w:color w:val="auto"/>
                <w:w w:val="99"/>
              </w:rPr>
              <w:t>Restrictions</w:t>
            </w:r>
          </w:p>
        </w:tc>
        <w:tc>
          <w:tcPr>
            <w:tcW w:w="660" w:type="dxa"/>
            <w:vAlign w:val="bottom"/>
            <w:gridSpan w:val="2"/>
          </w:tcPr>
          <w:p>
            <w:pPr>
              <w:jc w:val="center"/>
              <w:ind w:right="140"/>
              <w:spacing w:after="0" w:line="72" w:lineRule="exact"/>
              <w:rPr>
                <w:sz w:val="20"/>
                <w:szCs w:val="20"/>
                <w:color w:val="auto"/>
              </w:rPr>
            </w:pPr>
            <w:r>
              <w:rPr>
                <w:rFonts w:ascii="Arial" w:cs="Arial" w:eastAsia="Arial" w:hAnsi="Arial"/>
                <w:sz w:val="8"/>
                <w:szCs w:val="8"/>
                <w:b w:val="1"/>
                <w:bCs w:val="1"/>
                <w:color w:val="auto"/>
                <w:w w:val="94"/>
              </w:rPr>
              <w:t>Vest</w:t>
            </w:r>
          </w:p>
        </w:tc>
        <w:tc>
          <w:tcPr>
            <w:tcW w:w="880" w:type="dxa"/>
            <w:vAlign w:val="bottom"/>
            <w:gridSpan w:val="2"/>
          </w:tcPr>
          <w:p>
            <w:pPr>
              <w:jc w:val="center"/>
              <w:ind w:right="100"/>
              <w:spacing w:after="0" w:line="72" w:lineRule="exact"/>
              <w:rPr>
                <w:sz w:val="20"/>
                <w:szCs w:val="20"/>
                <w:color w:val="auto"/>
              </w:rPr>
            </w:pPr>
            <w:r>
              <w:rPr>
                <w:rFonts w:ascii="Arial" w:cs="Arial" w:eastAsia="Arial" w:hAnsi="Arial"/>
                <w:sz w:val="8"/>
                <w:szCs w:val="8"/>
                <w:b w:val="1"/>
                <w:bCs w:val="1"/>
                <w:color w:val="auto"/>
                <w:w w:val="94"/>
              </w:rPr>
              <w:t>Lapse</w:t>
            </w:r>
          </w:p>
        </w:tc>
        <w:tc>
          <w:tcPr>
            <w:tcW w:w="680" w:type="dxa"/>
            <w:vAlign w:val="bottom"/>
          </w:tcPr>
          <w:p>
            <w:pPr>
              <w:ind w:left="180"/>
              <w:spacing w:after="0" w:line="72" w:lineRule="exact"/>
              <w:rPr>
                <w:sz w:val="20"/>
                <w:szCs w:val="20"/>
                <w:color w:val="auto"/>
              </w:rPr>
            </w:pPr>
            <w:r>
              <w:rPr>
                <w:rFonts w:ascii="Arial" w:cs="Arial" w:eastAsia="Arial" w:hAnsi="Arial"/>
                <w:sz w:val="8"/>
                <w:szCs w:val="8"/>
                <w:b w:val="1"/>
                <w:bCs w:val="1"/>
                <w:color w:val="auto"/>
              </w:rPr>
              <w:t>Potential</w:t>
            </w:r>
          </w:p>
        </w:tc>
        <w:tc>
          <w:tcPr>
            <w:tcW w:w="0" w:type="dxa"/>
            <w:vAlign w:val="bottom"/>
          </w:tcPr>
          <w:p>
            <w:pPr>
              <w:spacing w:after="0"/>
              <w:rPr>
                <w:sz w:val="1"/>
                <w:szCs w:val="1"/>
                <w:color w:val="auto"/>
              </w:rPr>
            </w:pPr>
          </w:p>
        </w:tc>
      </w:tr>
      <w:tr>
        <w:trPr>
          <w:trHeight w:val="124"/>
        </w:trPr>
        <w:tc>
          <w:tcPr>
            <w:tcW w:w="116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CCEEFF"/>
            </w:tcBorders>
            <w:vMerge w:val="continue"/>
          </w:tcPr>
          <w:p>
            <w:pPr>
              <w:spacing w:after="0"/>
              <w:rPr>
                <w:sz w:val="10"/>
                <w:szCs w:val="10"/>
                <w:color w:val="auto"/>
              </w:rPr>
            </w:pPr>
          </w:p>
        </w:tc>
        <w:tc>
          <w:tcPr>
            <w:tcW w:w="580" w:type="dxa"/>
            <w:vAlign w:val="bottom"/>
            <w:tcBorders>
              <w:bottom w:val="single" w:sz="8" w:color="auto"/>
            </w:tcBorders>
          </w:tcPr>
          <w:p>
            <w:pPr>
              <w:jc w:val="center"/>
              <w:ind w:left="70"/>
              <w:spacing w:after="0"/>
              <w:rPr>
                <w:sz w:val="20"/>
                <w:szCs w:val="20"/>
                <w:color w:val="auto"/>
              </w:rPr>
            </w:pPr>
            <w:r>
              <w:rPr>
                <w:rFonts w:ascii="Arial" w:cs="Arial" w:eastAsia="Arial" w:hAnsi="Arial"/>
                <w:sz w:val="9"/>
                <w:szCs w:val="9"/>
                <w:b w:val="1"/>
                <w:bCs w:val="1"/>
                <w:color w:val="auto"/>
                <w:w w:val="89"/>
              </w:rPr>
              <w:t>($) (1)</w:t>
            </w: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 (2)</w:t>
            </w:r>
          </w:p>
        </w:tc>
        <w:tc>
          <w:tcPr>
            <w:tcW w:w="12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 (3)</w:t>
            </w:r>
          </w:p>
        </w:tc>
        <w:tc>
          <w:tcPr>
            <w:tcW w:w="12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 (4)</w:t>
            </w:r>
          </w:p>
        </w:tc>
        <w:tc>
          <w:tcPr>
            <w:tcW w:w="12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 (1)</w:t>
            </w:r>
          </w:p>
        </w:tc>
        <w:tc>
          <w:tcPr>
            <w:tcW w:w="12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 (5)</w:t>
            </w:r>
          </w:p>
        </w:tc>
        <w:tc>
          <w:tcPr>
            <w:tcW w:w="12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52"/>
              <w:spacing w:after="0"/>
              <w:rPr>
                <w:sz w:val="20"/>
                <w:szCs w:val="20"/>
                <w:color w:val="auto"/>
              </w:rPr>
            </w:pPr>
            <w:r>
              <w:rPr>
                <w:rFonts w:ascii="Arial" w:cs="Arial" w:eastAsia="Arial" w:hAnsi="Arial"/>
                <w:sz w:val="9"/>
                <w:szCs w:val="9"/>
                <w:b w:val="1"/>
                <w:bCs w:val="1"/>
                <w:color w:val="auto"/>
              </w:rPr>
              <w:t>($) (3)</w:t>
            </w:r>
          </w:p>
        </w:tc>
        <w:tc>
          <w:tcPr>
            <w:tcW w:w="10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w:t>
            </w:r>
          </w:p>
        </w:tc>
        <w:tc>
          <w:tcPr>
            <w:tcW w:w="10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Benefits</w:t>
            </w:r>
          </w:p>
        </w:tc>
        <w:tc>
          <w:tcPr>
            <w:tcW w:w="10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Would Lapse (6)</w:t>
            </w:r>
          </w:p>
        </w:tc>
        <w:tc>
          <w:tcPr>
            <w:tcW w:w="12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 (3)</w:t>
            </w:r>
          </w:p>
        </w:tc>
        <w:tc>
          <w:tcPr>
            <w:tcW w:w="12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 (4)</w:t>
            </w:r>
          </w:p>
        </w:tc>
        <w:tc>
          <w:tcPr>
            <w:tcW w:w="10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9"/>
                <w:szCs w:val="9"/>
                <w:b w:val="1"/>
                <w:bCs w:val="1"/>
                <w:color w:val="auto"/>
              </w:rPr>
              <w:t>Payments</w:t>
            </w:r>
          </w:p>
        </w:tc>
        <w:tc>
          <w:tcPr>
            <w:tcW w:w="0" w:type="dxa"/>
            <w:vAlign w:val="bottom"/>
          </w:tcPr>
          <w:p>
            <w:pPr>
              <w:spacing w:after="0"/>
              <w:rPr>
                <w:sz w:val="1"/>
                <w:szCs w:val="1"/>
                <w:color w:val="auto"/>
              </w:rPr>
            </w:pPr>
          </w:p>
        </w:tc>
      </w:tr>
      <w:tr>
        <w:trPr>
          <w:trHeight w:val="237"/>
        </w:trPr>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John R. Hewitt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1,500,000</w:t>
            </w:r>
          </w:p>
        </w:tc>
        <w:tc>
          <w:tcPr>
            <w:tcW w:w="1060" w:type="dxa"/>
            <w:vAlign w:val="bottom"/>
            <w:tcBorders>
              <w:bottom w:val="single" w:sz="8" w:color="CCEEFF"/>
            </w:tcBorders>
            <w:gridSpan w:val="3"/>
            <w:shd w:val="clear" w:color="auto" w:fill="CCEEFF"/>
          </w:tcPr>
          <w:p>
            <w:pPr>
              <w:jc w:val="right"/>
              <w:ind w:right="74"/>
              <w:spacing w:after="0"/>
              <w:rPr>
                <w:sz w:val="20"/>
                <w:szCs w:val="20"/>
                <w:color w:val="auto"/>
              </w:rPr>
            </w:pPr>
            <w:r>
              <w:rPr>
                <w:rFonts w:ascii="Arial" w:cs="Arial" w:eastAsia="Arial" w:hAnsi="Arial"/>
                <w:sz w:val="11"/>
                <w:szCs w:val="11"/>
                <w:color w:val="auto"/>
              </w:rPr>
              <w:t>340,898</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1"/>
                <w:szCs w:val="11"/>
                <w:color w:val="auto"/>
              </w:rPr>
              <w:t>4,077,791</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5"/>
              </w:rPr>
              <w:t>750,000</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1"/>
                <w:szCs w:val="11"/>
                <w:color w:val="auto"/>
              </w:rPr>
              <w:t>562,500</w:t>
            </w: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1"/>
                <w:szCs w:val="11"/>
                <w:color w:val="auto"/>
              </w:rPr>
              <w:t>4,077,791</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5,918,689</w:t>
            </w:r>
          </w:p>
        </w:tc>
        <w:tc>
          <w:tcPr>
            <w:tcW w:w="0" w:type="dxa"/>
            <w:vAlign w:val="bottom"/>
          </w:tcPr>
          <w:p>
            <w:pPr>
              <w:spacing w:after="0"/>
              <w:rPr>
                <w:sz w:val="1"/>
                <w:szCs w:val="1"/>
                <w:color w:val="auto"/>
              </w:rPr>
            </w:pPr>
          </w:p>
        </w:tc>
      </w:tr>
      <w:tr>
        <w:trPr>
          <w:trHeight w:val="248"/>
        </w:trPr>
        <w:tc>
          <w:tcPr>
            <w:tcW w:w="1280" w:type="dxa"/>
            <w:vAlign w:val="bottom"/>
            <w:gridSpan w:val="2"/>
          </w:tcPr>
          <w:p>
            <w:pPr>
              <w:ind w:left="40"/>
              <w:spacing w:after="0"/>
              <w:rPr>
                <w:sz w:val="20"/>
                <w:szCs w:val="20"/>
                <w:color w:val="auto"/>
              </w:rPr>
            </w:pPr>
            <w:r>
              <w:rPr>
                <w:rFonts w:ascii="Arial" w:cs="Arial" w:eastAsia="Arial" w:hAnsi="Arial"/>
                <w:sz w:val="11"/>
                <w:szCs w:val="11"/>
                <w:color w:val="auto"/>
              </w:rPr>
              <w:t>Joseph F. Montalbano</w:t>
            </w:r>
          </w:p>
        </w:tc>
        <w:tc>
          <w:tcPr>
            <w:tcW w:w="580" w:type="dxa"/>
            <w:vAlign w:val="bottom"/>
          </w:tcPr>
          <w:p>
            <w:pPr>
              <w:jc w:val="right"/>
              <w:spacing w:after="0"/>
              <w:rPr>
                <w:sz w:val="20"/>
                <w:szCs w:val="20"/>
                <w:color w:val="auto"/>
              </w:rPr>
            </w:pPr>
            <w:r>
              <w:rPr>
                <w:rFonts w:ascii="Arial" w:cs="Arial" w:eastAsia="Arial" w:hAnsi="Arial"/>
                <w:sz w:val="11"/>
                <w:szCs w:val="11"/>
                <w:color w:val="auto"/>
              </w:rPr>
              <w:t>945,000</w:t>
            </w:r>
          </w:p>
        </w:tc>
        <w:tc>
          <w:tcPr>
            <w:tcW w:w="1060" w:type="dxa"/>
            <w:vAlign w:val="bottom"/>
            <w:gridSpan w:val="3"/>
          </w:tcPr>
          <w:p>
            <w:pPr>
              <w:jc w:val="right"/>
              <w:ind w:right="74"/>
              <w:spacing w:after="0"/>
              <w:rPr>
                <w:sz w:val="20"/>
                <w:szCs w:val="20"/>
                <w:color w:val="auto"/>
              </w:rPr>
            </w:pPr>
            <w:r>
              <w:rPr>
                <w:rFonts w:ascii="Arial" w:cs="Arial" w:eastAsia="Arial" w:hAnsi="Arial"/>
                <w:sz w:val="11"/>
                <w:szCs w:val="11"/>
                <w:color w:val="auto"/>
              </w:rPr>
              <w:t>174,264</w:t>
            </w:r>
          </w:p>
        </w:tc>
        <w:tc>
          <w:tcPr>
            <w:tcW w:w="120" w:type="dxa"/>
            <w:vAlign w:val="bottom"/>
          </w:tcPr>
          <w:p>
            <w:pPr>
              <w:spacing w:after="0"/>
              <w:rPr>
                <w:sz w:val="21"/>
                <w:szCs w:val="21"/>
                <w:color w:val="auto"/>
              </w:rPr>
            </w:pPr>
          </w:p>
        </w:tc>
        <w:tc>
          <w:tcPr>
            <w:tcW w:w="70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72"/>
              <w:spacing w:after="0"/>
              <w:rPr>
                <w:sz w:val="20"/>
                <w:szCs w:val="20"/>
                <w:color w:val="auto"/>
              </w:rPr>
            </w:pPr>
            <w:r>
              <w:rPr>
                <w:rFonts w:ascii="Arial" w:cs="Arial" w:eastAsia="Arial" w:hAnsi="Arial"/>
                <w:sz w:val="11"/>
                <w:szCs w:val="11"/>
                <w:color w:val="auto"/>
              </w:rPr>
              <w:t>1,492,003</w:t>
            </w:r>
          </w:p>
        </w:tc>
        <w:tc>
          <w:tcPr>
            <w:tcW w:w="1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5"/>
              </w:rPr>
              <w:t>472,500</w:t>
            </w:r>
          </w:p>
        </w:tc>
        <w:tc>
          <w:tcPr>
            <w:tcW w:w="120" w:type="dxa"/>
            <w:vAlign w:val="bottom"/>
          </w:tcPr>
          <w:p>
            <w:pPr>
              <w:spacing w:after="0"/>
              <w:rPr>
                <w:sz w:val="21"/>
                <w:szCs w:val="21"/>
                <w:color w:val="auto"/>
              </w:rPr>
            </w:pPr>
          </w:p>
        </w:tc>
        <w:tc>
          <w:tcPr>
            <w:tcW w:w="600" w:type="dxa"/>
            <w:vAlign w:val="bottom"/>
          </w:tcPr>
          <w:p>
            <w:pPr>
              <w:jc w:val="right"/>
              <w:ind w:right="91"/>
              <w:spacing w:after="0"/>
              <w:rPr>
                <w:sz w:val="20"/>
                <w:szCs w:val="20"/>
                <w:color w:val="auto"/>
              </w:rPr>
            </w:pPr>
            <w:r>
              <w:rPr>
                <w:rFonts w:ascii="Arial" w:cs="Arial" w:eastAsia="Arial" w:hAnsi="Arial"/>
                <w:sz w:val="11"/>
                <w:szCs w:val="11"/>
                <w:color w:val="auto"/>
              </w:rPr>
              <w:t>174,264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52"/>
              <w:spacing w:after="0"/>
              <w:rPr>
                <w:sz w:val="20"/>
                <w:szCs w:val="20"/>
                <w:color w:val="auto"/>
              </w:rPr>
            </w:pPr>
            <w:r>
              <w:rPr>
                <w:rFonts w:ascii="Arial" w:cs="Arial" w:eastAsia="Arial" w:hAnsi="Arial"/>
                <w:sz w:val="11"/>
                <w:szCs w:val="11"/>
                <w:color w:val="auto"/>
              </w:rPr>
              <w:t>869,723</w:t>
            </w:r>
          </w:p>
        </w:tc>
        <w:tc>
          <w:tcPr>
            <w:tcW w:w="120" w:type="dxa"/>
            <w:vAlign w:val="bottom"/>
          </w:tcPr>
          <w:p>
            <w:pPr>
              <w:spacing w:after="0"/>
              <w:rPr>
                <w:sz w:val="21"/>
                <w:szCs w:val="21"/>
                <w:color w:val="auto"/>
              </w:rPr>
            </w:pPr>
          </w:p>
        </w:tc>
        <w:tc>
          <w:tcPr>
            <w:tcW w:w="6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72"/>
              <w:spacing w:after="0"/>
              <w:rPr>
                <w:sz w:val="20"/>
                <w:szCs w:val="20"/>
                <w:color w:val="auto"/>
              </w:rPr>
            </w:pPr>
            <w:r>
              <w:rPr>
                <w:rFonts w:ascii="Arial" w:cs="Arial" w:eastAsia="Arial" w:hAnsi="Arial"/>
                <w:sz w:val="11"/>
                <w:szCs w:val="11"/>
                <w:color w:val="auto"/>
              </w:rPr>
              <w:t>1,492,003</w:t>
            </w:r>
          </w:p>
        </w:tc>
        <w:tc>
          <w:tcPr>
            <w:tcW w:w="100" w:type="dxa"/>
            <w:vAlign w:val="bottom"/>
          </w:tcPr>
          <w:p>
            <w:pPr>
              <w:spacing w:after="0"/>
              <w:rPr>
                <w:sz w:val="21"/>
                <w:szCs w:val="21"/>
                <w:color w:val="auto"/>
              </w:rPr>
            </w:pPr>
          </w:p>
        </w:tc>
        <w:tc>
          <w:tcPr>
            <w:tcW w:w="680" w:type="dxa"/>
            <w:vAlign w:val="bottom"/>
          </w:tcPr>
          <w:p>
            <w:pPr>
              <w:ind w:left="140"/>
              <w:spacing w:after="0"/>
              <w:rPr>
                <w:sz w:val="20"/>
                <w:szCs w:val="20"/>
                <w:color w:val="auto"/>
              </w:rPr>
            </w:pPr>
            <w:r>
              <w:rPr>
                <w:rFonts w:ascii="Arial" w:cs="Arial" w:eastAsia="Arial" w:hAnsi="Arial"/>
                <w:sz w:val="11"/>
                <w:szCs w:val="11"/>
                <w:color w:val="auto"/>
              </w:rPr>
              <w:t>2,611,267</w:t>
            </w:r>
          </w:p>
        </w:tc>
        <w:tc>
          <w:tcPr>
            <w:tcW w:w="0" w:type="dxa"/>
            <w:vAlign w:val="bottom"/>
          </w:tcPr>
          <w:p>
            <w:pPr>
              <w:spacing w:after="0"/>
              <w:rPr>
                <w:sz w:val="1"/>
                <w:szCs w:val="1"/>
                <w:color w:val="auto"/>
              </w:rPr>
            </w:pPr>
          </w:p>
        </w:tc>
      </w:tr>
      <w:tr>
        <w:trPr>
          <w:trHeight w:val="22"/>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Kevin S. Cavanah</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834,900</w:t>
            </w:r>
          </w:p>
        </w:tc>
        <w:tc>
          <w:tcPr>
            <w:tcW w:w="1060" w:type="dxa"/>
            <w:vAlign w:val="bottom"/>
            <w:tcBorders>
              <w:bottom w:val="single" w:sz="8" w:color="CCEEFF"/>
            </w:tcBorders>
            <w:gridSpan w:val="3"/>
            <w:shd w:val="clear" w:color="auto" w:fill="CCEEFF"/>
          </w:tcPr>
          <w:p>
            <w:pPr>
              <w:jc w:val="right"/>
              <w:ind w:right="74"/>
              <w:spacing w:after="0"/>
              <w:rPr>
                <w:sz w:val="20"/>
                <w:szCs w:val="20"/>
                <w:color w:val="auto"/>
              </w:rPr>
            </w:pPr>
            <w:r>
              <w:rPr>
                <w:rFonts w:ascii="Arial" w:cs="Arial" w:eastAsia="Arial" w:hAnsi="Arial"/>
                <w:sz w:val="11"/>
                <w:szCs w:val="11"/>
                <w:color w:val="auto"/>
              </w:rPr>
              <w:t>150,206</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1"/>
                <w:szCs w:val="11"/>
                <w:color w:val="auto"/>
              </w:rPr>
              <w:t>1,278,138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5"/>
              </w:rPr>
              <w:t>417,450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1"/>
                <w:szCs w:val="11"/>
                <w:color w:val="auto"/>
              </w:rPr>
              <w:t>150,206</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1"/>
                <w:szCs w:val="11"/>
                <w:color w:val="auto"/>
              </w:rPr>
              <w:t>1,278,138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2,263,244</w:t>
            </w:r>
          </w:p>
        </w:tc>
        <w:tc>
          <w:tcPr>
            <w:tcW w:w="0" w:type="dxa"/>
            <w:vAlign w:val="bottom"/>
          </w:tcPr>
          <w:p>
            <w:pPr>
              <w:spacing w:after="0"/>
              <w:rPr>
                <w:sz w:val="1"/>
                <w:szCs w:val="1"/>
                <w:color w:val="auto"/>
              </w:rPr>
            </w:pPr>
          </w:p>
        </w:tc>
      </w:tr>
      <w:tr>
        <w:trPr>
          <w:trHeight w:val="248"/>
        </w:trPr>
        <w:tc>
          <w:tcPr>
            <w:tcW w:w="1280" w:type="dxa"/>
            <w:vAlign w:val="bottom"/>
            <w:gridSpan w:val="2"/>
          </w:tcPr>
          <w:p>
            <w:pPr>
              <w:ind w:left="40"/>
              <w:spacing w:after="0"/>
              <w:rPr>
                <w:sz w:val="20"/>
                <w:szCs w:val="20"/>
                <w:color w:val="auto"/>
              </w:rPr>
            </w:pPr>
            <w:r>
              <w:rPr>
                <w:rFonts w:ascii="Arial" w:cs="Arial" w:eastAsia="Arial" w:hAnsi="Arial"/>
                <w:sz w:val="11"/>
                <w:szCs w:val="11"/>
                <w:color w:val="auto"/>
              </w:rPr>
              <w:t>James P. Ryan</w:t>
            </w:r>
          </w:p>
        </w:tc>
        <w:tc>
          <w:tcPr>
            <w:tcW w:w="580" w:type="dxa"/>
            <w:vAlign w:val="bottom"/>
          </w:tcPr>
          <w:p>
            <w:pPr>
              <w:jc w:val="right"/>
              <w:spacing w:after="0"/>
              <w:rPr>
                <w:sz w:val="20"/>
                <w:szCs w:val="20"/>
                <w:color w:val="auto"/>
              </w:rPr>
            </w:pPr>
            <w:r>
              <w:rPr>
                <w:rFonts w:ascii="Arial" w:cs="Arial" w:eastAsia="Arial" w:hAnsi="Arial"/>
                <w:sz w:val="11"/>
                <w:szCs w:val="11"/>
                <w:color w:val="auto"/>
              </w:rPr>
              <w:t>358,155</w:t>
            </w:r>
          </w:p>
        </w:tc>
        <w:tc>
          <w:tcPr>
            <w:tcW w:w="1060" w:type="dxa"/>
            <w:vAlign w:val="bottom"/>
            <w:gridSpan w:val="3"/>
          </w:tcPr>
          <w:p>
            <w:pPr>
              <w:jc w:val="right"/>
              <w:ind w:right="74"/>
              <w:spacing w:after="0"/>
              <w:rPr>
                <w:sz w:val="20"/>
                <w:szCs w:val="20"/>
                <w:color w:val="auto"/>
              </w:rPr>
            </w:pPr>
            <w:r>
              <w:rPr>
                <w:rFonts w:ascii="Arial" w:cs="Arial" w:eastAsia="Arial" w:hAnsi="Arial"/>
                <w:sz w:val="11"/>
                <w:szCs w:val="11"/>
                <w:color w:val="auto"/>
              </w:rPr>
              <w:t>145,119</w:t>
            </w:r>
          </w:p>
        </w:tc>
        <w:tc>
          <w:tcPr>
            <w:tcW w:w="120" w:type="dxa"/>
            <w:vAlign w:val="bottom"/>
          </w:tcPr>
          <w:p>
            <w:pPr>
              <w:spacing w:after="0"/>
              <w:rPr>
                <w:sz w:val="21"/>
                <w:szCs w:val="21"/>
                <w:color w:val="auto"/>
              </w:rPr>
            </w:pPr>
          </w:p>
        </w:tc>
        <w:tc>
          <w:tcPr>
            <w:tcW w:w="70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72"/>
              <w:spacing w:after="0"/>
              <w:rPr>
                <w:sz w:val="20"/>
                <w:szCs w:val="20"/>
                <w:color w:val="auto"/>
              </w:rPr>
            </w:pPr>
            <w:r>
              <w:rPr>
                <w:rFonts w:ascii="Arial" w:cs="Arial" w:eastAsia="Arial" w:hAnsi="Arial"/>
                <w:sz w:val="11"/>
                <w:szCs w:val="11"/>
                <w:color w:val="auto"/>
              </w:rPr>
              <w:t>1,114,592</w:t>
            </w:r>
          </w:p>
        </w:tc>
        <w:tc>
          <w:tcPr>
            <w:tcW w:w="1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5"/>
              </w:rPr>
              <w:t>358,155</w:t>
            </w:r>
          </w:p>
        </w:tc>
        <w:tc>
          <w:tcPr>
            <w:tcW w:w="120" w:type="dxa"/>
            <w:vAlign w:val="bottom"/>
          </w:tcPr>
          <w:p>
            <w:pPr>
              <w:spacing w:after="0"/>
              <w:rPr>
                <w:sz w:val="21"/>
                <w:szCs w:val="21"/>
                <w:color w:val="auto"/>
              </w:rPr>
            </w:pPr>
          </w:p>
        </w:tc>
        <w:tc>
          <w:tcPr>
            <w:tcW w:w="600" w:type="dxa"/>
            <w:vAlign w:val="bottom"/>
          </w:tcPr>
          <w:p>
            <w:pPr>
              <w:jc w:val="right"/>
              <w:ind w:right="91"/>
              <w:spacing w:after="0"/>
              <w:rPr>
                <w:sz w:val="20"/>
                <w:szCs w:val="20"/>
                <w:color w:val="auto"/>
              </w:rPr>
            </w:pPr>
            <w:r>
              <w:rPr>
                <w:rFonts w:ascii="Arial" w:cs="Arial" w:eastAsia="Arial" w:hAnsi="Arial"/>
                <w:sz w:val="11"/>
                <w:szCs w:val="11"/>
                <w:color w:val="auto"/>
              </w:rPr>
              <w:t>145,119</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55"/>
              <w:spacing w:after="0"/>
              <w:rPr>
                <w:sz w:val="20"/>
                <w:szCs w:val="20"/>
                <w:color w:val="auto"/>
              </w:rPr>
            </w:pPr>
            <w:r>
              <w:rPr>
                <w:rFonts w:ascii="Arial" w:cs="Arial" w:eastAsia="Arial" w:hAnsi="Arial"/>
                <w:sz w:val="11"/>
                <w:szCs w:val="11"/>
                <w:color w:val="auto"/>
              </w:rPr>
              <w:t>1,114,592</w:t>
            </w:r>
          </w:p>
        </w:tc>
        <w:tc>
          <w:tcPr>
            <w:tcW w:w="100" w:type="dxa"/>
            <w:vAlign w:val="bottom"/>
          </w:tcPr>
          <w:p>
            <w:pPr>
              <w:spacing w:after="0"/>
              <w:rPr>
                <w:sz w:val="21"/>
                <w:szCs w:val="21"/>
                <w:color w:val="auto"/>
              </w:rPr>
            </w:pPr>
          </w:p>
        </w:tc>
        <w:tc>
          <w:tcPr>
            <w:tcW w:w="90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72"/>
              <w:spacing w:after="0"/>
              <w:rPr>
                <w:sz w:val="20"/>
                <w:szCs w:val="20"/>
                <w:color w:val="auto"/>
              </w:rPr>
            </w:pPr>
            <w:r>
              <w:rPr>
                <w:rFonts w:ascii="Arial" w:cs="Arial" w:eastAsia="Arial" w:hAnsi="Arial"/>
                <w:sz w:val="11"/>
                <w:szCs w:val="11"/>
                <w:color w:val="auto"/>
              </w:rPr>
              <w:t>1,114,592</w:t>
            </w:r>
          </w:p>
        </w:tc>
        <w:tc>
          <w:tcPr>
            <w:tcW w:w="100" w:type="dxa"/>
            <w:vAlign w:val="bottom"/>
          </w:tcPr>
          <w:p>
            <w:pPr>
              <w:spacing w:after="0"/>
              <w:rPr>
                <w:sz w:val="21"/>
                <w:szCs w:val="21"/>
                <w:color w:val="auto"/>
              </w:rPr>
            </w:pPr>
          </w:p>
        </w:tc>
        <w:tc>
          <w:tcPr>
            <w:tcW w:w="680" w:type="dxa"/>
            <w:vAlign w:val="bottom"/>
          </w:tcPr>
          <w:p>
            <w:pPr>
              <w:ind w:left="140"/>
              <w:spacing w:after="0"/>
              <w:rPr>
                <w:sz w:val="20"/>
                <w:szCs w:val="20"/>
                <w:color w:val="auto"/>
              </w:rPr>
            </w:pPr>
            <w:r>
              <w:rPr>
                <w:rFonts w:ascii="Arial" w:cs="Arial" w:eastAsia="Arial" w:hAnsi="Arial"/>
                <w:sz w:val="11"/>
                <w:szCs w:val="11"/>
                <w:color w:val="auto"/>
              </w:rPr>
              <w:t>1,617,866</w:t>
            </w:r>
          </w:p>
        </w:tc>
        <w:tc>
          <w:tcPr>
            <w:tcW w:w="0" w:type="dxa"/>
            <w:vAlign w:val="bottom"/>
          </w:tcPr>
          <w:p>
            <w:pPr>
              <w:spacing w:after="0"/>
              <w:rPr>
                <w:sz w:val="1"/>
                <w:szCs w:val="1"/>
                <w:color w:val="auto"/>
              </w:rPr>
            </w:pPr>
          </w:p>
        </w:tc>
      </w:tr>
      <w:tr>
        <w:trPr>
          <w:trHeight w:val="270"/>
        </w:trPr>
        <w:tc>
          <w:tcPr>
            <w:tcW w:w="1280" w:type="dxa"/>
            <w:vAlign w:val="bottom"/>
            <w:gridSpan w:val="2"/>
          </w:tcPr>
          <w:p>
            <w:pPr>
              <w:ind w:left="40"/>
              <w:spacing w:after="0"/>
              <w:rPr>
                <w:sz w:val="20"/>
                <w:szCs w:val="20"/>
                <w:color w:val="auto"/>
              </w:rPr>
            </w:pPr>
            <w:r>
              <w:rPr>
                <w:rFonts w:ascii="Arial" w:cs="Arial" w:eastAsia="Arial" w:hAnsi="Arial"/>
                <w:sz w:val="11"/>
                <w:szCs w:val="11"/>
                <w:color w:val="auto"/>
              </w:rPr>
              <w:t>Jason W. Turner</w:t>
            </w:r>
          </w:p>
        </w:tc>
        <w:tc>
          <w:tcPr>
            <w:tcW w:w="580" w:type="dxa"/>
            <w:vAlign w:val="bottom"/>
          </w:tcPr>
          <w:p>
            <w:pPr>
              <w:jc w:val="right"/>
              <w:spacing w:after="0"/>
              <w:rPr>
                <w:sz w:val="20"/>
                <w:szCs w:val="20"/>
                <w:color w:val="auto"/>
              </w:rPr>
            </w:pPr>
            <w:r>
              <w:rPr>
                <w:rFonts w:ascii="Arial" w:cs="Arial" w:eastAsia="Arial" w:hAnsi="Arial"/>
                <w:sz w:val="11"/>
                <w:szCs w:val="11"/>
                <w:color w:val="auto"/>
              </w:rPr>
              <w:t>344,100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72"/>
              <w:spacing w:after="0"/>
              <w:rPr>
                <w:sz w:val="20"/>
                <w:szCs w:val="20"/>
                <w:color w:val="auto"/>
              </w:rPr>
            </w:pPr>
            <w:r>
              <w:rPr>
                <w:rFonts w:ascii="Arial" w:cs="Arial" w:eastAsia="Arial" w:hAnsi="Arial"/>
                <w:sz w:val="11"/>
                <w:szCs w:val="11"/>
                <w:color w:val="auto"/>
              </w:rPr>
              <w:t>723,095</w:t>
            </w:r>
          </w:p>
        </w:tc>
        <w:tc>
          <w:tcPr>
            <w:tcW w:w="1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5"/>
              </w:rPr>
              <w:t>344,100</w:t>
            </w:r>
          </w:p>
        </w:tc>
        <w:tc>
          <w:tcPr>
            <w:tcW w:w="120" w:type="dxa"/>
            <w:vAlign w:val="bottom"/>
          </w:tcPr>
          <w:p>
            <w:pPr>
              <w:spacing w:after="0"/>
              <w:rPr>
                <w:sz w:val="23"/>
                <w:szCs w:val="23"/>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72"/>
              <w:spacing w:after="0"/>
              <w:rPr>
                <w:sz w:val="20"/>
                <w:szCs w:val="20"/>
                <w:color w:val="auto"/>
              </w:rPr>
            </w:pPr>
            <w:r>
              <w:rPr>
                <w:rFonts w:ascii="Arial" w:cs="Arial" w:eastAsia="Arial" w:hAnsi="Arial"/>
                <w:sz w:val="11"/>
                <w:szCs w:val="11"/>
                <w:color w:val="auto"/>
              </w:rPr>
              <w:t>723,095</w:t>
            </w:r>
          </w:p>
        </w:tc>
        <w:tc>
          <w:tcPr>
            <w:tcW w:w="10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Arial" w:cs="Arial" w:eastAsia="Arial" w:hAnsi="Arial"/>
                <w:sz w:val="11"/>
                <w:szCs w:val="11"/>
                <w:color w:val="auto"/>
              </w:rPr>
              <w:t>1,067,195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60" w:hanging="330"/>
        <w:spacing w:after="0"/>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payment of one or two years of base salary for the event specified based on base salary as of June 30, 2015.</w:t>
      </w:r>
    </w:p>
    <w:p>
      <w:pPr>
        <w:spacing w:after="0" w:line="163" w:lineRule="exact"/>
        <w:rPr>
          <w:rFonts w:ascii="Arial" w:cs="Arial" w:eastAsia="Arial" w:hAnsi="Arial"/>
          <w:sz w:val="14"/>
          <w:szCs w:val="14"/>
          <w:color w:val="auto"/>
        </w:rPr>
      </w:pPr>
    </w:p>
    <w:p>
      <w:pPr>
        <w:ind w:left="460" w:right="120" w:hanging="330"/>
        <w:spacing w:after="0" w:line="273" w:lineRule="auto"/>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payment of non-equity incentive severance for the event specified based on the average annual bonus compensation paid to the executive in the lesser of the previous three years or the number of full fiscal years the executive has been employed in the position.</w:t>
      </w:r>
    </w:p>
    <w:p>
      <w:pPr>
        <w:spacing w:after="0" w:line="119" w:lineRule="exact"/>
        <w:rPr>
          <w:rFonts w:ascii="Arial" w:cs="Arial" w:eastAsia="Arial" w:hAnsi="Arial"/>
          <w:sz w:val="14"/>
          <w:szCs w:val="14"/>
          <w:color w:val="auto"/>
        </w:rPr>
      </w:pPr>
    </w:p>
    <w:p>
      <w:pPr>
        <w:ind w:left="460" w:right="60" w:hanging="330"/>
        <w:spacing w:after="0" w:line="257" w:lineRule="auto"/>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the value the Named Executive Officer would realize for the vesting of all nonvested stock options for the specified event. The value is the difference between the option exercise price and the market price of the common stock as of the close of business on June 30, 2015, multiplied by the number of nonvested stock options at June 30, 2015. At June 30, 2015, all of the stock options held by the NEOs were already exercisable.</w:t>
      </w:r>
    </w:p>
    <w:p>
      <w:pPr>
        <w:spacing w:after="0" w:line="131" w:lineRule="exact"/>
        <w:rPr>
          <w:rFonts w:ascii="Arial" w:cs="Arial" w:eastAsia="Arial" w:hAnsi="Arial"/>
          <w:sz w:val="14"/>
          <w:szCs w:val="14"/>
          <w:color w:val="auto"/>
        </w:rPr>
      </w:pPr>
    </w:p>
    <w:p>
      <w:pPr>
        <w:ind w:left="460" w:right="20" w:hanging="330"/>
        <w:spacing w:after="0" w:line="257" w:lineRule="auto"/>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the value the Named Executive Officer would realize upon the lapsing of restrictions on RSUs, performance units and cash LTI awards due to the specified event. The value shown is the number of unvested RSUs and performance units, assuming a target performance level, at June 30, 2015 multiplied by the market price of common stock at the close of business on June 30, 2015 plus the value of the cash LTI awards, which are also assumed to vest based on the target level of performance.</w:t>
      </w:r>
    </w:p>
    <w:p>
      <w:pPr>
        <w:spacing w:after="0" w:line="131" w:lineRule="exact"/>
        <w:rPr>
          <w:rFonts w:ascii="Arial" w:cs="Arial" w:eastAsia="Arial" w:hAnsi="Arial"/>
          <w:sz w:val="14"/>
          <w:szCs w:val="14"/>
          <w:color w:val="auto"/>
        </w:rPr>
      </w:pPr>
    </w:p>
    <w:p>
      <w:pPr>
        <w:jc w:val="both"/>
        <w:ind w:left="460" w:right="20" w:hanging="330"/>
        <w:spacing w:after="0" w:line="257" w:lineRule="auto"/>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75% of annual salary for Mr. Hewitt. For Mr. Montalbano, Mr. Cavanah, Mr. Turner and Mr. Ryan, the amount represents payment of non-equity incentive severance for the event specified based on the average annual bonus compensation paid to the executive in the lesser of the previous three years or the number of full fiscal years the executive has been employed in the position.</w:t>
      </w:r>
    </w:p>
    <w:p>
      <w:pPr>
        <w:spacing w:after="0" w:line="131" w:lineRule="exact"/>
        <w:rPr>
          <w:rFonts w:ascii="Arial" w:cs="Arial" w:eastAsia="Arial" w:hAnsi="Arial"/>
          <w:sz w:val="14"/>
          <w:szCs w:val="14"/>
          <w:color w:val="auto"/>
        </w:rPr>
      </w:pPr>
    </w:p>
    <w:p>
      <w:pPr>
        <w:ind w:left="460" w:right="40" w:hanging="330"/>
        <w:spacing w:after="0" w:line="249" w:lineRule="auto"/>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the value the Named Executive Officer would realize for the lapsing of restrictions on RSUs, performance units and cash LTI awards due to the Named Executive Officer’s retirement. The value shown is the number of unvested RSUs at June 30, 2015 for which restrictions would lapse at retirement multiplied by the market price of common stock at the close of business on June 30, 2015. Restrictions lapse on performance units and cash LTI awards upon retirement on a pro rata basis based on the number of full and partial months served in the applicable performance period. The performance units and cash LTI awards are assumed to vest at the target level of performance. Messrs. Hewitt, Cavanah, Ryan, and Turner were not eligible for retirement at June 30, 2015.</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NUMBER 3: Advisory Vote to Approve Named Executive Officer Compensation</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Section 14A of the Securities Exchange Act of 1934, as amended, we are seeking an advisory vote from our stockholders to approve our Named Executive Officer compensation, as set forth below.</w:t>
      </w:r>
    </w:p>
    <w:p>
      <w:pPr>
        <w:spacing w:after="0" w:line="11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are asking for stockholder approval of the compensation of our Named Executive Officers as disclosed in this proxy statement in accordance with SEC rules, which disclosures include the disclosures under the caption “Compensation Discussion and Analysis,” the compensation tables and the narrative discussion accompanying the compensation tables. This vote is not intended to address any specific item of compensation, but rather the overall compensation of our Named Executive Officers and the policies and practices described in this proxy statement.</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discussed under the heading “Compensation Discussion and Analysis,” our executive compensation and benefit programs are designed to attract, motivate and retain a talented management team and to appropriately reward individual contributions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achievement of our strategic goals. The Board of Directors believes this approach establishes a solid alignment of our executives’ and stockholders’ interests.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use the following principles in the design and administration of our executive compensation program:</w:t>
      </w:r>
    </w:p>
    <w:p>
      <w:pPr>
        <w:spacing w:after="0" w:line="225" w:lineRule="exact"/>
        <w:rPr>
          <w:sz w:val="20"/>
          <w:szCs w:val="20"/>
          <w:color w:val="auto"/>
        </w:rPr>
      </w:pPr>
    </w:p>
    <w:p>
      <w:pPr>
        <w:ind w:left="540" w:right="480" w:hanging="316"/>
        <w:spacing w:after="0" w:line="342"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Competitiveness – Our compensation programs are designed to ensure we can attract, motivate and retain the talent needed to lead and grow the business. Targets for base salary, short-term and long-term compensation are generally based on median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market levels.</w:t>
      </w:r>
    </w:p>
    <w:p>
      <w:pPr>
        <w:spacing w:after="0" w:line="25" w:lineRule="exact"/>
        <w:rPr>
          <w:rFonts w:ascii="Arial" w:cs="Arial" w:eastAsia="Arial" w:hAnsi="Arial"/>
          <w:sz w:val="16"/>
          <w:szCs w:val="16"/>
          <w:color w:val="auto"/>
        </w:rPr>
      </w:pPr>
    </w:p>
    <w:p>
      <w:pPr>
        <w:ind w:left="540" w:right="280" w:hanging="316"/>
        <w:spacing w:after="0" w:line="264"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Support Business Objectives, Strategy and Values – Ultimately our compensation program is designed to drive the achievement of annual business objectives, support the creation of long-term value for our stockholders, and promote and encourage behavior consistent with our core values and guiding principles.</w:t>
      </w:r>
    </w:p>
    <w:p>
      <w:pPr>
        <w:spacing w:after="0" w:line="181" w:lineRule="exact"/>
        <w:rPr>
          <w:rFonts w:ascii="Arial" w:cs="Arial" w:eastAsia="Arial" w:hAnsi="Arial"/>
          <w:sz w:val="18"/>
          <w:szCs w:val="18"/>
          <w:color w:val="auto"/>
        </w:rPr>
      </w:pPr>
    </w:p>
    <w:p>
      <w:pPr>
        <w:ind w:left="540" w:right="360" w:hanging="316"/>
        <w:spacing w:after="0" w:line="226"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for Performance – While we establish target pay levels at or near the median or 50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market levels for target level performance, our plans provide the opportunity for significantly greater rewards for outstanding performance. At the same time, performance that does not meet expectations is not rewarded.</w:t>
      </w:r>
    </w:p>
    <w:p>
      <w:pPr>
        <w:spacing w:after="0" w:line="203" w:lineRule="exact"/>
        <w:rPr>
          <w:rFonts w:ascii="Arial" w:cs="Arial" w:eastAsia="Arial" w:hAnsi="Arial"/>
          <w:sz w:val="18"/>
          <w:szCs w:val="18"/>
          <w:color w:val="auto"/>
        </w:rPr>
      </w:pPr>
    </w:p>
    <w:p>
      <w:pPr>
        <w:ind w:left="540" w:right="540" w:hanging="316"/>
        <w:spacing w:after="0" w:line="277"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Individual Performance – In addition to objective company-wide, business unit and operating unit financial measures, our programs emphasize individual performance and the achievement of personal objectives.</w:t>
      </w:r>
    </w:p>
    <w:p>
      <w:pPr>
        <w:spacing w:after="0" w:line="170" w:lineRule="exact"/>
        <w:rPr>
          <w:rFonts w:ascii="Arial" w:cs="Arial" w:eastAsia="Arial" w:hAnsi="Arial"/>
          <w:sz w:val="18"/>
          <w:szCs w:val="18"/>
          <w:color w:val="auto"/>
        </w:rPr>
      </w:pPr>
    </w:p>
    <w:p>
      <w:pPr>
        <w:ind w:left="540" w:right="720" w:hanging="316"/>
        <w:spacing w:after="0" w:line="308" w:lineRule="auto"/>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Integrated Approach – We look at compensation in total and strive to achieve an appropriate balance of immediate, short-term and long-term compensation components, with the ultimate goal of aligning executive compensation with long-term stockholder value.</w:t>
      </w:r>
    </w:p>
    <w:p>
      <w:pPr>
        <w:spacing w:after="0" w:line="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Approval of this advisory vote requires the affirmative vote of the majority of shares present in person or by proxy at the Annual Meeting and entitled to vote for the adoption of this proposal. </w:t>
      </w:r>
      <w:r>
        <w:rPr>
          <w:rFonts w:ascii="Arial" w:cs="Arial" w:eastAsia="Arial" w:hAnsi="Arial"/>
          <w:sz w:val="18"/>
          <w:szCs w:val="18"/>
          <w:b w:val="1"/>
          <w:bCs w:val="1"/>
          <w:color w:val="auto"/>
        </w:rPr>
        <w:t>The Board of Directors recommends a vote “For” the approval of the compensation of our Named Executive Officers</w:t>
      </w:r>
      <w:r>
        <w:rPr>
          <w:rFonts w:ascii="Arial" w:cs="Arial" w:eastAsia="Arial" w:hAnsi="Arial"/>
          <w:sz w:val="18"/>
          <w:szCs w:val="18"/>
          <w:color w:val="auto"/>
        </w:rPr>
        <w:t xml:space="preserve"> </w:t>
      </w:r>
      <w:r>
        <w:rPr>
          <w:rFonts w:ascii="Arial" w:cs="Arial" w:eastAsia="Arial" w:hAnsi="Arial"/>
          <w:sz w:val="18"/>
          <w:szCs w:val="18"/>
          <w:b w:val="1"/>
          <w:bCs w:val="1"/>
          <w:color w:val="auto"/>
        </w:rPr>
        <w:t>as disclosed in this proxy statement pursuant to the compensation disclosure rules of the SEC.</w:t>
      </w:r>
    </w:p>
    <w:p>
      <w:pPr>
        <w:spacing w:after="0" w:line="12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Board of Directors welcomes our stockholders’ views on this subject, and will carefully consider the outcome of this vote. However, as an advisory vote, the outcome is not binding on us or the Board.</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 fiscal 2015, there were no related person transactions required to be disclosed under SEC rules and regulations.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Company’s Corporate Governance Guidelines, which are available on the Corporate Governance page in the Investor Relations section of our website,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 provide that the Company shall conduct an appropriate review of all transactions with related persons for potential conflict of interest situations on an ongoing basis, and all such transactions shall be approved by the Audit Committee or another independent body of the Board. The Corporate Governance Guidelines further provide that the term “transactions with related persons” refers to all transactions which are required to be disclosed pursuant to Item 404 of Regulation S-K.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 the course of its review and approval or ratification of a transaction, the Audit Committee will consider:</w:t>
      </w:r>
    </w:p>
    <w:p>
      <w:pPr>
        <w:spacing w:after="0" w:line="225" w:lineRule="exact"/>
        <w:rPr>
          <w:sz w:val="20"/>
          <w:szCs w:val="20"/>
          <w:color w:val="auto"/>
        </w:rPr>
      </w:pPr>
    </w:p>
    <w:p>
      <w:pPr>
        <w:ind w:left="540" w:hanging="316"/>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material terms of the transaction;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significance of the transaction to the related person;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significance of the transaction to us;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our best interest;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matters the Audit Committee deems appropriate.</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Corporate Governance Guidelines also provide that each director and executive officer is required to complete a Director and Officer Questionnaire on an annual basis, and to update such information when the questionnaire responses become incomplete or inaccurate. The Director and Officer Questionnaire requires disclosure of any transactions with the Company in which the director or executive officer, or any member of his or her immediate family, has a direct or indirect material interest.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219"/>
          </w:cols>
          <w:pgMar w:left="240" w:top="125" w:right="1440"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following table sets forth, as of August 31, 2015, certain information with respect to the shares of common stock beneficially owned by (i) each person known by the Company to own beneficially more than 5% of its outstanding shares of Common Stock, (ii) each director and director nominee of the Company, (iii) each executive officer of the Company named in the Summary Compensation Table herein and (iv) all directors, director nominees and executive officers of the Company as a group. Unless otherwise noted, each of the persons listed below has sole voting and investment power with respect to the shares listed.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Identity of Beneficial Owner</w:t>
            </w:r>
          </w:p>
        </w:tc>
        <w:tc>
          <w:tcPr>
            <w:tcW w:w="360" w:type="dxa"/>
            <w:vAlign w:val="bottom"/>
          </w:tcPr>
          <w:p>
            <w:pPr>
              <w:spacing w:after="0"/>
              <w:rPr>
                <w:sz w:val="14"/>
                <w:szCs w:val="14"/>
                <w:color w:val="auto"/>
              </w:rPr>
            </w:pPr>
          </w:p>
        </w:tc>
        <w:tc>
          <w:tcPr>
            <w:tcW w:w="1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Shares Beneficially Owned</w:t>
            </w:r>
          </w:p>
        </w:tc>
        <w:tc>
          <w:tcPr>
            <w:tcW w:w="940" w:type="dxa"/>
            <w:vAlign w:val="bottom"/>
          </w:tcPr>
          <w:p>
            <w:pPr>
              <w:spacing w:after="0"/>
              <w:rPr>
                <w:sz w:val="14"/>
                <w:szCs w:val="14"/>
                <w:color w:val="auto"/>
              </w:rPr>
            </w:pPr>
          </w:p>
        </w:tc>
        <w:tc>
          <w:tcPr>
            <w:tcW w:w="2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Calculated Ownership % (1)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200" w:type="dxa"/>
            <w:vAlign w:val="bottom"/>
            <w:gridSpan w:val="5"/>
          </w:tcPr>
          <w:p>
            <w:pPr>
              <w:ind w:left="40"/>
              <w:spacing w:after="0"/>
              <w:rPr>
                <w:sz w:val="20"/>
                <w:szCs w:val="20"/>
                <w:color w:val="auto"/>
              </w:rPr>
            </w:pPr>
            <w:r>
              <w:rPr>
                <w:rFonts w:ascii="Arial" w:cs="Arial" w:eastAsia="Arial" w:hAnsi="Arial"/>
                <w:sz w:val="18"/>
                <w:szCs w:val="18"/>
                <w:color w:val="auto"/>
              </w:rPr>
              <w:t>Royce &amp; Associates, LLC</w:t>
            </w:r>
          </w:p>
        </w:tc>
        <w:tc>
          <w:tcPr>
            <w:tcW w:w="17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2,909,975</w:t>
            </w:r>
          </w:p>
        </w:tc>
        <w:tc>
          <w:tcPr>
            <w:tcW w:w="940" w:type="dxa"/>
            <w:vAlign w:val="bottom"/>
          </w:tcPr>
          <w:p>
            <w:pPr>
              <w:jc w:val="right"/>
              <w:ind w:right="510"/>
              <w:spacing w:after="0"/>
              <w:rPr>
                <w:sz w:val="20"/>
                <w:szCs w:val="20"/>
                <w:color w:val="auto"/>
              </w:rPr>
            </w:pPr>
            <w:r>
              <w:rPr>
                <w:rFonts w:ascii="Arial" w:cs="Arial" w:eastAsia="Arial" w:hAnsi="Arial"/>
                <w:sz w:val="18"/>
                <w:szCs w:val="18"/>
                <w:color w:val="auto"/>
              </w:rPr>
              <w:t>(2)</w:t>
            </w:r>
          </w:p>
        </w:tc>
        <w:tc>
          <w:tcPr>
            <w:tcW w:w="206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0"/>
        </w:trPr>
        <w:tc>
          <w:tcPr>
            <w:tcW w:w="6140" w:type="dxa"/>
            <w:vAlign w:val="bottom"/>
            <w:gridSpan w:val="7"/>
          </w:tcPr>
          <w:p>
            <w:pPr>
              <w:ind w:left="40"/>
              <w:spacing w:after="0"/>
              <w:rPr>
                <w:sz w:val="20"/>
                <w:szCs w:val="20"/>
                <w:color w:val="auto"/>
              </w:rPr>
            </w:pPr>
            <w:r>
              <w:rPr>
                <w:rFonts w:ascii="Arial" w:cs="Arial" w:eastAsia="Arial" w:hAnsi="Arial"/>
                <w:sz w:val="18"/>
                <w:szCs w:val="18"/>
                <w:color w:val="auto"/>
              </w:rPr>
              <w:t>745 Fifth Avenue</w:t>
            </w:r>
          </w:p>
        </w:tc>
        <w:tc>
          <w:tcPr>
            <w:tcW w:w="3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40" w:type="dxa"/>
            <w:vAlign w:val="bottom"/>
            <w:gridSpan w:val="7"/>
          </w:tcPr>
          <w:p>
            <w:pPr>
              <w:ind w:left="40"/>
              <w:spacing w:after="0"/>
              <w:rPr>
                <w:sz w:val="20"/>
                <w:szCs w:val="20"/>
                <w:color w:val="auto"/>
              </w:rPr>
            </w:pPr>
            <w:r>
              <w:rPr>
                <w:rFonts w:ascii="Arial" w:cs="Arial" w:eastAsia="Arial" w:hAnsi="Arial"/>
                <w:sz w:val="18"/>
                <w:szCs w:val="18"/>
                <w:color w:val="auto"/>
              </w:rPr>
              <w:t>New York, NY 10151</w:t>
            </w:r>
          </w:p>
        </w:tc>
        <w:tc>
          <w:tcPr>
            <w:tcW w:w="3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14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BlackRock, Inc.</w:t>
            </w:r>
          </w:p>
        </w:tc>
        <w:tc>
          <w:tcPr>
            <w:tcW w:w="2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2,793,779</w:t>
            </w:r>
          </w:p>
        </w:tc>
        <w:tc>
          <w:tcPr>
            <w:tcW w:w="9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w:t>
            </w:r>
          </w:p>
        </w:tc>
        <w:tc>
          <w:tcPr>
            <w:tcW w:w="2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0"/>
        </w:trPr>
        <w:tc>
          <w:tcPr>
            <w:tcW w:w="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5"/>
                <w:shd w:val="clear" w:color="auto" w:fill="CCEEFF"/>
              </w:rPr>
              <w:t>40 East 52</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w w:val="74"/>
                <w:shd w:val="clear" w:color="auto" w:fill="CCEEFF"/>
              </w:rPr>
              <w:t>nd</w:t>
            </w:r>
          </w:p>
        </w:tc>
        <w:tc>
          <w:tcPr>
            <w:tcW w:w="4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83"/>
                <w:shd w:val="clear" w:color="auto" w:fill="CCEEFF"/>
              </w:rPr>
              <w:t>Street</w:t>
            </w:r>
          </w:p>
        </w:tc>
        <w:tc>
          <w:tcPr>
            <w:tcW w:w="4760" w:type="dxa"/>
            <w:vAlign w:val="bottom"/>
            <w:gridSpan w:val="3"/>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40" w:type="dxa"/>
            <w:vAlign w:val="bottom"/>
            <w:shd w:val="clear" w:color="auto" w:fill="CCEEFF"/>
          </w:tcPr>
          <w:p>
            <w:pPr>
              <w:spacing w:after="0"/>
              <w:rPr>
                <w:sz w:val="4"/>
                <w:szCs w:val="4"/>
                <w:color w:val="auto"/>
              </w:rPr>
            </w:pPr>
          </w:p>
        </w:tc>
        <w:tc>
          <w:tcPr>
            <w:tcW w:w="76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vMerge w:val="continue"/>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740" w:type="dxa"/>
            <w:vAlign w:val="bottom"/>
            <w:shd w:val="clear" w:color="auto" w:fill="CCEEFF"/>
          </w:tcPr>
          <w:p>
            <w:pPr>
              <w:spacing w:after="0"/>
              <w:rPr>
                <w:sz w:val="4"/>
                <w:szCs w:val="4"/>
                <w:color w:val="auto"/>
              </w:rPr>
            </w:pPr>
          </w:p>
        </w:tc>
        <w:tc>
          <w:tcPr>
            <w:tcW w:w="22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66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7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61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New York, NY 10022</w:t>
            </w:r>
          </w:p>
        </w:tc>
        <w:tc>
          <w:tcPr>
            <w:tcW w:w="36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140" w:type="dxa"/>
            <w:vAlign w:val="bottom"/>
            <w:gridSpan w:val="7"/>
          </w:tcPr>
          <w:p>
            <w:pPr>
              <w:ind w:left="40"/>
              <w:spacing w:after="0"/>
              <w:rPr>
                <w:sz w:val="20"/>
                <w:szCs w:val="20"/>
                <w:color w:val="auto"/>
              </w:rPr>
            </w:pPr>
            <w:r>
              <w:rPr>
                <w:rFonts w:ascii="Arial" w:cs="Arial" w:eastAsia="Arial" w:hAnsi="Arial"/>
                <w:sz w:val="18"/>
                <w:szCs w:val="18"/>
                <w:color w:val="auto"/>
              </w:rPr>
              <w:t>Michael J. Hall</w:t>
            </w:r>
          </w:p>
        </w:tc>
        <w:tc>
          <w:tcPr>
            <w:tcW w:w="2280" w:type="dxa"/>
            <w:vAlign w:val="bottom"/>
            <w:gridSpan w:val="3"/>
          </w:tcPr>
          <w:p>
            <w:pPr>
              <w:jc w:val="right"/>
              <w:ind w:right="120"/>
              <w:spacing w:after="0"/>
              <w:rPr>
                <w:sz w:val="20"/>
                <w:szCs w:val="20"/>
                <w:color w:val="auto"/>
              </w:rPr>
            </w:pPr>
            <w:r>
              <w:rPr>
                <w:rFonts w:ascii="Arial" w:cs="Arial" w:eastAsia="Arial" w:hAnsi="Arial"/>
                <w:sz w:val="18"/>
                <w:szCs w:val="18"/>
                <w:color w:val="auto"/>
              </w:rPr>
              <w:t>64,300</w:t>
            </w:r>
          </w:p>
        </w:tc>
        <w:tc>
          <w:tcPr>
            <w:tcW w:w="940" w:type="dxa"/>
            <w:vAlign w:val="bottom"/>
          </w:tcPr>
          <w:p>
            <w:pPr>
              <w:jc w:val="right"/>
              <w:ind w:right="510"/>
              <w:spacing w:after="0"/>
              <w:rPr>
                <w:sz w:val="20"/>
                <w:szCs w:val="20"/>
                <w:color w:val="auto"/>
              </w:rPr>
            </w:pPr>
            <w:r>
              <w:rPr>
                <w:rFonts w:ascii="Arial" w:cs="Arial" w:eastAsia="Arial" w:hAnsi="Arial"/>
                <w:sz w:val="18"/>
                <w:szCs w:val="18"/>
                <w:color w:val="auto"/>
              </w:rPr>
              <w:t>(4)</w:t>
            </w:r>
          </w:p>
        </w:tc>
        <w:tc>
          <w:tcPr>
            <w:tcW w:w="2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I. Edgar Hendrix</w:t>
            </w:r>
          </w:p>
        </w:tc>
        <w:tc>
          <w:tcPr>
            <w:tcW w:w="22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24,000</w:t>
            </w:r>
          </w:p>
        </w:tc>
        <w:tc>
          <w:tcPr>
            <w:tcW w:w="9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(4)</w:t>
            </w:r>
          </w:p>
        </w:tc>
        <w:tc>
          <w:tcPr>
            <w:tcW w:w="2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40" w:type="dxa"/>
            <w:vAlign w:val="bottom"/>
            <w:gridSpan w:val="7"/>
          </w:tcPr>
          <w:p>
            <w:pPr>
              <w:ind w:left="40"/>
              <w:spacing w:after="0"/>
              <w:rPr>
                <w:sz w:val="20"/>
                <w:szCs w:val="20"/>
                <w:color w:val="auto"/>
              </w:rPr>
            </w:pPr>
            <w:r>
              <w:rPr>
                <w:rFonts w:ascii="Arial" w:cs="Arial" w:eastAsia="Arial" w:hAnsi="Arial"/>
                <w:sz w:val="18"/>
                <w:szCs w:val="18"/>
                <w:color w:val="auto"/>
              </w:rPr>
              <w:t>Paul K. Lackey</w:t>
            </w:r>
          </w:p>
        </w:tc>
        <w:tc>
          <w:tcPr>
            <w:tcW w:w="2280" w:type="dxa"/>
            <w:vAlign w:val="bottom"/>
            <w:gridSpan w:val="3"/>
          </w:tcPr>
          <w:p>
            <w:pPr>
              <w:jc w:val="right"/>
              <w:ind w:right="120"/>
              <w:spacing w:after="0"/>
              <w:rPr>
                <w:sz w:val="20"/>
                <w:szCs w:val="20"/>
                <w:color w:val="auto"/>
              </w:rPr>
            </w:pPr>
            <w:r>
              <w:rPr>
                <w:rFonts w:ascii="Arial" w:cs="Arial" w:eastAsia="Arial" w:hAnsi="Arial"/>
                <w:sz w:val="18"/>
                <w:szCs w:val="18"/>
                <w:color w:val="auto"/>
              </w:rPr>
              <w:t>22,400</w:t>
            </w:r>
          </w:p>
        </w:tc>
        <w:tc>
          <w:tcPr>
            <w:tcW w:w="940" w:type="dxa"/>
            <w:vAlign w:val="bottom"/>
          </w:tcPr>
          <w:p>
            <w:pPr>
              <w:jc w:val="right"/>
              <w:ind w:right="510"/>
              <w:spacing w:after="0"/>
              <w:rPr>
                <w:sz w:val="20"/>
                <w:szCs w:val="20"/>
                <w:color w:val="auto"/>
              </w:rPr>
            </w:pPr>
            <w:r>
              <w:rPr>
                <w:rFonts w:ascii="Arial" w:cs="Arial" w:eastAsia="Arial" w:hAnsi="Arial"/>
                <w:sz w:val="18"/>
                <w:szCs w:val="18"/>
                <w:color w:val="auto"/>
              </w:rPr>
              <w:t>(4)</w:t>
            </w:r>
          </w:p>
        </w:tc>
        <w:tc>
          <w:tcPr>
            <w:tcW w:w="2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Tom E. Maxwell</w:t>
            </w:r>
          </w:p>
        </w:tc>
        <w:tc>
          <w:tcPr>
            <w:tcW w:w="22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26,529</w:t>
            </w:r>
          </w:p>
        </w:tc>
        <w:tc>
          <w:tcPr>
            <w:tcW w:w="9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(4)</w:t>
            </w:r>
          </w:p>
        </w:tc>
        <w:tc>
          <w:tcPr>
            <w:tcW w:w="2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40" w:type="dxa"/>
            <w:vAlign w:val="bottom"/>
            <w:gridSpan w:val="7"/>
          </w:tcPr>
          <w:p>
            <w:pPr>
              <w:ind w:left="40"/>
              <w:spacing w:after="0"/>
              <w:rPr>
                <w:sz w:val="20"/>
                <w:szCs w:val="20"/>
                <w:color w:val="auto"/>
              </w:rPr>
            </w:pPr>
            <w:r>
              <w:rPr>
                <w:rFonts w:ascii="Arial" w:cs="Arial" w:eastAsia="Arial" w:hAnsi="Arial"/>
                <w:sz w:val="18"/>
                <w:szCs w:val="18"/>
                <w:color w:val="auto"/>
              </w:rPr>
              <w:t>Jim W. Mogg</w:t>
            </w:r>
          </w:p>
        </w:tc>
        <w:tc>
          <w:tcPr>
            <w:tcW w:w="360" w:type="dxa"/>
            <w:vAlign w:val="bottom"/>
          </w:tcPr>
          <w:p>
            <w:pPr>
              <w:spacing w:after="0"/>
              <w:rPr>
                <w:sz w:val="21"/>
                <w:szCs w:val="21"/>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10"/>
              <w:spacing w:after="0"/>
              <w:rPr>
                <w:sz w:val="20"/>
                <w:szCs w:val="20"/>
                <w:color w:val="auto"/>
              </w:rPr>
            </w:pPr>
            <w:r>
              <w:rPr>
                <w:rFonts w:ascii="Arial" w:cs="Arial" w:eastAsia="Arial" w:hAnsi="Arial"/>
                <w:sz w:val="18"/>
                <w:szCs w:val="18"/>
                <w:color w:val="auto"/>
              </w:rPr>
              <w:t>(4)</w:t>
            </w:r>
          </w:p>
        </w:tc>
        <w:tc>
          <w:tcPr>
            <w:tcW w:w="2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James H. Miller</w:t>
            </w:r>
          </w:p>
        </w:tc>
        <w:tc>
          <w:tcPr>
            <w:tcW w:w="22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1,500</w:t>
            </w:r>
          </w:p>
        </w:tc>
        <w:tc>
          <w:tcPr>
            <w:tcW w:w="9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(4)</w:t>
            </w:r>
          </w:p>
        </w:tc>
        <w:tc>
          <w:tcPr>
            <w:tcW w:w="2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40" w:type="dxa"/>
            <w:vAlign w:val="bottom"/>
            <w:gridSpan w:val="7"/>
          </w:tcPr>
          <w:p>
            <w:pPr>
              <w:ind w:left="40"/>
              <w:spacing w:after="0"/>
              <w:rPr>
                <w:sz w:val="20"/>
                <w:szCs w:val="20"/>
                <w:color w:val="auto"/>
              </w:rPr>
            </w:pPr>
            <w:r>
              <w:rPr>
                <w:rFonts w:ascii="Arial" w:cs="Arial" w:eastAsia="Arial" w:hAnsi="Arial"/>
                <w:sz w:val="18"/>
                <w:szCs w:val="18"/>
                <w:color w:val="auto"/>
              </w:rPr>
              <w:t>John R. Hewitt</w:t>
            </w:r>
          </w:p>
        </w:tc>
        <w:tc>
          <w:tcPr>
            <w:tcW w:w="2280" w:type="dxa"/>
            <w:vAlign w:val="bottom"/>
            <w:gridSpan w:val="3"/>
          </w:tcPr>
          <w:p>
            <w:pPr>
              <w:jc w:val="right"/>
              <w:ind w:right="120"/>
              <w:spacing w:after="0"/>
              <w:rPr>
                <w:sz w:val="20"/>
                <w:szCs w:val="20"/>
                <w:color w:val="auto"/>
              </w:rPr>
            </w:pPr>
            <w:r>
              <w:rPr>
                <w:rFonts w:ascii="Arial" w:cs="Arial" w:eastAsia="Arial" w:hAnsi="Arial"/>
                <w:sz w:val="18"/>
                <w:szCs w:val="18"/>
                <w:color w:val="auto"/>
              </w:rPr>
              <w:t>79,063</w:t>
            </w:r>
          </w:p>
        </w:tc>
        <w:tc>
          <w:tcPr>
            <w:tcW w:w="940" w:type="dxa"/>
            <w:vAlign w:val="bottom"/>
          </w:tcPr>
          <w:p>
            <w:pPr>
              <w:jc w:val="right"/>
              <w:ind w:right="510"/>
              <w:spacing w:after="0"/>
              <w:rPr>
                <w:sz w:val="20"/>
                <w:szCs w:val="20"/>
                <w:color w:val="auto"/>
              </w:rPr>
            </w:pPr>
            <w:r>
              <w:rPr>
                <w:rFonts w:ascii="Arial" w:cs="Arial" w:eastAsia="Arial" w:hAnsi="Arial"/>
                <w:sz w:val="18"/>
                <w:szCs w:val="18"/>
                <w:color w:val="auto"/>
              </w:rPr>
              <w:t>(4)</w:t>
            </w:r>
          </w:p>
        </w:tc>
        <w:tc>
          <w:tcPr>
            <w:tcW w:w="2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Joseph F. Montalbano</w:t>
            </w:r>
          </w:p>
        </w:tc>
        <w:tc>
          <w:tcPr>
            <w:tcW w:w="22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44,844</w:t>
            </w:r>
          </w:p>
        </w:tc>
        <w:tc>
          <w:tcPr>
            <w:tcW w:w="9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(4)</w:t>
            </w:r>
          </w:p>
        </w:tc>
        <w:tc>
          <w:tcPr>
            <w:tcW w:w="2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40" w:type="dxa"/>
            <w:vAlign w:val="bottom"/>
            <w:gridSpan w:val="7"/>
          </w:tcPr>
          <w:p>
            <w:pPr>
              <w:ind w:left="40"/>
              <w:spacing w:after="0"/>
              <w:rPr>
                <w:sz w:val="20"/>
                <w:szCs w:val="20"/>
                <w:color w:val="auto"/>
              </w:rPr>
            </w:pPr>
            <w:r>
              <w:rPr>
                <w:rFonts w:ascii="Arial" w:cs="Arial" w:eastAsia="Arial" w:hAnsi="Arial"/>
                <w:sz w:val="18"/>
                <w:szCs w:val="18"/>
                <w:color w:val="auto"/>
              </w:rPr>
              <w:t>Kevin S. Cavanah</w:t>
            </w:r>
          </w:p>
        </w:tc>
        <w:tc>
          <w:tcPr>
            <w:tcW w:w="2280" w:type="dxa"/>
            <w:vAlign w:val="bottom"/>
            <w:gridSpan w:val="3"/>
          </w:tcPr>
          <w:p>
            <w:pPr>
              <w:jc w:val="right"/>
              <w:ind w:right="120"/>
              <w:spacing w:after="0"/>
              <w:rPr>
                <w:sz w:val="20"/>
                <w:szCs w:val="20"/>
                <w:color w:val="auto"/>
              </w:rPr>
            </w:pPr>
            <w:r>
              <w:rPr>
                <w:rFonts w:ascii="Arial" w:cs="Arial" w:eastAsia="Arial" w:hAnsi="Arial"/>
                <w:sz w:val="18"/>
                <w:szCs w:val="18"/>
                <w:color w:val="auto"/>
              </w:rPr>
              <w:t>59,713</w:t>
            </w:r>
          </w:p>
        </w:tc>
        <w:tc>
          <w:tcPr>
            <w:tcW w:w="940" w:type="dxa"/>
            <w:vAlign w:val="bottom"/>
          </w:tcPr>
          <w:p>
            <w:pPr>
              <w:jc w:val="right"/>
              <w:ind w:right="510"/>
              <w:spacing w:after="0"/>
              <w:rPr>
                <w:sz w:val="20"/>
                <w:szCs w:val="20"/>
                <w:color w:val="auto"/>
              </w:rPr>
            </w:pPr>
            <w:r>
              <w:rPr>
                <w:rFonts w:ascii="Arial" w:cs="Arial" w:eastAsia="Arial" w:hAnsi="Arial"/>
                <w:sz w:val="18"/>
                <w:szCs w:val="18"/>
                <w:color w:val="auto"/>
              </w:rPr>
              <w:t>(4)</w:t>
            </w:r>
          </w:p>
        </w:tc>
        <w:tc>
          <w:tcPr>
            <w:tcW w:w="2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James P. Ryan</w:t>
            </w:r>
          </w:p>
        </w:tc>
        <w:tc>
          <w:tcPr>
            <w:tcW w:w="22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60,635</w:t>
            </w:r>
          </w:p>
        </w:tc>
        <w:tc>
          <w:tcPr>
            <w:tcW w:w="9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(4)</w:t>
            </w:r>
          </w:p>
        </w:tc>
        <w:tc>
          <w:tcPr>
            <w:tcW w:w="2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40" w:type="dxa"/>
            <w:vAlign w:val="bottom"/>
            <w:gridSpan w:val="7"/>
          </w:tcPr>
          <w:p>
            <w:pPr>
              <w:ind w:left="40"/>
              <w:spacing w:after="0"/>
              <w:rPr>
                <w:sz w:val="20"/>
                <w:szCs w:val="20"/>
                <w:color w:val="auto"/>
              </w:rPr>
            </w:pPr>
            <w:r>
              <w:rPr>
                <w:rFonts w:ascii="Arial" w:cs="Arial" w:eastAsia="Arial" w:hAnsi="Arial"/>
                <w:sz w:val="18"/>
                <w:szCs w:val="18"/>
                <w:color w:val="auto"/>
              </w:rPr>
              <w:t>Jason Turner</w:t>
            </w:r>
          </w:p>
        </w:tc>
        <w:tc>
          <w:tcPr>
            <w:tcW w:w="2280" w:type="dxa"/>
            <w:vAlign w:val="bottom"/>
            <w:gridSpan w:val="3"/>
          </w:tcPr>
          <w:p>
            <w:pPr>
              <w:jc w:val="right"/>
              <w:ind w:right="120"/>
              <w:spacing w:after="0"/>
              <w:rPr>
                <w:sz w:val="20"/>
                <w:szCs w:val="20"/>
                <w:color w:val="auto"/>
              </w:rPr>
            </w:pPr>
            <w:r>
              <w:rPr>
                <w:rFonts w:ascii="Arial" w:cs="Arial" w:eastAsia="Arial" w:hAnsi="Arial"/>
                <w:sz w:val="18"/>
                <w:szCs w:val="18"/>
                <w:color w:val="auto"/>
              </w:rPr>
              <w:t>14,832</w:t>
            </w:r>
          </w:p>
        </w:tc>
        <w:tc>
          <w:tcPr>
            <w:tcW w:w="940" w:type="dxa"/>
            <w:vAlign w:val="bottom"/>
          </w:tcPr>
          <w:p>
            <w:pPr>
              <w:jc w:val="right"/>
              <w:ind w:right="510"/>
              <w:spacing w:after="0"/>
              <w:rPr>
                <w:sz w:val="20"/>
                <w:szCs w:val="20"/>
                <w:color w:val="auto"/>
              </w:rPr>
            </w:pPr>
            <w:r>
              <w:rPr>
                <w:rFonts w:ascii="Arial" w:cs="Arial" w:eastAsia="Arial" w:hAnsi="Arial"/>
                <w:sz w:val="18"/>
                <w:szCs w:val="18"/>
                <w:color w:val="auto"/>
              </w:rPr>
              <w:t>(4)</w:t>
            </w:r>
          </w:p>
        </w:tc>
        <w:tc>
          <w:tcPr>
            <w:tcW w:w="2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14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w w:val="97"/>
              </w:rPr>
              <w:t>All directors, director nominees and executive officers as a group (13 persons)</w:t>
            </w:r>
          </w:p>
        </w:tc>
        <w:tc>
          <w:tcPr>
            <w:tcW w:w="2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415,271</w:t>
            </w:r>
          </w:p>
        </w:tc>
        <w:tc>
          <w:tcPr>
            <w:tcW w:w="9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w:t>
            </w:r>
          </w:p>
        </w:tc>
        <w:tc>
          <w:tcPr>
            <w:tcW w:w="2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Indicates ownership of less than one percent of the outstanding shares of common stock.</w:t>
      </w:r>
    </w:p>
    <w:p>
      <w:pPr>
        <w:spacing w:after="0" w:line="122" w:lineRule="exact"/>
        <w:rPr>
          <w:sz w:val="20"/>
          <w:szCs w:val="20"/>
          <w:color w:val="auto"/>
        </w:rPr>
      </w:pPr>
    </w:p>
    <w:p>
      <w:pPr>
        <w:jc w:val="both"/>
        <w:ind w:left="540" w:right="340" w:hanging="316"/>
        <w:spacing w:after="0" w:line="286" w:lineRule="auto"/>
        <w:tabs>
          <w:tab w:leader="none" w:pos="5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Shares of common stock which were not outstanding but which could be acquired by an executive officer upon exercise of an option within 60 days of August 31, 2015 are deemed outstanding for the purpose of computing the percentage of outstanding shares beneficially owned by such person. Such shares, however, are not deemed to be outstanding for the purpose of computing the percentage of outstanding shares beneficially owned by any other person.</w:t>
      </w:r>
    </w:p>
    <w:p>
      <w:pPr>
        <w:spacing w:after="0" w:line="4" w:lineRule="exact"/>
        <w:rPr>
          <w:rFonts w:ascii="Arial" w:cs="Arial" w:eastAsia="Arial" w:hAnsi="Arial"/>
          <w:sz w:val="15"/>
          <w:szCs w:val="15"/>
          <w:color w:val="auto"/>
        </w:rPr>
      </w:pPr>
    </w:p>
    <w:p>
      <w:pPr>
        <w:ind w:left="540" w:right="500" w:hanging="316"/>
        <w:spacing w:after="0" w:line="275"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Information is as of April 30, 2015 and is based on the Schedule 13G/A dated May 5, 2015 filed by Royce &amp; Associates, LLC. (“Royce”). Royce is a registered investment advisor. Royce has sole voting and dispositive power over all of the shares shown.</w:t>
      </w:r>
    </w:p>
    <w:p>
      <w:pPr>
        <w:spacing w:after="0" w:line="10" w:lineRule="exact"/>
        <w:rPr>
          <w:rFonts w:ascii="Arial" w:cs="Arial" w:eastAsia="Arial" w:hAnsi="Arial"/>
          <w:sz w:val="16"/>
          <w:szCs w:val="16"/>
          <w:color w:val="auto"/>
        </w:rPr>
      </w:pPr>
    </w:p>
    <w:p>
      <w:pPr>
        <w:jc w:val="both"/>
        <w:ind w:left="540" w:right="240" w:hanging="316"/>
        <w:spacing w:after="0" w:line="261"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Information is as of December 31, 2014 and is based on the Schedule 13G /A dated January 9, 2015 filed by BlackRock, Inc. (“BlackRock”). BlackRock is a parent holding company or control person in accordance with Rule 13d-1(b)(1)(ii)(G). BlackRock has sole voting power over 2,727,488 shares and sole dispositive power overall of the shares shown.</w:t>
      </w:r>
    </w:p>
    <w:p>
      <w:pPr>
        <w:spacing w:after="0" w:line="20" w:lineRule="exact"/>
        <w:rPr>
          <w:rFonts w:ascii="Arial" w:cs="Arial" w:eastAsia="Arial" w:hAnsi="Arial"/>
          <w:sz w:val="16"/>
          <w:szCs w:val="16"/>
          <w:color w:val="auto"/>
        </w:rPr>
      </w:pPr>
    </w:p>
    <w:p>
      <w:pPr>
        <w:ind w:left="540" w:right="40" w:hanging="316"/>
        <w:spacing w:after="0" w:line="278" w:lineRule="auto"/>
        <w:tabs>
          <w:tab w:leader="none" w:pos="5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Includes the following shares of common stock that are issuable upon the exercise of stock options that are currently exercisable or are exercisable within 60 days after August 31, 2015: Mr. Hendrix – 5,000 shares; Mr. Cavanah – 20,850 shares; Mr. Montalbano - 21,050 shares; Mr. Ryan - 9,813 shares; Mr. Turner - 8,000 shares; 13 directors and executive officers as a group – 74,587 shares. Also includes the following shares that are issuable upon the vesting of RSUs if the RSUs vest within 60 days of August 31, 2015: 13 directors and executive officers as a group – 1,000 shares for Mr. Bennett.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Guidelines</w:t>
      </w:r>
    </w:p>
    <w:p>
      <w:pPr>
        <w:spacing w:after="0" w:line="94"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The Board of Directors believes that our executive officers should demonstrate their commitment to and belief in the Company’s long-term profitability. Accordingly, each executive officer is expected to maintain a significant investment in the Company through the ownership of Company stock. Stock ownership more closely aligns our executive officers’ interests and actions with the interests of the Company’s stockholders.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Our Equity Ownership Guidelines, which were most recently revised in August 2011, are as follows:</w:t>
      </w:r>
    </w:p>
    <w:p>
      <w:pPr>
        <w:spacing w:after="0" w:line="225" w:lineRule="exact"/>
        <w:rPr>
          <w:sz w:val="20"/>
          <w:szCs w:val="20"/>
          <w:color w:val="auto"/>
        </w:rPr>
      </w:pPr>
    </w:p>
    <w:p>
      <w:pPr>
        <w:ind w:left="540" w:right="500" w:hanging="316"/>
        <w:spacing w:after="0" w:line="277"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 of Ownership – Defined as a multiple of the individual’s base salary as noted below. These multiples represent the minimum amount of Company stock an executive officer should seek to acquire and maintain.</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520" w:type="dxa"/>
        <w:tblCellMar>
          <w:top w:w="0" w:type="dxa"/>
          <w:left w:w="0" w:type="dxa"/>
          <w:bottom w:w="0" w:type="dxa"/>
          <w:right w:w="0" w:type="dxa"/>
        </w:tblCellMar>
      </w:tblPr>
      <w:tr>
        <w:trPr>
          <w:trHeight w:val="27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President/CEO</w:t>
            </w:r>
          </w:p>
        </w:tc>
        <w:tc>
          <w:tcPr>
            <w:tcW w:w="28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5 times base salary</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CFO/COO/Presidents of the two principal operating subsidiaries</w:t>
            </w:r>
          </w:p>
        </w:tc>
        <w:tc>
          <w:tcPr>
            <w:tcW w:w="2840" w:type="dxa"/>
            <w:vAlign w:val="bottom"/>
          </w:tcPr>
          <w:p>
            <w:pPr>
              <w:ind w:left="1160"/>
              <w:spacing w:after="0"/>
              <w:rPr>
                <w:sz w:val="20"/>
                <w:szCs w:val="20"/>
                <w:color w:val="auto"/>
              </w:rPr>
            </w:pPr>
            <w:r>
              <w:rPr>
                <w:rFonts w:ascii="Arial" w:cs="Arial" w:eastAsia="Arial" w:hAnsi="Arial"/>
                <w:sz w:val="18"/>
                <w:szCs w:val="18"/>
                <w:color w:val="auto"/>
              </w:rPr>
              <w:t>3 times base salary</w:t>
            </w:r>
          </w:p>
        </w:tc>
      </w:tr>
      <w:tr>
        <w:trPr>
          <w:trHeight w:val="27"/>
        </w:trPr>
        <w:tc>
          <w:tcPr>
            <w:tcW w:w="58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4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 executive officers</w:t>
            </w:r>
          </w:p>
        </w:tc>
        <w:tc>
          <w:tcPr>
            <w:tcW w:w="28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 times base salary</w:t>
            </w:r>
          </w:p>
        </w:tc>
      </w:tr>
      <w:tr>
        <w:trPr>
          <w:trHeight w:val="27"/>
        </w:trPr>
        <w:tc>
          <w:tcPr>
            <w:tcW w:w="586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ind w:left="540" w:right="120" w:hanging="316"/>
        <w:spacing w:after="0" w:line="264"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Timing: The executive officers have until the later of August 2016 or five years after the date of their appointment as an executive officer to acquire the ownership levels discussed above. Thereafter, they are expected to retain this level of ownership during their tenure with the Company. Compliance will be evaluated on an annual basis as of June 30 of each year.</w:t>
      </w:r>
    </w:p>
    <w:p>
      <w:pPr>
        <w:spacing w:after="0" w:line="181" w:lineRule="exact"/>
        <w:rPr>
          <w:rFonts w:ascii="Arial" w:cs="Arial" w:eastAsia="Arial" w:hAnsi="Arial"/>
          <w:sz w:val="18"/>
          <w:szCs w:val="18"/>
          <w:color w:val="auto"/>
        </w:rPr>
      </w:pPr>
    </w:p>
    <w:p>
      <w:pPr>
        <w:ind w:left="540" w:hanging="316"/>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Eligible Forms of Equity:</w:t>
      </w:r>
    </w:p>
    <w:p>
      <w:pPr>
        <w:spacing w:after="0" w:line="23" w:lineRule="exact"/>
        <w:rPr>
          <w:rFonts w:ascii="Arial" w:cs="Arial" w:eastAsia="Arial" w:hAnsi="Arial"/>
          <w:sz w:val="18"/>
          <w:szCs w:val="18"/>
          <w:color w:val="auto"/>
        </w:rPr>
      </w:pPr>
    </w:p>
    <w:p>
      <w:pPr>
        <w:ind w:left="920" w:right="20" w:hanging="331"/>
        <w:spacing w:after="0" w:line="250" w:lineRule="auto"/>
        <w:tabs>
          <w:tab w:leader="none" w:pos="9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shares owned separately by the executive officer or owned either jointly with, or separately by, his or her immediate family members residing in the same household;</w:t>
      </w:r>
    </w:p>
    <w:p>
      <w:pPr>
        <w:ind w:left="920" w:hanging="331"/>
        <w:spacing w:after="0"/>
        <w:tabs>
          <w:tab w:leader="none" w:pos="9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shares held in trust for the benefit of the executive officer or immediate family members;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shares purchased in the open market;</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shares purchased through the Company’s Employee Stock Purchase Plan;</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vested and unvested time-based restricted stock or restricted stock units;</w:t>
      </w:r>
    </w:p>
    <w:p>
      <w:pPr>
        <w:spacing w:after="0" w:line="9" w:lineRule="exact"/>
        <w:rPr>
          <w:rFonts w:ascii="Arial" w:cs="Arial" w:eastAsia="Arial" w:hAnsi="Arial"/>
          <w:sz w:val="18"/>
          <w:szCs w:val="18"/>
          <w:color w:val="auto"/>
        </w:rPr>
      </w:pPr>
    </w:p>
    <w:p>
      <w:pPr>
        <w:ind w:left="920" w:hanging="331"/>
        <w:spacing w:after="0" w:line="250" w:lineRule="auto"/>
        <w:tabs>
          <w:tab w:leader="none" w:pos="9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unvested performance or market based restricted stock or restricted stock units but only to the extent that the Company recognizes compensation expense with respect to such restricted stock or restricted stock units; and</w:t>
      </w:r>
    </w:p>
    <w:p>
      <w:pPr>
        <w:ind w:left="920" w:hanging="331"/>
        <w:spacing w:after="0"/>
        <w:tabs>
          <w:tab w:leader="none" w:pos="9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in-the-money value of vested and unexercised stock options.</w:t>
      </w:r>
    </w:p>
    <w:p>
      <w:pPr>
        <w:spacing w:after="0" w:line="1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All of our executive officers have met the equity ownership guidelines as of June 30, 2015, with the exception of Mr. Turner and Mr. Bennett. Mr. Turner, who was promoted to President of Matrix North American Construction, Inc. in December 2013, will have until December 2018 to comply with the guidelines. Mr. Bennett, who was appointed as Vice President and Chief Information Officer in October of 2014, will have until October of 2019 to comply with the guidelines.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Section 16(a) of the Securities Exchange Act of 1934, as amended, requires the Company’s directors and executive officers, and persons who own more than 10% of the Company’s common stock, to report their initial ownership of the common stock and any subsequent changes in ownership of the common stock with the SEC and NASDAQ and to furnish the Company with a copy of each such report.</w:t>
      </w:r>
    </w:p>
    <w:p>
      <w:pPr>
        <w:spacing w:after="0" w:line="12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To the Company’s knowledge, based solely on the Company’s review of the copies of such reports received by the Company and on written representations by certain reporting persons that no other reports were required during and with respect to fiscal 2015, all Section 16(a) filing requirements applicable to its executive officers and directors, and 10% stockholders were complied with on a timely basis.</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20"/>
          </w:cols>
          <w:pgMar w:left="24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provides information concerning the Company’s common stock that may be issued upon the exercise of options, warrants and rights under our existing equity compensation plans as of June 30, 2015.</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Plan Category</w:t>
      </w:r>
    </w:p>
    <w:p>
      <w:pPr>
        <w:spacing w:after="0" w:line="316" w:lineRule="exact"/>
        <w:rPr>
          <w:sz w:val="20"/>
          <w:szCs w:val="20"/>
          <w:color w:val="auto"/>
        </w:rPr>
      </w:pPr>
    </w:p>
    <w:p>
      <w:pPr>
        <w:ind w:left="40" w:right="1700"/>
        <w:spacing w:after="0" w:line="418" w:lineRule="auto"/>
        <w:rPr>
          <w:sz w:val="20"/>
          <w:szCs w:val="20"/>
          <w:color w:val="auto"/>
        </w:rPr>
      </w:pPr>
      <w:r>
        <w:rPr>
          <w:rFonts w:ascii="Arial" w:cs="Arial" w:eastAsia="Arial" w:hAnsi="Arial"/>
          <w:sz w:val="14"/>
          <w:szCs w:val="14"/>
          <w:color w:val="auto"/>
        </w:rPr>
        <w:t>Equity compensation plans approved by stockholders Equity compensation plans not approved by stockholders Total</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remaining available for</w:t>
            </w:r>
          </w:p>
        </w:tc>
        <w:tc>
          <w:tcPr>
            <w:tcW w:w="0" w:type="dxa"/>
            <w:vAlign w:val="bottom"/>
          </w:tcPr>
          <w:p>
            <w:pPr>
              <w:spacing w:after="0"/>
              <w:rPr>
                <w:sz w:val="1"/>
                <w:szCs w:val="1"/>
                <w:color w:val="auto"/>
              </w:rPr>
            </w:pPr>
          </w:p>
        </w:tc>
      </w:tr>
      <w:tr>
        <w:trPr>
          <w:trHeight w:val="149"/>
        </w:trPr>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Number of securities to</w:t>
            </w:r>
          </w:p>
        </w:tc>
        <w:tc>
          <w:tcPr>
            <w:tcW w:w="120" w:type="dxa"/>
            <w:vAlign w:val="bottom"/>
          </w:tcPr>
          <w:p>
            <w:pPr>
              <w:spacing w:after="0"/>
              <w:rPr>
                <w:sz w:val="12"/>
                <w:szCs w:val="12"/>
                <w:color w:val="auto"/>
              </w:rPr>
            </w:pPr>
          </w:p>
        </w:tc>
        <w:tc>
          <w:tcPr>
            <w:tcW w:w="1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Weighted-average</w:t>
            </w:r>
          </w:p>
        </w:tc>
        <w:tc>
          <w:tcPr>
            <w:tcW w:w="1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1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9"/>
        </w:trPr>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be issued upon exercise</w:t>
            </w:r>
          </w:p>
        </w:tc>
        <w:tc>
          <w:tcPr>
            <w:tcW w:w="120" w:type="dxa"/>
            <w:vAlign w:val="bottom"/>
          </w:tcPr>
          <w:p>
            <w:pPr>
              <w:spacing w:after="0"/>
              <w:rPr>
                <w:sz w:val="12"/>
                <w:szCs w:val="12"/>
                <w:color w:val="auto"/>
              </w:rPr>
            </w:pP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120" w:type="dxa"/>
            <w:vAlign w:val="bottom"/>
          </w:tcPr>
          <w:p>
            <w:pPr>
              <w:spacing w:after="0"/>
              <w:rPr>
                <w:sz w:val="12"/>
                <w:szCs w:val="12"/>
                <w:color w:val="auto"/>
              </w:rPr>
            </w:pP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warrants and rights (1)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warrants and rights (2)</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column (a))</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21"/>
                <w:szCs w:val="21"/>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w:t>
            </w:r>
          </w:p>
        </w:tc>
        <w:tc>
          <w:tcPr>
            <w:tcW w:w="1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70"/>
        </w:trPr>
        <w:tc>
          <w:tcPr>
            <w:tcW w:w="1720" w:type="dxa"/>
            <w:vAlign w:val="bottom"/>
          </w:tcPr>
          <w:p>
            <w:pPr>
              <w:jc w:val="right"/>
              <w:ind w:right="48"/>
              <w:spacing w:after="0"/>
              <w:rPr>
                <w:sz w:val="20"/>
                <w:szCs w:val="20"/>
                <w:color w:val="auto"/>
              </w:rPr>
            </w:pPr>
            <w:r>
              <w:rPr>
                <w:rFonts w:ascii="Arial" w:cs="Arial" w:eastAsia="Arial" w:hAnsi="Arial"/>
                <w:sz w:val="14"/>
                <w:szCs w:val="14"/>
                <w:color w:val="auto"/>
              </w:rPr>
              <w:t>1,180,368</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ind w:left="1220"/>
              <w:spacing w:after="0"/>
              <w:rPr>
                <w:sz w:val="20"/>
                <w:szCs w:val="20"/>
                <w:color w:val="auto"/>
              </w:rPr>
            </w:pPr>
            <w:r>
              <w:rPr>
                <w:rFonts w:ascii="Arial" w:cs="Arial" w:eastAsia="Arial" w:hAnsi="Arial"/>
                <w:sz w:val="14"/>
                <w:szCs w:val="14"/>
                <w:color w:val="auto"/>
              </w:rPr>
              <w:t>9.90</w:t>
            </w:r>
          </w:p>
        </w:tc>
        <w:tc>
          <w:tcPr>
            <w:tcW w:w="10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1,524,837</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122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24"/>
                <w:szCs w:val="24"/>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20" w:type="dxa"/>
            <w:vAlign w:val="bottom"/>
          </w:tcPr>
          <w:p>
            <w:pPr>
              <w:jc w:val="right"/>
              <w:ind w:right="48"/>
              <w:spacing w:after="0"/>
              <w:rPr>
                <w:sz w:val="20"/>
                <w:szCs w:val="20"/>
                <w:color w:val="auto"/>
              </w:rPr>
            </w:pPr>
            <w:r>
              <w:rPr>
                <w:rFonts w:ascii="Arial" w:cs="Arial" w:eastAsia="Arial" w:hAnsi="Arial"/>
                <w:sz w:val="14"/>
                <w:szCs w:val="14"/>
                <w:color w:val="auto"/>
              </w:rPr>
              <w:t>1,180,368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ind w:left="1220"/>
              <w:spacing w:after="0"/>
              <w:rPr>
                <w:sz w:val="20"/>
                <w:szCs w:val="20"/>
                <w:color w:val="auto"/>
              </w:rPr>
            </w:pPr>
            <w:r>
              <w:rPr>
                <w:rFonts w:ascii="Arial" w:cs="Arial" w:eastAsia="Arial" w:hAnsi="Arial"/>
                <w:sz w:val="14"/>
                <w:szCs w:val="14"/>
                <w:color w:val="auto"/>
              </w:rPr>
              <w:t>9.90</w:t>
            </w:r>
          </w:p>
        </w:tc>
        <w:tc>
          <w:tcPr>
            <w:tcW w:w="100" w:type="dxa"/>
            <w:vAlign w:val="bottom"/>
          </w:tcPr>
          <w:p>
            <w:pPr>
              <w:spacing w:after="0"/>
              <w:rPr>
                <w:sz w:val="21"/>
                <w:szCs w:val="21"/>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1,524,837  (3)</w:t>
            </w:r>
          </w:p>
        </w:tc>
        <w:tc>
          <w:tcPr>
            <w:tcW w:w="0" w:type="dxa"/>
            <w:vAlign w:val="bottom"/>
          </w:tcPr>
          <w:p>
            <w:pPr>
              <w:spacing w:after="0"/>
              <w:rPr>
                <w:sz w:val="1"/>
                <w:szCs w:val="1"/>
                <w:color w:val="auto"/>
              </w:rPr>
            </w:pPr>
          </w:p>
        </w:tc>
      </w:tr>
      <w:tr>
        <w:trPr>
          <w:trHeight w:val="20"/>
        </w:trPr>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-702310</wp:posOffset>
            </wp:positionV>
            <wp:extent cx="703199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-359410</wp:posOffset>
            </wp:positionV>
            <wp:extent cx="703199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1990" cy="171450"/>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5020" w:space="720"/>
            <w:col w:w="5640"/>
          </w:cols>
          <w:pgMar w:left="240" w:top="125" w:right="279" w:bottom="1440" w:gutter="0" w:footer="0" w:header="0"/>
          <w:type w:val="continuous"/>
        </w:sectPr>
      </w:pPr>
    </w:p>
    <w:p>
      <w:pPr>
        <w:ind w:left="540" w:right="120" w:hanging="316"/>
        <w:spacing w:after="0" w:line="258"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555,426 RSUs and 434,842 performance units, which have no exercise price. The amount included assumes that target level performance is achieved under outstanding performance units for which performance has not yet been determined.</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Excludes the shares issuable upon the vesting of RSUs and performance units for which there is no weighted-average price.</w:t>
      </w:r>
    </w:p>
    <w:p>
      <w:pPr>
        <w:spacing w:after="0" w:line="9" w:lineRule="exact"/>
        <w:rPr>
          <w:rFonts w:ascii="Arial" w:cs="Arial" w:eastAsia="Arial" w:hAnsi="Arial"/>
          <w:sz w:val="18"/>
          <w:szCs w:val="18"/>
          <w:color w:val="auto"/>
        </w:rPr>
      </w:pPr>
    </w:p>
    <w:p>
      <w:pPr>
        <w:ind w:left="540" w:right="60" w:hanging="316"/>
        <w:spacing w:after="0" w:line="255"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the total number of shares available for issuance under the Matrix Service Company 2012 Stock and Incentive Compensation Plan. Of the 1,524,837 shares available for issuance, all may be awarded as stock options, stock appreciation rights, restricted stock, restricted stock units, performance shares or performance units.</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PROPOSALS OF STOCKHOLDERS</w:t>
      </w:r>
    </w:p>
    <w:p>
      <w:pPr>
        <w:spacing w:after="0" w:line="175" w:lineRule="exact"/>
        <w:rPr>
          <w:sz w:val="20"/>
          <w:szCs w:val="20"/>
          <w:color w:val="auto"/>
        </w:rPr>
      </w:pPr>
    </w:p>
    <w:p>
      <w:pPr>
        <w:jc w:val="both"/>
        <w:ind w:right="480"/>
        <w:spacing w:after="0" w:line="342" w:lineRule="auto"/>
        <w:rPr>
          <w:sz w:val="20"/>
          <w:szCs w:val="20"/>
          <w:color w:val="auto"/>
        </w:rPr>
      </w:pPr>
      <w:r>
        <w:rPr>
          <w:rFonts w:ascii="Arial" w:cs="Arial" w:eastAsia="Arial" w:hAnsi="Arial"/>
          <w:sz w:val="16"/>
          <w:szCs w:val="16"/>
          <w:color w:val="auto"/>
        </w:rPr>
        <w:t>A proposal of a stockholder intended to be presented at the next annual meeting of stockholders must be received at the Company’s principal executive offices no later than June 11, 2016, if the proposal is to be considered for inclusion in the Company’s proxy statement and proxy card for such meeting.</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accordance with the Company’s Bylaws, any stockholder who intends to present a proposal at the Company’s 2015 Annual Meeting of Stockholders and has not sought inclusion of the proposal in the Company’s proxy statement and accompanying proxy pursuant to Rule 14a-8, must provide the Secretary of the Company with notice of such proposal in order for such proposal to be properly brought before the meeting, no later than eighty days prior to the date of the meeting; provided, however, that in the event that the date of such annual meeting is not publicly announced by the Company more than ninety days prior to the meeting, notice by the stockholder must be delivered to the Secretary of the Company not later than the close of business on the tenth day following the day on which public announcement of the date of such meeting is communicated to the stockholders.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5" w:right="27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That May Come Before the Annual Meeting</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Board of Directors knows of no matters other than those described in this proxy statement which will be brought before the Annual Meeting for a vote of the stockholders. If, however, any other matter requiring a vote of stockholders arises, the persons named in the accompanying proxy will vote thereon in accordance with their best judgment. The enclosed proxy confers discretionary authority to take action with respect to any additional matters that may come before the meeting.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Form 10-K</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 copy of the Company’s Annual Report on Form 10-K for the fiscal year ended June 30, 2015 (without exhibits or documents incorporated by reference) including any financial statements and schedules and exhibits thereto, may be obtained without charge by written request to Kevin S. Cavanah, Vice President Finance, Matrix Service Company, 5100 East Skelly Drive, Suite 500, Tulsa, Oklahoma 74135 or by visiting the “Investors Relations” section of the Company’s website at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Important Notice Regarding the Availability of Proxy Materials for the Stockholders Meeting to be held on November 12, 2015</w:t>
      </w:r>
    </w:p>
    <w:p>
      <w:pPr>
        <w:spacing w:after="0" w:line="167" w:lineRule="exact"/>
        <w:rPr>
          <w:sz w:val="20"/>
          <w:szCs w:val="20"/>
          <w:color w:val="auto"/>
        </w:rPr>
      </w:pPr>
    </w:p>
    <w:p>
      <w:pPr>
        <w:ind w:right="400"/>
        <w:spacing w:after="0" w:line="313" w:lineRule="auto"/>
        <w:rPr>
          <w:sz w:val="20"/>
          <w:szCs w:val="20"/>
          <w:color w:val="auto"/>
        </w:rPr>
      </w:pPr>
      <w:r>
        <w:rPr>
          <w:rFonts w:ascii="Arial" w:cs="Arial" w:eastAsia="Arial" w:hAnsi="Arial"/>
          <w:sz w:val="17"/>
          <w:szCs w:val="17"/>
          <w:b w:val="1"/>
          <w:bCs w:val="1"/>
          <w:color w:val="auto"/>
        </w:rPr>
        <w:t xml:space="preserve">Stockholders may view this proxy statement, our form of proxy and our 2015 Annual Report to Stockholders over the Internet by accessing our website at </w:t>
      </w:r>
      <w:r>
        <w:rPr>
          <w:rFonts w:ascii="Arial" w:cs="Arial" w:eastAsia="Arial" w:hAnsi="Arial"/>
          <w:sz w:val="17"/>
          <w:szCs w:val="17"/>
          <w:b w:val="1"/>
          <w:bCs w:val="1"/>
          <w:u w:val="single" w:color="auto"/>
          <w:color w:val="auto"/>
        </w:rPr>
        <w:t>matrixservicecompany.com</w:t>
      </w:r>
      <w:r>
        <w:rPr>
          <w:rFonts w:ascii="Arial" w:cs="Arial" w:eastAsia="Arial" w:hAnsi="Arial"/>
          <w:sz w:val="17"/>
          <w:szCs w:val="17"/>
          <w:color w:val="auto"/>
        </w:rPr>
        <w:t>.</w:t>
      </w:r>
      <w:r>
        <w:rPr>
          <w:rFonts w:ascii="Arial" w:cs="Arial" w:eastAsia="Arial" w:hAnsi="Arial"/>
          <w:sz w:val="17"/>
          <w:szCs w:val="17"/>
          <w:b w:val="1"/>
          <w:bCs w:val="1"/>
          <w:color w:val="auto"/>
        </w:rPr>
        <w:t xml:space="preserve"> Information on our website does not constitute a part of this proxy statement.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48895</wp:posOffset>
            </wp:positionV>
            <wp:extent cx="1758315"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5831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Secretary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October 9,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5848985" cy="65258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8985" cy="652589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5848985" cy="4227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48985" cy="4227830"/>
                    </a:xfrm>
                    <a:prstGeom prst="rect">
                      <a:avLst/>
                    </a:prstGeom>
                    <a:noFill/>
                  </pic:spPr>
                </pic:pic>
              </a:graphicData>
            </a:graphic>
          </wp:anchor>
        </w:drawing>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lvl w:ilvl="1">
      <w:lvlJc w:val="left"/>
      <w:lvlText w:val="(%2)"/>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amp;"/>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lvl w:ilvl="1">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decimal"/>
      <w:start w:val="1"/>
    </w:lvl>
    <w:lvl w:ilvl="1">
      <w:lvlJc w:val="left"/>
      <w:lvlText w:val="(%2)"/>
      <w:numFmt w:val="decimal"/>
      <w:start w:val="4"/>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lvl w:ilvl="1">
      <w:lvlJc w:val="left"/>
      <w:lvlText w:val="•"/>
      <w:numFmt w:val="bullet"/>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2019-12-06T05:32:51Z</dcterms:created>
  <dcterms:modified xsi:type="dcterms:W3CDTF">2019-12-06T05:32:51Z</dcterms:modified>
</cp:coreProperties>
</file>