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850080.xml.htm"/>
      <w:bookmarkStart w:id="1" w:name="kswkform4_17878500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PAYNE SHAWN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15333 JOHN F KENNEDY BOULEVARD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MATRIX SERVICE CO</w:t>
              </w:r>
            </w:hyperlink>
            <w:r>
              <w:rPr/>
              <w:t xml:space="preserve"> [ </w:t>
            </w:r>
            <w:r>
              <w:rPr>
                <w:rFonts w:ascii="Times;serif" w:hAnsi="Times;serif"/>
                <w:color w:val="0000FF"/>
                <w:sz w:val="24"/>
                <w:shd w:fill="FFFFFF" w:val="clear"/>
              </w:rPr>
              <w:t>MTRX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30,437</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132,616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30,437</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30,437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 each unit will entitle the reporting person to one share of Matrix Service Company Common Stock if and when the conditions of the restriction have been satisfied. For this grant, one-third will vest each year for the next three years on the anniversary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is the economic equivalent of one share of Matrix Service Company Common Stock. All Restricted Stock Units are settled solely in Cash when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unit will entitle the reporting person to the Cash equivalent of one share of Matrix Service Company Common Stock if and when the conditions of the restriction have been satisfied. For this grant, one-third will vest each year for the next three years on the anniversary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Shawn P. Payne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5698" TargetMode="External"/><Relationship Id="rId5" Type="http://schemas.openxmlformats.org/officeDocument/2006/relationships/hyperlink" Target="http://www.sec.gov/cgi-bin/browse-edgar?action=getcompany&amp;CIK=00008662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3772</Characters>
  <CharactersWithSpaces>4397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