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15"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400"/>
          </w:cols>
          <w:pgMar w:left="240" w:top="449" w:right="25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600"/>
          </w:cols>
          <w:pgMar w:left="240" w:top="449" w:right="25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84" w:lineRule="exact"/>
        <w:rPr>
          <w:sz w:val="24"/>
          <w:szCs w:val="24"/>
          <w:color w:val="auto"/>
        </w:rPr>
      </w:pPr>
    </w:p>
    <w:p>
      <w:pPr>
        <w:sectPr>
          <w:pgSz w:w="11900" w:h="16838" w:orient="portrait"/>
          <w:cols w:equalWidth="0" w:num="2">
            <w:col w:w="6420" w:space="720"/>
            <w:col w:w="4260"/>
          </w:cols>
          <w:pgMar w:left="240" w:top="449" w:right="2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500"/>
              <w:spacing w:after="0"/>
              <w:rPr>
                <w:sz w:val="20"/>
                <w:szCs w:val="20"/>
                <w:color w:val="auto"/>
              </w:rPr>
            </w:pPr>
            <w:r>
              <w:rPr>
                <w:rFonts w:ascii="Arial" w:cs="Arial" w:eastAsia="Arial" w:hAnsi="Arial"/>
                <w:sz w:val="18"/>
                <w:szCs w:val="18"/>
                <w:color w:val="auto"/>
              </w:rPr>
              <w:t>o</w:t>
            </w:r>
          </w:p>
        </w:tc>
        <w:tc>
          <w:tcPr>
            <w:tcW w:w="496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2"/>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60" w:type="dxa"/>
            <w:vAlign w:val="bottom"/>
          </w:tcPr>
          <w:p>
            <w:pPr>
              <w:ind w:left="500"/>
              <w:spacing w:after="0"/>
              <w:rPr>
                <w:sz w:val="20"/>
                <w:szCs w:val="20"/>
                <w:color w:val="auto"/>
              </w:rPr>
            </w:pPr>
            <w:r>
              <w:rPr>
                <w:rFonts w:ascii="Arial" w:cs="Arial" w:eastAsia="Arial" w:hAnsi="Arial"/>
                <w:sz w:val="18"/>
                <w:szCs w:val="18"/>
                <w:color w:val="auto"/>
              </w:rPr>
              <w:t>o</w:t>
            </w:r>
          </w:p>
        </w:tc>
        <w:tc>
          <w:tcPr>
            <w:tcW w:w="49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75" w:lineRule="exact"/>
        <w:rPr>
          <w:sz w:val="24"/>
          <w:szCs w:val="24"/>
          <w:color w:val="auto"/>
        </w:rPr>
      </w:pPr>
    </w:p>
    <w:p>
      <w:pPr>
        <w:jc w:val="both"/>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4"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2, 2017 there were 27,888,217 shares of the Company’s common stock, $0.01 par value per share, issued and 26,748,394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3"/>
          </w:tcPr>
          <w:p>
            <w:pPr>
              <w:ind w:left="28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0" w:type="dxa"/>
            <w:vAlign w:val="bottom"/>
            <w:gridSpan w:val="9"/>
          </w:tcPr>
          <w:p>
            <w:pPr>
              <w:jc w:val="center"/>
              <w:ind w:right="2360"/>
              <w:spacing w:after="0"/>
              <w:rPr>
                <w:sz w:val="20"/>
                <w:szCs w:val="20"/>
                <w:color w:val="auto"/>
              </w:rPr>
            </w:pPr>
            <w:r>
              <w:rPr>
                <w:rFonts w:ascii="Arial" w:cs="Arial" w:eastAsia="Arial" w:hAnsi="Arial"/>
                <w:sz w:val="18"/>
                <w:szCs w:val="18"/>
                <w:b w:val="1"/>
                <w:bCs w:val="1"/>
                <w:color w:val="auto"/>
              </w:rPr>
              <w:t>FINANCIAL INFORMATION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700" w:type="dxa"/>
            <w:vAlign w:val="bottom"/>
            <w:gridSpan w:val="12"/>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Income for the Three Months Ended September 30, 2017 and 2016</w:t>
              </w:r>
            </w:hyperlink>
          </w:p>
        </w:tc>
        <w:tc>
          <w:tcPr>
            <w:tcW w:w="1720" w:type="dxa"/>
            <w:vAlign w:val="bottom"/>
            <w:gridSpan w:val="4"/>
          </w:tcPr>
          <w:p>
            <w:pPr>
              <w:spacing w:after="0"/>
              <w:rPr>
                <w:sz w:val="24"/>
                <w:szCs w:val="24"/>
                <w:color w:val="auto"/>
              </w:rPr>
            </w:pPr>
          </w:p>
        </w:tc>
        <w:tc>
          <w:tcPr>
            <w:tcW w:w="520" w:type="dxa"/>
            <w:vAlign w:val="bottom"/>
            <w:gridSpan w:val="2"/>
          </w:tcPr>
          <w:p>
            <w:pPr>
              <w:jc w:val="center"/>
              <w:ind w:left="35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Condensed Consolidated Statements of Comprehensive Income for the Three Months Ended September 30, 2017 and 2016</w:t>
              </w:r>
            </w:hyperlink>
          </w:p>
        </w:tc>
        <w:tc>
          <w:tcPr>
            <w:tcW w:w="520" w:type="dxa"/>
            <w:vAlign w:val="bottom"/>
            <w:gridSpan w:val="2"/>
          </w:tcPr>
          <w:p>
            <w:pPr>
              <w:jc w:val="center"/>
              <w:ind w:left="35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gridSpan w:val="10"/>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as of September 30, 2017 and June 30, 2017</w:t>
              </w:r>
            </w:hyperlink>
          </w:p>
        </w:tc>
        <w:tc>
          <w:tcPr>
            <w:tcW w:w="268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520" w:type="dxa"/>
            <w:vAlign w:val="bottom"/>
            <w:gridSpan w:val="2"/>
          </w:tcPr>
          <w:p>
            <w:pPr>
              <w:jc w:val="center"/>
              <w:ind w:left="351"/>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for the Three Months Ended September 30, 2017 and 2016</w:t>
              </w:r>
            </w:hyperlink>
          </w:p>
        </w:tc>
        <w:tc>
          <w:tcPr>
            <w:tcW w:w="520" w:type="dxa"/>
            <w:vAlign w:val="bottom"/>
            <w:gridSpan w:val="2"/>
          </w:tcPr>
          <w:p>
            <w:pPr>
              <w:jc w:val="center"/>
              <w:ind w:left="351"/>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FF"/>
                <w:w w:val="92"/>
              </w:rPr>
            </w:pPr>
            <w:hyperlink w:anchor="page9">
              <w:r>
                <w:rPr>
                  <w:rFonts w:ascii="Arial" w:cs="Arial" w:eastAsia="Arial" w:hAnsi="Arial"/>
                  <w:sz w:val="18"/>
                  <w:szCs w:val="18"/>
                  <w:color w:val="0000FF"/>
                  <w:w w:val="92"/>
                </w:rPr>
                <w:t>Condensed Consolidated Statements of Changes in Stockholders’ Equity for the Three Months Ended September 30, 2017 and</w:t>
              </w:r>
            </w:hyperlink>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top w:val="single" w:sz="8" w:color="0000FF"/>
            </w:tcBorders>
          </w:tcPr>
          <w:p>
            <w:pPr>
              <w:spacing w:after="0" w:line="196" w:lineRule="exact"/>
              <w:rPr>
                <w:rFonts w:ascii="Arial" w:cs="Arial" w:eastAsia="Arial" w:hAnsi="Arial"/>
                <w:sz w:val="18"/>
                <w:szCs w:val="18"/>
                <w:color w:val="0000FF"/>
                <w:w w:val="84"/>
              </w:rPr>
            </w:pPr>
            <w:hyperlink w:anchor="page9">
              <w:r>
                <w:rPr>
                  <w:rFonts w:ascii="Arial" w:cs="Arial" w:eastAsia="Arial" w:hAnsi="Arial"/>
                  <w:sz w:val="18"/>
                  <w:szCs w:val="18"/>
                  <w:color w:val="0000FF"/>
                  <w:w w:val="84"/>
                </w:rPr>
                <w:t>2016</w:t>
              </w:r>
            </w:hyperlink>
          </w:p>
        </w:tc>
        <w:tc>
          <w:tcPr>
            <w:tcW w:w="2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tcPr>
          <w:p>
            <w:pPr>
              <w:jc w:val="center"/>
              <w:ind w:left="351"/>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8"/>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5420" w:type="dxa"/>
            <w:vAlign w:val="bottom"/>
            <w:gridSpan w:val="8"/>
          </w:tcPr>
          <w:p>
            <w:pPr>
              <w:spacing w:after="0"/>
              <w:rPr>
                <w:sz w:val="24"/>
                <w:szCs w:val="24"/>
                <w:color w:val="auto"/>
              </w:rPr>
            </w:pPr>
          </w:p>
        </w:tc>
        <w:tc>
          <w:tcPr>
            <w:tcW w:w="520" w:type="dxa"/>
            <w:vAlign w:val="bottom"/>
            <w:gridSpan w:val="2"/>
          </w:tcPr>
          <w:p>
            <w:pPr>
              <w:jc w:val="center"/>
              <w:ind w:left="351"/>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6"/>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520" w:type="dxa"/>
            <w:vAlign w:val="bottom"/>
            <w:gridSpan w:val="2"/>
          </w:tcPr>
          <w:p>
            <w:pPr>
              <w:jc w:val="center"/>
              <w:ind w:left="251"/>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9"/>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2960" w:type="dxa"/>
            <w:vAlign w:val="bottom"/>
            <w:gridSpan w:val="5"/>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60" w:type="dxa"/>
            <w:vAlign w:val="bottom"/>
            <w:tcBorders>
              <w:left w:val="single" w:sz="8" w:color="0000FF"/>
            </w:tcBorders>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5060" w:type="dxa"/>
            <w:vAlign w:val="bottom"/>
            <w:gridSpan w:val="7"/>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0" w:type="dxa"/>
            <w:vAlign w:val="bottom"/>
            <w:gridSpan w:val="9"/>
          </w:tcPr>
          <w:p>
            <w:pPr>
              <w:jc w:val="center"/>
              <w:ind w:right="2340"/>
              <w:spacing w:after="0"/>
              <w:rPr>
                <w:sz w:val="20"/>
                <w:szCs w:val="20"/>
                <w:color w:val="auto"/>
              </w:rPr>
            </w:pPr>
            <w:r>
              <w:rPr>
                <w:rFonts w:ascii="Arial" w:cs="Arial" w:eastAsia="Arial" w:hAnsi="Arial"/>
                <w:sz w:val="18"/>
                <w:szCs w:val="18"/>
                <w:b w:val="1"/>
                <w:bCs w:val="1"/>
                <w:color w:val="auto"/>
              </w:rPr>
              <w:t>OTHER INFORMATION</w:t>
            </w:r>
          </w:p>
        </w:tc>
        <w:tc>
          <w:tcPr>
            <w:tcW w:w="4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34">
              <w:r>
                <w:rPr>
                  <w:rFonts w:ascii="Arial" w:cs="Arial" w:eastAsia="Arial" w:hAnsi="Arial"/>
                  <w:sz w:val="18"/>
                  <w:szCs w:val="18"/>
                  <w:color w:val="0000FF"/>
                  <w:w w:val="85"/>
                </w:rPr>
                <w:t>Legal Proceedings</w:t>
              </w:r>
            </w:hyperlink>
          </w:p>
        </w:tc>
        <w:tc>
          <w:tcPr>
            <w:tcW w:w="8100" w:type="dxa"/>
            <w:vAlign w:val="bottom"/>
            <w:gridSpan w:val="12"/>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Risk Factors</w:t>
              </w:r>
            </w:hyperlink>
          </w:p>
        </w:tc>
        <w:tc>
          <w:tcPr>
            <w:tcW w:w="8100" w:type="dxa"/>
            <w:vAlign w:val="bottom"/>
            <w:gridSpan w:val="12"/>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9"/>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Unregistered Sales of Equity Securities and Use of Proceeds</w:t>
              </w:r>
            </w:hyperlink>
          </w:p>
        </w:tc>
        <w:tc>
          <w:tcPr>
            <w:tcW w:w="5060" w:type="dxa"/>
            <w:vAlign w:val="bottom"/>
            <w:gridSpan w:val="7"/>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Defaults Upon Senior Securities</w:t>
              </w:r>
            </w:hyperlink>
          </w:p>
        </w:tc>
        <w:tc>
          <w:tcPr>
            <w:tcW w:w="5060" w:type="dxa"/>
            <w:vAlign w:val="bottom"/>
            <w:gridSpan w:val="7"/>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10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100" w:type="dxa"/>
            <w:vAlign w:val="bottom"/>
            <w:gridSpan w:val="10"/>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640" w:type="dxa"/>
            <w:vAlign w:val="bottom"/>
            <w:gridSpan w:val="11"/>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8100" w:type="dxa"/>
            <w:vAlign w:val="bottom"/>
            <w:gridSpan w:val="12"/>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60"/>
          </w:cols>
          <w:pgMar w:left="240" w:top="341"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269,910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341,781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241,019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309,503</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32,278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21,570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17,977</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6,891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14,077</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9,342</w:t>
            </w:r>
          </w:p>
        </w:tc>
      </w:tr>
      <w:tr>
        <w:trPr>
          <w:trHeight w:val="67"/>
        </w:trPr>
        <w:tc>
          <w:tcPr>
            <w:tcW w:w="85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78"/>
        </w:trPr>
        <w:tc>
          <w:tcPr>
            <w:tcW w:w="8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0.35</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26,387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26,762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26,796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20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1"/>
              </w:rPr>
              <w:t>September 30,</w:t>
            </w:r>
          </w:p>
        </w:tc>
      </w:tr>
      <w:tr>
        <w:trPr>
          <w:trHeight w:val="192"/>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3,824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9,342</w:t>
            </w:r>
          </w:p>
        </w:tc>
      </w:tr>
      <w:tr>
        <w:trPr>
          <w:trHeight w:val="27"/>
        </w:trPr>
        <w:tc>
          <w:tcPr>
            <w:tcW w:w="8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Foreign currency translation gain (loss) (net of tax of $16 and $37 for the three months ended September 30,</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 and 2016, respectively)</w:t>
            </w: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4,931</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9,063</w:t>
            </w:r>
          </w:p>
        </w:tc>
      </w:tr>
      <w:tr>
        <w:trPr>
          <w:trHeight w:val="20"/>
        </w:trPr>
        <w:tc>
          <w:tcPr>
            <w:tcW w:w="8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43,805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less allowances (September 30, 2017— $9,889 and June 30, 2017—$9,887)</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218,678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210,953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65,953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91,180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3,737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8,991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4,913</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358,630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38,916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96,325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94,298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48,574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36,702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36,556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5,952</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224,528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224,296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(144,022)</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 - net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77,925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80,274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113,501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24,831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26,296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5,645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3,944</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572,454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586,030</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105,649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65,559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75,127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20,992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9,033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9,340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7,660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7,699</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199,520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218,976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44,682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435</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264,221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89"/>
              </w:rPr>
              <w:t>Common stock—$.01 par value; 60,000,000 shares authorized; 27,888,217 shares issued as of September 30, 2017,</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w w:val="93"/>
              </w:rPr>
              <w:t>and June 30, 2017; 26,727,975 and 26,600,562 shares outstanding as of September 30, 2017 and June 30, 2017</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128,419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226,798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222,974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(7,324)</w:t>
            </w:r>
          </w:p>
        </w:tc>
      </w:tr>
      <w:tr>
        <w:trPr>
          <w:trHeight w:val="237"/>
        </w:trPr>
        <w:tc>
          <w:tcPr>
            <w:tcW w:w="88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348,386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344,348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Less: Treasury stock, at cost — 1,160,242 shares as of September 30, 2017, and 1,287,655 shares as of June 30,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328,438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321,809</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572,454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586,030</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3,824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9,342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4,904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1,652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(40,595)</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25,227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Other assets and liabilities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(13,597)</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(used) by operating activities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6,830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(49,588)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asset sales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used by investing activities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w:t>
            </w: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Advances under senior revolving credit facility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24,890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27,186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senior 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Payment of debt amendment fees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Issuances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15,437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(36,077)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43,805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71,656</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46,085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35,579</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2,997</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238</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64"/>
        </w:trPr>
        <w:tc>
          <w:tcPr>
            <w:tcW w:w="880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2"/>
              </w:rPr>
              <w:t>Income(Loss)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128,419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222,974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321,809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3,824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Plan (7,121 shares)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deferred shares (163,201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obligations (42,909 shares)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2,086</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September 30,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127,526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226,798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(19,948)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(6,217)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328,438</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Balances, July 1, 2016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126,958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223,257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(26,907)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315,566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Retrospective adjustment upon adoption of ASU</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2016-09</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July 1, 2016, as adjusted</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127,058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223,157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(26,907)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(6,845)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315,566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9,342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(4,982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Exercise of stock options (4,400 shares)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deferred shares (335,295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obligations (113,762 shares)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(1,878)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September 30,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124,464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232,499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(24,410)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(7,124)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324,532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Accounting Policies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2017, included in the Company’s Annual Report on Form 10-K for the year then ended. The results of operations for the three month period ended September 30, 2017 may not necessarily be indicative of the results of operations for the full year ending June 30,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The ASU is effective for annual reporting periods beginning after December 15, 2017, including interim reporting periods within that reporting period. Early adoption is permitted on a limited basis.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is currently evaluating the impact of adopting the ASU on the Company's financial position, results of operations, cash flows and related disclosures. Adoption of this ASU is expected to affect the manner in which the Company determines the unit of account for its projects (i.e., performance obligations). Under existing guidance, the Company may have multiple performance obligations for large, complex projects. Upon adoption, the Company expects that similar projects may have fewer performance obligations, possibly just one in some cases, which will result in a more constant recognition of revenue and profit over the term of the project. In addition, management expects that profit could be recognized earlier for contract amounts related to unapproved change orders and claims. The Company will adopt this standard on July 1, 2018 using the modified retrospective method of application, which may result in a cumulative effect adjustment to retained earnings as of the date of adoption.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has completed its review of the new revenue standard and is currently reviewing its contracts in order to confirm its understanding of how the new standard will impact its revenue recognition policy, disclosures, processes and internal controls. At this time, we cannot reliably estimate the amount of any potential retrospective adjustment.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The ASU is effective for fiscal years beginning after December 15, 2018, including interim periods within those fiscal years. Early adoption is permitted, but we do not plan to do so at this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evaluating the ASU's expected impact on our financial statements. See Note 8 of Item 8. Financial Statements and Supplementary Data in our 2017 Form 10-K for more information about the timing and amount of future operating lease payments, which we believe is indicative of the materiality of adoption of the ASU to our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2017-09, Compensation-Stock Compensation (Topic 718): Scope of Modification Accounting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ASU 2017-09 is effective for interim and annual reporting periods beginning after December 15, 2017. Early adoption is permitted and prospective application is required. Management does not expect the adoption of ASU 2017-09 to have a material impact on the Company’s financial position,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Houston Interests, LLC</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12, 2016, the Company completed the acquisition of Houston Interests, LLC ("Houston Interests"), a premier global solutions company that provides consulting, engineering, design, construction services and systems integration. Houston Interests brings expertise to the Company in natural gas processing; sulfur recovery, processing and handling; liquid terminals, silos and other bulk storage; process plant design; power generation environmental controls and material handling; industrial power distribution; electrical, instrumentation and controls; marine structures; material handling systems and terminals for cement, sulfur, fertilizer, coal and grain; and process heaters. The business has been included in our Matrix PDM Engineering, Inc. subsidiary, and its operating results impact primarily the Oil Gas &amp; Chemical and Industrial segments.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purchased all of the equity interests of Houston Interests for $42.5 million in cash, net of working capital adjustments and cash acquired. The consideration paid is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equity interest</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paid for working capital</w:t>
            </w: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6,837</w:t>
            </w:r>
          </w:p>
        </w:tc>
      </w:tr>
      <w:tr>
        <w:trPr>
          <w:trHeight w:val="27"/>
        </w:trPr>
        <w:tc>
          <w:tcPr>
            <w:tcW w:w="9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cash acquired</w:t>
            </w:r>
          </w:p>
        </w:tc>
        <w:tc>
          <w:tcPr>
            <w:tcW w:w="7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(10,331)</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Net purchase price</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42,506</w:t>
            </w:r>
          </w:p>
        </w:tc>
      </w:tr>
      <w:tr>
        <w:trPr>
          <w:trHeight w:val="20"/>
        </w:trPr>
        <w:tc>
          <w:tcPr>
            <w:tcW w:w="9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funded the equity interest portion of the consideration paid from borrowings under the Company's senior secured revolving credit facility (See Note 5). The purchase of working capital was paid with cash on hand.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net purchase price was allocated to the major categories of assets and liabilities based on their estimated fair value at the acquisition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preliminary net purchase price allocation (in thousands):</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35"/>
        </w:trPr>
        <w:tc>
          <w:tcPr>
            <w:tcW w:w="9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10,273</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10,220</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68,112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2,475</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52,837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Less: cash acquired</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10,331</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42,506</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goodwill recognized from the acquisition is primarily attributable to the technical expertise of the acquired workforce and the complementary nature of Houston Interests' operations, which the Company believes will enable the combined entity to expand its service offerings and enter new markets. All of the goodwill recognized is deductible for income tax purposes. The fair value of the net assets acquired is preliminary pending the final valuation of those assets. As a result, goodwill is also preliminary since it has been recorded as the excess of the purchase price over the estimated fair value of the net assets acquired.</w:t>
      </w:r>
    </w:p>
    <w:p>
      <w:pPr>
        <w:spacing w:after="0" w:line="10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has agreed to pay the previous owners up to $2.6 million for any unused portion of acquired warranty obligations outstanding as of June 30, 2017. This agreement was settled for $1.7 million, which was paid in July 2017. This settlement was reflected as a decrease to the acquired current liabilities and an increase to the net purchase price.</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Matrix Service Company and Houston Interests for the three months ended September 30, 2017 and 2016, on a pro forma basis, as though the companies had been combined as of July 1, 2015. The pro forma financial information presented in the table below is for informational purposes only and is not indicative of the results of operations that would have been achieved if the acquisition had taken place at July 1, 2015 nor should it be taken as indicative of future consolidated results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3"/>
          </w:tcPr>
          <w:p>
            <w:pPr>
              <w:jc w:val="right"/>
              <w:ind w:right="1074"/>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40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September 30, 2017</w:t>
            </w: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September 30, 2016</w:t>
            </w:r>
          </w:p>
        </w:tc>
      </w:tr>
      <w:tr>
        <w:trPr>
          <w:trHeight w:val="243"/>
        </w:trPr>
        <w:tc>
          <w:tcPr>
            <w:tcW w:w="40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3"/>
          </w:tcPr>
          <w:p>
            <w:pPr>
              <w:jc w:val="right"/>
              <w:ind w:right="414"/>
              <w:spacing w:after="0"/>
              <w:rPr>
                <w:sz w:val="20"/>
                <w:szCs w:val="20"/>
                <w:color w:val="auto"/>
              </w:rPr>
            </w:pPr>
            <w:r>
              <w:rPr>
                <w:rFonts w:ascii="Arial" w:cs="Arial" w:eastAsia="Arial" w:hAnsi="Arial"/>
                <w:sz w:val="18"/>
                <w:szCs w:val="18"/>
                <w:color w:val="auto"/>
                <w:w w:val="97"/>
              </w:rPr>
              <w:t>(In thousands, except per share data)</w:t>
            </w:r>
          </w:p>
        </w:tc>
      </w:tr>
      <w:tr>
        <w:trPr>
          <w:trHeight w:val="27"/>
        </w:trPr>
        <w:tc>
          <w:tcPr>
            <w:tcW w:w="40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269,910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378,494</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3,824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10,788</w:t>
            </w:r>
          </w:p>
        </w:tc>
      </w:tr>
      <w:tr>
        <w:trPr>
          <w:trHeight w:val="27"/>
        </w:trPr>
        <w:tc>
          <w:tcPr>
            <w:tcW w:w="40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3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0.41</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3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0.40</w:t>
            </w:r>
          </w:p>
        </w:tc>
      </w:tr>
      <w:tr>
        <w:trPr>
          <w:trHeight w:val="486"/>
        </w:trPr>
        <w:tc>
          <w:tcPr>
            <w:tcW w:w="4080" w:type="dxa"/>
            <w:vAlign w:val="bottom"/>
          </w:tcPr>
          <w:p>
            <w:pPr>
              <w:spacing w:after="0"/>
              <w:rPr>
                <w:sz w:val="24"/>
                <w:szCs w:val="24"/>
                <w:color w:val="auto"/>
              </w:rPr>
            </w:pPr>
          </w:p>
        </w:tc>
        <w:tc>
          <w:tcPr>
            <w:tcW w:w="3700" w:type="dxa"/>
            <w:vAlign w:val="bottom"/>
          </w:tcPr>
          <w:p>
            <w:pPr>
              <w:jc w:val="right"/>
              <w:ind w:right="1810"/>
              <w:spacing w:after="0"/>
              <w:rPr>
                <w:sz w:val="20"/>
                <w:szCs w:val="20"/>
                <w:color w:val="auto"/>
              </w:rPr>
            </w:pPr>
            <w:r>
              <w:rPr>
                <w:rFonts w:ascii="Arial" w:cs="Arial" w:eastAsia="Arial" w:hAnsi="Arial"/>
                <w:sz w:val="18"/>
                <w:szCs w:val="18"/>
                <w:color w:val="auto"/>
              </w:rPr>
              <w:t>- 10-</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pro forma financial information presented in the table above includes the following adjustments to the combined entities' historical financial statements:</w:t>
      </w:r>
    </w:p>
    <w:p>
      <w:pPr>
        <w:spacing w:after="0" w:line="194"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earnings during the three months ended September 30, 2016 were adjusted to include $0.3 million of integration expenses that would have been recognized had the acquisition occurred on July 1, 2015.</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 forma earnings during the three months ended September 30, 2016 were adjusted to include $0.4 million of interest expense. The interest was attributable to the assumption that the Company's borrowings of $46.0 million used to fund the net purchase price had been outstanding as of July 1, 2015. This interest was partially offset by the assumption that Houston Interests' former debt was extinguished as of July 1, 2015.</w:t>
      </w:r>
    </w:p>
    <w:p>
      <w:pPr>
        <w:spacing w:after="0" w:line="11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earnings during the three months ended September 30, 2016 were adjusted to exclude $0.1 million of depreciation and intangible asset amortization expense. This adjustment is due to the recognition of amortizable intangible assets as part of the acquisition and the effect of fair value adjustments to acquired property, plant and equipment.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earnings during the three months ended September 30, 2016 were adjusted to include income tax expense of $1.9 million. Houston Interests was previously an exempt entity and income taxes were not assessed in its historical financial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1,451,623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1,919,054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1,451,229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1,903,001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16,053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in balance sheet as: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65,953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91,180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65,559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75,127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16,053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Progress billings in accounts receivable at September 30, 2017 and June 30, 2017 included retentions to be collected within one year of $43.7 million and $54.3 million, respectively. Contract retentions collectible beyond one year are included in other assets in the condensed consolidated balance sheet and totaled $3.5 million as of September 30, 2017 and $1.9 million as of June 30,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42,152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16,764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113,501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Translation adjustment (1)</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September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42,386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33,604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16,845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21,025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113,860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40" w:right="220" w:hanging="316"/>
        <w:spacing w:after="0" w:line="308"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389" w:lineRule="exact"/>
        <w:rPr>
          <w:rFonts w:ascii="Arial" w:cs="Arial" w:eastAsia="Arial" w:hAnsi="Arial"/>
          <w:sz w:val="17"/>
          <w:szCs w:val="17"/>
          <w:color w:val="auto"/>
        </w:rPr>
      </w:pPr>
    </w:p>
    <w:p>
      <w:pPr>
        <w:ind w:left="5660" w:hanging="115"/>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performed our annual goodwill impairment test as of May 31, 2017, which resulted in no impairment. However, the aggregate difference between the fair values of our reporting units and their carrying amounts decreased significantly since the previous year's test as a result of market conditions at that time. The fair value of one reporting unit (carrying value of goodwill of $8.0 million) only exceeded its carrying amount by 9%. The valuation model for this reporting unit assumed the award of a significant project prior to the end of the second fiscal quarter, with project work to commence shortly thereafter. This project award was subsequently obtained during the first fiscal quarter of 2018, which resolved the previous contingency. In addition, operating results for the Company during the three months ended September 30, 2017, including updated forecasts for the remainder of the year, do not indicate the existence of any goodwill impairment. The Company will continue to monitor its operating results and forecasts for indicators of impairment and perform additional tests as needed.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At September 30, 2017</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9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38,376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23,463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to 3</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44,038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24,831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2017</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9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38,207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24,664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to 3</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43,869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26,296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totaled $1.6 million and $0.8 million during the three months ended September 30, 2017 and September 30, 2016,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related to September 30, 2017 amortizing intangible assets will be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Period ending:</w:t>
            </w:r>
          </w:p>
        </w:tc>
        <w:tc>
          <w:tcPr>
            <w:tcW w:w="4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2018</w:t>
            </w:r>
          </w:p>
        </w:tc>
        <w:tc>
          <w:tcPr>
            <w:tcW w:w="4880" w:type="dxa"/>
            <w:vAlign w:val="bottom"/>
            <w:tcBorders>
              <w:bottom w:val="single" w:sz="8" w:color="CCEEFF"/>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Fiscal 2019</w:t>
            </w:r>
          </w:p>
        </w:tc>
        <w:tc>
          <w:tcPr>
            <w:tcW w:w="4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4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4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4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4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57"/>
        </w:trPr>
        <w:tc>
          <w:tcPr>
            <w:tcW w:w="5340" w:type="dxa"/>
            <w:vAlign w:val="bottom"/>
          </w:tcPr>
          <w:p>
            <w:pPr>
              <w:ind w:left="40"/>
              <w:spacing w:after="0"/>
              <w:rPr>
                <w:sz w:val="20"/>
                <w:szCs w:val="20"/>
                <w:color w:val="auto"/>
              </w:rPr>
            </w:pPr>
            <w:r>
              <w:rPr>
                <w:rFonts w:ascii="Arial" w:cs="Arial" w:eastAsia="Arial" w:hAnsi="Arial"/>
                <w:sz w:val="18"/>
                <w:szCs w:val="18"/>
                <w:color w:val="auto"/>
                <w:w w:val="92"/>
              </w:rPr>
              <w:t>Total estimated remaining amortization expense at September 30, 2017</w:t>
            </w:r>
          </w:p>
        </w:tc>
        <w:tc>
          <w:tcPr>
            <w:tcW w:w="414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24,831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140" w:type="dxa"/>
            <w:vAlign w:val="bottom"/>
            <w:vMerge w:val="restart"/>
          </w:tcPr>
          <w:p>
            <w:pPr>
              <w:jc w:val="right"/>
              <w:ind w:right="3510"/>
              <w:spacing w:after="0"/>
              <w:rPr>
                <w:sz w:val="20"/>
                <w:szCs w:val="20"/>
                <w:color w:val="auto"/>
              </w:rPr>
            </w:pPr>
            <w:r>
              <w:rPr>
                <w:rFonts w:ascii="Arial" w:cs="Arial" w:eastAsia="Arial" w:hAnsi="Arial"/>
                <w:sz w:val="18"/>
                <w:szCs w:val="18"/>
                <w:color w:val="auto"/>
              </w:rPr>
              <w:t>- 12-</w:t>
            </w: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 which replaced the Third Amended and Restated Credit Agreement dated as of November 7, 2011, as previously amended (the "Prior Credit Agreement").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which replaces the $250.0 million senior secured revolving credit facility under the Prior Credit Agreement. The new credit facility may be used for working capital, acquisitions, capital expenditures, issuances of letters of credit and other lawful purposes.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as described in the paragraph below for the August 31, 2017 amendment, the Credit Agreement includes the following covenants and borrowing limitations:</w:t>
      </w:r>
    </w:p>
    <w:p>
      <w:pPr>
        <w:spacing w:after="0" w:line="116" w:lineRule="exact"/>
        <w:rPr>
          <w:sz w:val="20"/>
          <w:szCs w:val="20"/>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300" w:hanging="48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with the Prior Credit Agreement, 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new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Credit Agreement includes a Senior Leverage Ratio covenant, which provides that Consolidated Funded Indebtedness, as of the end of any fiscal quarter, may not exceed 3.0 times Consolidated EBITDA, as defined in the Credit Agreement, over the previous four quarters. For the four quarters ended September 30, 2017, Consolidated EBITDA was $34.0 million. Consolidated Funded Indebtedness at September 30, 2017 was $50.2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On August 31, 2017, the Company entered in to an amendment to its Credit Agreement, which provided the following:</w:t>
      </w:r>
    </w:p>
    <w:p>
      <w:pPr>
        <w:spacing w:after="0" w:line="171"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maximum permitted Leverage Ratio was temporarily increased to 4.00 to 1.00 for the quarters ending September 30, 2017, and December 31, 2017. The maximum Leverage Ratio will revert back to 3.00 to 1.00 beginning with the quarter ending March 31, 2018.</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Fixed Charge Coverage Ratio will not be tested for the quarters ending September 30, 2017 and December 31, 2017, but will be in effect and tested quarterly thereafter beginning with the quarter ending March 31, 2018.</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new minimum Consolidated EBITDA covenant was added solely for the four-quarter period ending December 31, 2017. For this period, the Company is required to achieve Consolidated EBITDA of $15.0 million.</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Restricted Payments covenant was amended to restrict cash dividends and share repurchases during the period beginning August 31, 2017 and ending December 31, 2017 to an aggregate basket of $5.0 million. In addition, during such period, both cash dividends and share repurchases are prohibited unless the pro forma Leverage Ratio is less than or equal to 2.50 to 1.00. Thereafter, the restriction reverts back to limiting cash dividends to 50% of net income for each fiscal year, and limiting share repurchases to $30.0 million per calendar year.</w:t>
      </w:r>
    </w:p>
    <w:p>
      <w:pPr>
        <w:spacing w:after="0" w:line="117"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additional increased pricing tier was added for the "Covenant Relief Period" beginning on August 31, 2017 and ending on the date we deliver our financial statements and compliance certificate for the fiscal quarter ending December 31, 2017. If our Leverage Ratio as of any quarterly calculation date during the Covenant Relief Period exceeds 3.00 to 1.00: (1) the Applicable Margin on ABR loans will be 1.875%; (2) the Applicable Margin for Adjusted LIBO, EURIBO and CDOR will be 2.875%; (3) the Applicable Margin for Canadian Prime Rate loans will be 3.375%; and (4) the unused credit facility fee will be 0.50%.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revolving credit facility at September 30, 2017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revolving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164,084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169,092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135,916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130,908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42,076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44,682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8,133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revolving credit facility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85,707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78,401</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Outstanding borrowings at September 30, 2017 under our Credit Agreement were primarily used to fund the acquisition of Houston Interests (See Note 2) and working capital needs in our Canadian business due to the timing of collections and disbursements on the previously announced Electrical Infrastructure project.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the Company was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effective tax rate for the three months ended September 30, 2017 was 44.5% compared to 33.6% in the same period last year. The effective tax rate in fiscal 2018 was negatively impacted by a higher mix of projected income in the U.S., which is a higher tax jurisdiction than the Company's foreign operations. In addition, the fiscal 2018 effective tax rate was negatively affected by a stock compensation tax adjustment of $0.5 million. The effective tax rate in fiscal 2017 was positively impacted by the projection of a higher mix of income in Canada, which has a lower tax rate relative to the U.S. In addition, the fiscal 2017 effective tax rate benefited from a favorable stock compensation tax adjustment of $0.4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$12.4 million at September 30, 2017 and $11.0 million at June 30, 2017.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20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1"/>
        </w:trPr>
        <w:tc>
          <w:tcPr>
            <w:tcW w:w="8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4"/>
          </w:tcPr>
          <w:p>
            <w:pPr>
              <w:jc w:val="center"/>
              <w:ind w:right="56"/>
              <w:spacing w:after="0"/>
              <w:rPr>
                <w:sz w:val="20"/>
                <w:szCs w:val="20"/>
                <w:color w:val="auto"/>
              </w:rPr>
            </w:pPr>
            <w:r>
              <w:rPr>
                <w:rFonts w:ascii="Arial" w:cs="Arial" w:eastAsia="Arial" w:hAnsi="Arial"/>
                <w:sz w:val="13"/>
                <w:szCs w:val="13"/>
                <w:color w:val="auto"/>
                <w:w w:val="86"/>
              </w:rPr>
              <w:t>(In thousands, except per share data)</w:t>
            </w:r>
          </w:p>
        </w:tc>
        <w:tc>
          <w:tcPr>
            <w:tcW w:w="0" w:type="dxa"/>
            <w:vAlign w:val="bottom"/>
          </w:tcPr>
          <w:p>
            <w:pPr>
              <w:spacing w:after="0"/>
              <w:rPr>
                <w:sz w:val="1"/>
                <w:szCs w:val="1"/>
                <w:color w:val="auto"/>
              </w:rPr>
            </w:pPr>
          </w:p>
        </w:tc>
      </w:tr>
      <w:tr>
        <w:trPr>
          <w:trHeight w:val="258"/>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3,824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9,342</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26,655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26,387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26,655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26,387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26,762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26,796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w w:val="96"/>
              </w:rPr>
              <w:t>The following securities are considered antidilutive and have been excluded from the calculation of Diluted EPS: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20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center"/>
              <w:ind w:right="56"/>
              <w:spacing w:after="0"/>
              <w:rPr>
                <w:sz w:val="20"/>
                <w:szCs w:val="20"/>
                <w:color w:val="auto"/>
              </w:rPr>
            </w:pPr>
            <w:r>
              <w:rPr>
                <w:rFonts w:ascii="Arial" w:cs="Arial" w:eastAsia="Arial" w:hAnsi="Arial"/>
                <w:sz w:val="14"/>
                <w:szCs w:val="14"/>
                <w:color w:val="auto"/>
                <w:w w:val="91"/>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deferred shares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59"/>
        </w:trPr>
        <w:tc>
          <w:tcPr>
            <w:tcW w:w="8580" w:type="dxa"/>
            <w:vAlign w:val="bottom"/>
          </w:tcPr>
          <w:p>
            <w:pPr>
              <w:ind w:left="5540"/>
              <w:spacing w:after="0"/>
              <w:rPr>
                <w:sz w:val="20"/>
                <w:szCs w:val="20"/>
                <w:color w:val="auto"/>
              </w:rPr>
            </w:pPr>
            <w:r>
              <w:rPr>
                <w:rFonts w:ascii="Arial" w:cs="Arial" w:eastAsia="Arial" w:hAnsi="Arial"/>
                <w:sz w:val="18"/>
                <w:szCs w:val="18"/>
                <w:color w:val="auto"/>
              </w:rPr>
              <w:t>- 16-</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natural gas fired power stations, and renewable energy installations.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includes turnaround activities, plant maintenance, engineering and construction in the downstream and midstream petroleum industries. Our customers in these industries are engaged in refining crude oil and processing, fractionating, and marketing of natural gas and natural gas liquids. Another key offering is industrial cleaning services, which include hydroblasting, hydroexcavating, chemical cleaning and vacuum services. We also perform work in the petrochemical, upstream petroleum, and sulfur extraction, recovery and processing markets.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Industrial segment primarily includes construction and maintenance work in the iron and steel, mining and minerals, and agricultural industries. Our work in the mining and minerals industry is primarily for customers engaged in the extraction of copper. Our work in the agricultural industry includes the engineering and design of grain silos, docks and handling systems; the design of control system automation and materials handling for the food industry; and engineering, construction, process design and balance of plant work for fertilizer production facilities. We also perform work in bulk material handling, thermal vacuum chambers, and other industrial markets.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2017. Intersegment sales and transfers are recorded at cost; therefore, no intersegment profit or loss is recognized.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cash and cash equivalents,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center"/>
              <w:ind w:right="112"/>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79,971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88,025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37,828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71,572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199,650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22,727</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43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270,675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348,230</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4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inter-segment revenues</w:t>
            </w:r>
          </w:p>
        </w:tc>
        <w:tc>
          <w:tcPr>
            <w:tcW w:w="4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88,025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85,653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32,542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71,015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199,522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33,271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21,692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consolidated revenues</w:t>
            </w:r>
          </w:p>
        </w:tc>
        <w:tc>
          <w:tcPr>
            <w:tcW w:w="4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269,910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341,781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11,038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gross profit</w:t>
            </w:r>
          </w:p>
        </w:tc>
        <w:tc>
          <w:tcPr>
            <w:tcW w:w="4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28,891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32,278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4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16,773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4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14,301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Total assets by segment were as follows:</w:t>
            </w: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240" w:type="dxa"/>
            <w:vAlign w:val="bottom"/>
            <w:vMerge w:val="continue"/>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200" w:type="dxa"/>
            <w:vAlign w:val="bottom"/>
          </w:tcPr>
          <w:p>
            <w:pPr>
              <w:jc w:val="center"/>
              <w:ind w:right="112"/>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4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186,094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183,351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137,631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129,177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4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143,648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166,742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4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61,748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53,754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43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53,006</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436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572,454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586,030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340" w:type="dxa"/>
            <w:vAlign w:val="bottom"/>
            <w:vMerge w:val="restart"/>
          </w:tcPr>
          <w:p>
            <w:pPr>
              <w:jc w:val="right"/>
              <w:ind w:right="2610"/>
              <w:spacing w:after="0"/>
              <w:rPr>
                <w:sz w:val="20"/>
                <w:szCs w:val="20"/>
                <w:color w:val="auto"/>
              </w:rPr>
            </w:pPr>
            <w:r>
              <w:rPr>
                <w:rFonts w:ascii="Arial" w:cs="Arial" w:eastAsia="Arial" w:hAnsi="Arial"/>
                <w:sz w:val="18"/>
                <w:szCs w:val="18"/>
                <w:color w:val="auto"/>
              </w:rPr>
              <w:t>- 18-</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2017 Annual Report on Form 10-K filed with the SEC. For more information on our critical accounting policies, see Part II, Item 7 of our fiscal 2017 Annual Report on Form 10-K. The following section provides certain information with respect to our critical accounting estimates as of the close of our most recent quarterly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Matrix records revenue on fixed-price contracts on a percentage-of-completion basis, primarily based on costs incurred to date compared to the total estimated cost. The Company records revenue on cost-plus and time-and-material contracts on a proportional performance basis as costs are incurred. Contracts in process are valued at cost plus accrued profits less billings on uncompleted contracts. Contracts are generally considered substantially complete when field construction is completed. The elapsed time from award of a contract to completion of performance may be in excess of one year. Matrix includes pass-through revenue and costs on cost-plus contracts, which are customer-reimbursable materials, equipment and subcontractor costs, when Matrix determines that it is responsible for the procurement and management of such cost components.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Matrix has numerous contracts that are in various stages of completion, which require estimates to determine the appropriate cost and revenue recognition. The Company has a history of making reasonably dependable estimates of the extent of progress towards completion, contract revenues and contract costs, and accordingly, does not believe significant fluctuations are likely to materialize. However, current estimates may be revised as additional information becomes available. If estimates of costs to complete fixed-price contracts indicate a loss, a provision is made through a contract write-down for the total loss anticipated. A number of our contracts contain various cost and performance incentives and penalties that impact the earnings we realize from our contracts. Adjustments related to these incentives and penalties are recorded in the period on a percentage of completion basis when estimable and probable.</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Indirect costs, such as salaries and benefits, supplies and tools, equipment costs and insurance costs, are charged to projects based upon direct labor hours and overhead allocation rates per direct labor hour or a percentage of cost incurred. Warranty costs are normally incurred prior to project completion and are charged to project costs as they are incurred. Warranty costs incurred subsequent to project completion were not material for the periods presented. Overhead allocation rates are established annually during the budgeting process and evaluated for accuracy throughout the year based upon actual direct labor hours and actual costs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performed our annual impairment test in the fourth quarter of fiscal 2017 to determine whether an impairment existed and to determine the amount of headroom. We define "headroom" as the percentage difference between the fair value of a reporting unit and its carrying value. The amount of headroom varies by reporting unit. Approximately 37% of our goodwill balance at May 31, 2017 was attributable to one reporting unit. This unit had headroom of 24%. The remaining goodwill was attributable to nine reporting units, with headroom of between 7% and 172%. Management utilizes a discounted cash flow analysis, referred to as an income approach, and market multiples of EBITDA to determine the estimated fair value of our reporting units. Significant judgments and assumptions including forecasted project awards, discount rate, anticipated revenue growth rate, gross margins, operating expenses, working capital needs and capital expenditures are inherent in these fair value estimates, which are based on our operating and capital budgets and on our strategic plan. As a result, actual results may differ from the estimates utilized in our income approach. The use of alternate judgments and/or assumptions could result in a fair value that differs from our estimate and could result in the recognition of an impairment charge in the financial statements. As a result of these uncertainties, we utilize multiple scenarios and assign probabilities to each of the scenarios in the income approach. We also consider the combined carrying values of our reporting units to our market capitalization.</w:t>
      </w:r>
    </w:p>
    <w:p>
      <w:pPr>
        <w:spacing w:after="0" w:line="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performed our annual goodwill impairment test as of May 31, 2017, which resulted in no impairment. However, the aggregate difference between the fair values of our reporting units and their carrying amounts decreased significantly since the previous year's test as a result of market conditions at that time. The fair value of one reporting unit (carrying value of goodwill of $8.0 million) only exceeded its carrying amount by 9%. The valuation model for this reporting unit assumed the award of a significant project prior to the end of the second fiscal quarter, with project work to commence shortly thereafter. This project award was subsequently obtained during the first fiscal quarter of 2018, which resolved the previous contingency. In addition, operating results for the Company during the three months ended September 30, 2017, including updated forecasts for the remainder of the year, do not indicate the existence of any goodwill impairment. The Company will continue to monitor its operating results and forecasts for indicators of impairment and perform additional tests as needed.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that have finite useful lives are amortized by the straight-line method over their useful lives ranging from 1 to 15 years. The Company evaluates intangible assets with finite lives for impairment whenever events or circumstances indicate that the carrying value may not be recoverable. The Company did not observe any events or circumstances during the three months ended September 30, 2017 that would indicate that the carrying value of its intangible assets may not be recoverable.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$12.4 million at September 30, 2017 and $11.0 million at June 30, 2017. The amounts ultimately realized may be significantly different than the recorded amounts resulting in a material adjustment to future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judgments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The ASU is effective for annual reporting periods beginning after December 15, 2017, including interim reporting periods within that reporting period. Early adoption is permitted on a limited basis.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is currently evaluating the impact of adopting the ASU on the Company's financial position, results of operations, cash flows and related disclosures. Adoption of this ASU is expected to affect the manner in which the Company determines the unit of account for its projects (i.e., performance obligations). Under existing guidance, the Company may have multiple performance obligations for large, complex projects. Upon adoption, the Company expects that similar projects may have fewer performance obligations, possibly just one in some cases, which will result in a more constant recognition of revenue and profit over the term of the project. In addition, management expects that profit could be recognized earlier for contract amounts related to unapproved change orders and claims. The Company will adopt this standard on July 1, 2018 using the modified retrospective method of application, which may result in a cumulative effect adjustment to retained earnings as of the date of adoption.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has completed its review of the new revenue standard and is currently reviewing its contracts in order to confirm its understanding of how the new standard will impact its revenue recognition policy, disclosures, processes and internal controls. At this time, we cannot reliably estimate the amount of any potential retrospective adjustment.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The ASU is effective for fiscal years beginning after December 15, 2018, including interim periods within those fiscal years. Early adoption is permitted, but we do not plan to do so at this time.</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evaluating the ASU's expected impact on our financial statements. See Note 8 of Item 8. Financial Statements and Supplementary Data in our 2017 Form 10-K for more information about the timing and amount of future operating lease payments, which we believe is indicative of the materiality of adoption of the ASU to our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2017-09, Compensation-Stock Compensation (Topic 718): Scope of Modification Accounting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ASU 2017-09 is effective for interim and annual reporting periods beginning after December 15, 2017. Early adoption is permitted and prospective application is required. Management does not expect the adoption of ASU 2017-09 to have a material impact on the Company’s financial position, results of operations or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natural gas fired power stations, and renewable energy installations.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includes turnaround activities, plant maintenance, engineering and construction in the downstream and midstream petroleum industries. Our customers in these industries are engaged in refining crude oil and processing, fractionating, and marketing of natural gas and natural gas liquids. Another key offering is industrial cleaning services, which include hydroblasting, hydroexcavating, chemical cleaning and vacuum services. We also perform work in the petrochemical, upstream petroleum, and sulfur extraction, recovery and processing markets.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Industrial segment primarily includes construction and maintenance work in the iron and steel, mining and minerals, and agricultural industries. Our work in the mining and minerals industry is primarily for customers engaged in the extraction of copper. Our work in the agricultural industry includes the engineering and design of grain silos, docks and handling systems; the design of control system automation and materials handling for the food industry; and engineering, construction, process design and balance of plant work for fertilizer production facilities. We also perform work in bulk material handling, thermal vacuum chambers, and other industrial markets.</w:t>
      </w:r>
    </w:p>
    <w:p>
      <w:pPr>
        <w:spacing w:after="0" w:line="130" w:lineRule="exact"/>
        <w:rPr>
          <w:sz w:val="20"/>
          <w:szCs w:val="20"/>
          <w:color w:val="auto"/>
        </w:rPr>
      </w:pPr>
    </w:p>
    <w:p>
      <w:pPr>
        <w:ind w:right="3660"/>
        <w:spacing w:after="0" w:line="440" w:lineRule="auto"/>
        <w:rPr>
          <w:sz w:val="20"/>
          <w:szCs w:val="20"/>
          <w:color w:val="auto"/>
        </w:rPr>
      </w:pPr>
      <w:r>
        <w:rPr>
          <w:rFonts w:ascii="Arial" w:cs="Arial" w:eastAsia="Arial" w:hAnsi="Arial"/>
          <w:sz w:val="18"/>
          <w:szCs w:val="18"/>
          <w:b w:val="1"/>
          <w:bCs w:val="1"/>
          <w:color w:val="auto"/>
        </w:rPr>
        <w:t xml:space="preserve">Three Months Ended September 30, 2017 Compared to the Three Months Ended September 30, 2016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was $269.9 million for the three months ended September 30, 2017, compared to $341.8 million in the same period in the prior fiscal year. On a segment basis, consolidated revenue decreased in the Storage Solutions and Electrical Infrastructure segments by $128.5 million and $8.0 million, respectively. These decreases were partially offset by increases of consolidated revenue in the Oil Gas &amp; Chemical and Industrial segments of $53.2 million and $11.6 million.</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gross profit decreased from $32.3 million in the three months ended September 30, 2016 to $28.9 million in the three months ended September 30, 2017. Gross margin increased to 10.7% in the three months ended September 30, 2017 compared to 9.4% in the same period in the prior fiscal year. The increase in gross margin in fiscal 2018 is primarily attributable strong project execution and improved recovery of construction overhead costs.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SG&amp;A expenses were $21.6 million in the three months ended September 30, 2017 compared to $18.0 million in the same period a year earlier. The increase in fiscal 2018 is primarily attributable to the addition of the Houston Interests, LLC ("Houston Interests") operations in December 2016 (See Item 1. Financial Statements, Note 2 - Acquisitions).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expense was $0.6 million and $0.2 million in the three months ended September 30, 2017 and 2016, respectively. The higher interest expense in fiscal 2018 is primarily attributable to the higher average debt balance in the current year, which is largely attributable to the borrowings used to fund the Houston Interests acquisition, which was completed in the second quarter of fiscal 2017, and borrowings due to the timing of collections and disbursements on the previously announced Electrical Infrastructure project.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for the three months ended September 30, 2017 was 44.5% compared to 33.6% in the same period a year earlier. The fiscal 2018 effective tax rate was negatively affected by a stock compensation tax adjustment of $0.5 million, while the fiscal 2017 effective tax rate benefited from a favorable stock compensation tax adjustment of $0.4 million.</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September 30, 2017, net income and the related fully diluted earnings per share were $3.8 million and $0.14, respectively, compared to net income and related fully diluted earnings per share of $9.3 million and $0.35, respectively, in the same period a year earlier.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Electrical Infrastructure segment decreased $8.0 million to $80.0 million in the three months ended September 30, 2017 compared to $88.0 million in the same period a year earlier. The decrease is due to lower volume on the previously announced power generating facility project. The segment gross margin of 10.3% in fiscal 2018 is primarily attributable to improved project execution and decreased under recovery of construction overhead costs. The fiscal 2017 segment gross margin was 6.0% during the same period, which was impacted by a project charge related to the power generating facility project mentioned above and higher under recovery of construction overhead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Oil Gas &amp; Chemical segment was $85.7 million in the three months ended September 30, 2017 compared to $32.5 million in the same period a year earlier. The increase of $53.2 million is primarily attributable to a significant amount of work completed on the previously announced Ultra-Low-Sulfur-Gasoline Relocation Project, incremental revenues associated with the Houston Interests acquisition, and higher volumes of turnaround and maintenance work. The segment gross margin was 12.9% for the three months ended September 30, 2017 compared to break-even in the same period last year. The segment gross margin for fiscal 2018 was positively impacted by strong project execution, project closeouts, higher margin work associated with the Houston Interests acquisition, and decreased under recovery of construction overhead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for the Storage Solutions segment was $71.0 million in the three months ended September 30, 2017 compared to $199.5 million in the same period a year earlier, a decrease of $128.5 million. Prior year's revenue was higher than normal due to an historically large amount of work performed in connection with the construction of crude gathering terminals that support the Dakota Access pipeline. The segment gross margin was 10.6% in the three months ended September 30, 2017 and 13.3% in the three months ended September 30, 2016. The lower segment gross margin in fiscal 2018 is primarily attributable to lower volumes, which led to increased under recovery of construction overhead costs, partially offset by stronger project execution in fiscal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Industrial segment increased $11.6 million to $33.3 million in the three months ended September 30, 2017 compared to $21.7 million in the same period a year earlier. The increase in revenue is primarily attributable to higher business volumes in iron and steel and incremental revenues associated with the Houston Interests acquisition. The segment gross margin was 6.1% in the three months ended September 30, 2017 compared to 2.6% in the same period a year earlier. The fiscal 2018 segment gross margin was positively impacted by higher volumes, which when combined with previously executed targeted cost reduction, led to improved recovery of construction overhead costs.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long-term maintenance contracts and other established customer arrangements, we include only the amounts that we expect to recognize into revenue over the next 12 months. For all other arrangements, we calculate backlog as the estimated contract amount less revenue recognized as of the reporting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September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162,637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287,007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141,551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91,078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682,273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36,976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34,195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62,602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182,661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316,434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(269,910)</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Backlog as of September 30,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119,642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235,549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133,138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240,468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728,797</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7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to complete. Backlog volatility may increase for some segments from time to time when individual project awards are less frequent, but more significant.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backlog in the Electrical Infrastructure segment during the three months ended September 30, 2017 is mainly attributable to the work related to the previously announced Napanee Power Generating Station project partially offset by transmission and distribution awards.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 in backlog in the Oil, Gas &amp; Chemical segment during the three months ended September 30, 2017 is mainly attributable to progress on previously announced awards, partially offset by new project awards.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backlog in the Storage Solutions segment during the three months ended September 30, 2017 is attributable to progress on previously announced awards, partially offset by new project awards. Significant project awards continue to be delayed due to a continued cautious approach to decision-making on the part of clients, prolonged market uncertainty, and other factors.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backlog in the Industrial segment during the three months ended September 30, 2017 is primarily attributable to significant awards for maintenance work and capital projects in the iron and steel industry.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impacting operating results in all segments come from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Market Uncertainty</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prolonged decline in crude oil prices beginning in late 2014 has caused sustained uncertainty in the energy industry, which continues to negatively impact our results, particularly in the Oil Gas &amp; Chemical and Storage Solutions segments. In our Storage Solutions segment, our customers continue to take a long-term view of the market and remain cautious short-term. In our Oil Gas &amp; Chemical segment, we are beginning to see some capital project awards and an improving outlook in routine maintenance and turnaround work. Although we are seeing some positive signs, our customers have been responding to prolonged lower crude oil prices and commodity price uncertainty by reducing spending on capital projects and delaying elective maintenance. Our customers spending tends to lag the price movements of crude oil and other commodities due to budget cycles and the long-term nature of planning for capital projects, especially large capital projects.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Industrial segment, our iron and steel customers have increased maintenance spending and resumed major capital projects in response to improving business conditions led by rising steel prices and a weaker U.S. Dollar. In the mining and minerals markets, copper prices have continued to increase. As a result, we are seeing increased bidding activity, but we have not yet seen a corresponding increase in project awards.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fluctuation in commodity prices to have a significant impact on the Electrical Infrastructure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240" w:hanging="324"/>
        <w:spacing w:after="0" w:line="31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46"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208" w:lineRule="exact"/>
        <w:rPr>
          <w:rFonts w:ascii="Arial" w:cs="Arial" w:eastAsia="Arial" w:hAnsi="Arial"/>
          <w:sz w:val="18"/>
          <w:szCs w:val="18"/>
          <w:color w:val="auto"/>
        </w:rPr>
      </w:pPr>
    </w:p>
    <w:p>
      <w:pPr>
        <w:ind w:left="5640" w:hanging="98"/>
        <w:spacing w:after="0"/>
        <w:tabs>
          <w:tab w:leader="none" w:pos="5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9,342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243</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5,593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4,904</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13,102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19,224</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define liquidity as the ongoing ability to pay our liabilities as they become due, fund business operations and meet all monetary contractual obligations. Our primary sources of liquidity for the three months ended September 30, 2017 were cash on hand, capacity under our senior revolving credit facility and cash generated from operations before consideration of changes in working capital. Cash on hand at September 30, 2017 totaled $46.1 million and availability under the senior revolving credit facility totaled $85.7 million resulting in available liquidity of $131.8 million.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availability under the senior revolving credit facility was significantly impacted by the borrowing constraint resulting from losses on the Electrical Infrastructure project recorded in the third fiscal quarter of 2017. Our projected cash flow for the next four quarters, which includes the collection of significant retention on a Storage Solutions project, is strong. In fiscal 2018, we do not expect significant increases to senior revolving credit facility availability until the second half of the year. However, with the cash balance, we believe that sufficient liquidity exists to fund the business. A complete discussion of our credit agreement is provided under the captain "Senior Revolving Credit Facility" included in this Financial Condition and Liquidity section of the Form 10-Q.</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171" w:lineRule="exact"/>
        <w:rPr>
          <w:sz w:val="20"/>
          <w:szCs w:val="20"/>
          <w:color w:val="auto"/>
        </w:rPr>
      </w:pPr>
    </w:p>
    <w:p>
      <w:pPr>
        <w:ind w:left="980" w:right="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The timing of collection of retentions is often uncertain.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- 26-</w:t>
      </w:r>
    </w:p>
    <w:p>
      <w:pPr>
        <w:sectPr>
          <w:pgSz w:w="11900" w:h="16838" w:orient="portrait"/>
          <w:cols w:equalWidth="0" w:num="1">
            <w:col w:w="11420"/>
          </w:cols>
          <w:pgMar w:left="240" w:top="341"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Collection issues, including those caused by weak commodity prices or other factors which can lead to credit deterioration of our customers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Capacity constraints under our credit facility and remaining in compliance with all covenants contained in the credit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default by one of the major financial institutions for which our deposits exceed insured deposit limits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on hand outside of the United States that cannot be repatriated without incremental taxation.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Three Months Ended September 30,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for the three months ended September 30, 2017 totaled $6.8 million. The various components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6980" w:type="dxa"/>
            <w:vAlign w:val="bottom"/>
            <w:gridSpan w:val="2"/>
          </w:tcPr>
          <w:p>
            <w:pPr>
              <w:jc w:val="right"/>
              <w:ind w:right="3070"/>
              <w:spacing w:after="0"/>
              <w:rPr>
                <w:sz w:val="20"/>
                <w:szCs w:val="20"/>
                <w:color w:val="auto"/>
              </w:rPr>
            </w:pPr>
            <w:r>
              <w:rPr>
                <w:rFonts w:ascii="Arial" w:cs="Arial" w:eastAsia="Arial" w:hAnsi="Arial"/>
                <w:sz w:val="18"/>
                <w:szCs w:val="18"/>
                <w:b w:val="1"/>
                <w:bCs w:val="1"/>
                <w:color w:val="auto"/>
              </w:rPr>
              <w:t>Net Cash Provided by Operating Activities</w:t>
            </w:r>
          </w:p>
        </w:tc>
        <w:tc>
          <w:tcPr>
            <w:tcW w:w="90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6980" w:type="dxa"/>
            <w:vAlign w:val="bottom"/>
            <w:gridSpan w:val="2"/>
          </w:tcPr>
          <w:p>
            <w:pPr>
              <w:jc w:val="right"/>
              <w:ind w:right="4190"/>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20"/>
                <w:szCs w:val="20"/>
                <w:color w:val="auto"/>
              </w:rPr>
            </w:pPr>
          </w:p>
        </w:tc>
      </w:tr>
      <w:tr>
        <w:trPr>
          <w:trHeight w:val="324"/>
        </w:trPr>
        <w:tc>
          <w:tcPr>
            <w:tcW w:w="35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9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7,565</w:t>
            </w:r>
          </w:p>
        </w:tc>
      </w:tr>
      <w:tr>
        <w:trPr>
          <w:trHeight w:val="27"/>
        </w:trPr>
        <w:tc>
          <w:tcPr>
            <w:tcW w:w="35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6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effect of changes in working capital</w:t>
            </w:r>
          </w:p>
        </w:tc>
        <w:tc>
          <w:tcPr>
            <w:tcW w:w="6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(7,363)</w:t>
            </w:r>
          </w:p>
        </w:tc>
      </w:tr>
      <w:tr>
        <w:trPr>
          <w:trHeight w:val="27"/>
        </w:trPr>
        <w:tc>
          <w:tcPr>
            <w:tcW w:w="35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5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5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6,830</w:t>
            </w:r>
          </w:p>
        </w:tc>
      </w:tr>
      <w:tr>
        <w:trPr>
          <w:trHeight w:val="20"/>
        </w:trPr>
        <w:tc>
          <w:tcPr>
            <w:tcW w:w="35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changes at September 30, 2017 in comparison to June 30, 2017 include the following:</w:t>
      </w:r>
    </w:p>
    <w:p>
      <w:pPr>
        <w:spacing w:after="0" w:line="225" w:lineRule="exact"/>
        <w:rPr>
          <w:sz w:val="20"/>
          <w:szCs w:val="20"/>
          <w:color w:val="auto"/>
        </w:rPr>
      </w:pPr>
    </w:p>
    <w:p>
      <w:pPr>
        <w:ind w:left="980" w:right="320" w:hanging="324"/>
        <w:spacing w:after="0" w:line="34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Accounts receivable, net of bad debt expense recognized during the period, increased by $7.7 million during the three months ended September 30, 2017, which reduced cash flows from operating activities. The variance is attributable to the timing of billing and collections.</w:t>
      </w:r>
    </w:p>
    <w:p>
      <w:pPr>
        <w:spacing w:after="0" w:line="123" w:lineRule="exact"/>
        <w:rPr>
          <w:rFonts w:ascii="Arial" w:cs="Arial" w:eastAsia="Arial" w:hAnsi="Arial"/>
          <w:sz w:val="16"/>
          <w:szCs w:val="16"/>
          <w:color w:val="auto"/>
        </w:rPr>
      </w:pPr>
    </w:p>
    <w:p>
      <w:pPr>
        <w:ind w:left="980" w:right="3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Accounts payable decreased by $14.5 million during the three months ended September 30, 2017, which reduced cash flows from operating activities. The variance is primarily attributable to the timing of vendor payments.</w:t>
      </w:r>
    </w:p>
    <w:p>
      <w:pPr>
        <w:spacing w:after="0" w:line="170"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estimated earnings in excess of billings on uncompleted contracts ("CIE") decreased $25.2 million while billings on uncompleted contracts in excess of costs and estimated earnings ("BIE") decreased $9.5 million. The net change in CIE and BIE increased cash $15.7 million for the three months ended September 30, 2017. CIE and BIE balances can experience significant fluctuations based on the timing of when job costs are incurred and the invoicing of those job costs to the customer.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Investing activities used $1.6 million of cash in the three months ended September 30, 2017 primarily due to $1.9 million of capital expenditures. Capital expenditures consisted of: $0.9 million for office equipment, $0.6 million for transportation and fabrication equipment, and $0.4 million for construction equipment. Proceeds from asset sales provided $0.2 million of cash.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Financing activities used $3.3 million of cash in the three months ended September 30, 2017 primarily due to net repayments of $2.6 million under our credit facility, repurchase of $0.5 million of Company stock for payment of withholding taxes due on equity-based compensation, and the payment of $0.3 million for debt amendment fees.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Revolving Credit Facility</w:t>
      </w:r>
    </w:p>
    <w:p>
      <w:pPr>
        <w:spacing w:after="0" w:line="175" w:lineRule="exact"/>
        <w:rPr>
          <w:sz w:val="20"/>
          <w:szCs w:val="20"/>
          <w:color w:val="auto"/>
        </w:rPr>
      </w:pPr>
    </w:p>
    <w:p>
      <w:pPr>
        <w:jc w:val="both"/>
        <w:ind w:left="60" w:right="20"/>
        <w:spacing w:after="0" w:line="286" w:lineRule="auto"/>
        <w:rPr>
          <w:sz w:val="20"/>
          <w:szCs w:val="20"/>
          <w:color w:val="auto"/>
        </w:rPr>
      </w:pPr>
      <w:r>
        <w:rPr>
          <w:rFonts w:ascii="Arial" w:cs="Arial" w:eastAsia="Arial" w:hAnsi="Arial"/>
          <w:sz w:val="17"/>
          <w:szCs w:val="17"/>
          <w:color w:val="auto"/>
        </w:rPr>
        <w:t>As noted previously in Note 5 of the Notes to Condensed Consolidated Financial Statements included in Part 1, Item 1 of this Quarterly Report on Form 10-Q, on February 8, 2017 the Company entered into the Fourth Amended and Restated Credit Agreement (the "Credit Agreement"), which replaced the Third Amended and Restated Credit Agreement dated as of November 7, 2011, as previously amended (the "Prior Credit Agreement").</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which replaces the $250.0 million senior secured revolving credit facility under the Prior Credit Agreement. The new credit facility may be used for working capital, acquisitions, capital expenditures, issuances of letters of credit and other lawful purposes.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Except as described below for the August 31, 2017 amendment, the Credit Agreement includes the following covenants and borrowing limitations:</w:t>
      </w:r>
    </w:p>
    <w:p>
      <w:pPr>
        <w:spacing w:after="0" w:line="183" w:lineRule="exact"/>
        <w:rPr>
          <w:sz w:val="20"/>
          <w:szCs w:val="20"/>
          <w:color w:val="auto"/>
        </w:rPr>
      </w:pPr>
    </w:p>
    <w:p>
      <w:pPr>
        <w:ind w:left="1300" w:hanging="48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300" w:hanging="48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with the Prior Credit Agreement, 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new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Credit Agreement includes a Senior Leverage Ratio covenant, which provides that Consolidated Funded Indebtedness, as of the end of any fiscal quarter, may not exceed 3.0 times Consolidated EBITDA, as defined in the Credit Agreement, over the previous four quarters. For the four quarters ended September 30, 2017, Consolidated EBITDA was $34.0 million. Consolidated Funded Indebtedness at September 30, 2017 was $50.2 million.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Consolidated EBITDA, as defined in the Credit Agreement, or "Covenant EBITDA," differs from EBITDA, as reported under "Results of Operations - Non-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Measure," in Item 7 primarily because it permits the Company to:</w:t>
      </w:r>
    </w:p>
    <w:p>
      <w:pPr>
        <w:spacing w:after="0" w:line="15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 non-cash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 pro forma EBITDA of acquired businesses as if the acquisition occurred at the beginning of the previous four quarters,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 certain other extraordinary items, as defined in the Credit Agreement. The Company excluded as extraordinary items the acquisition and integration costs incurred during the previous four quarters.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On August 31, 2017, the Company entered in to an amendment to its Credit Agreement, which provided the following:</w:t>
      </w:r>
    </w:p>
    <w:p>
      <w:pPr>
        <w:spacing w:after="0" w:line="171" w:lineRule="exact"/>
        <w:rPr>
          <w:sz w:val="20"/>
          <w:szCs w:val="20"/>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maximum permitted Leverage Ratio was temporarily increased to 4.00 to 1.00 for the quarters ending September 30, 2017, and December 31, 2017. The maximum Leverage Ratio will revert back to 3.00 to 1.00 beginning with the quarter ending March 31, 2018.</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Fixed Charge Coverage Ratio will not be tested for the quarters ending September 30, 2017 and December 31, 2017, but will be in effect and tested quarterly thereafter beginning with the quarter ending March 31, 2018.</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new minimum Consolidated EBITDA covenant was added solely for the four-quarter period ending December 31, 2017. For this period, the Company is required to achieve Consolidated EBITDA of $15.0 million.</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Restricted Payments covenant was amended to restrict cash dividends and share repurchases during the period beginning August 31, 2017 and ending December 31, 2017 to an aggregate basket of $5.0 million. In addition, during such period, both cash dividends and share repurchases are prohibited unless the pro forma Leverage Ratio is less than or equal to 2.50 to 1.00. Thereafter, the restriction reverts back to limiting cash dividends to 50% of net income for each fiscal year, and limiting share repurchases to $30.0 million per calendar year.</w:t>
      </w:r>
    </w:p>
    <w:p>
      <w:pPr>
        <w:spacing w:after="0" w:line="117"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increased pricing tier was added for the "Covenant Relief Period" beginning on August 31, 2017 and ending on the date we deliver our financial statements and compliance certificate for the fiscal quarter ending December 31, 2017. If our Leverage Ratio as of any quarterly calculation date during the Covenant Relief Period exceeds 3.00 to 1.00: (1) the Applicable Margin on ABR loans will be 1.875%; (2) the Applicable Margin for Adjusted LIBO, EURIBO and CDOR will be 2.875%; (3) the Applicable Margin for Canadian Prime Rate loans will be 3.375%; and (4) the unused credit facility fee will be 0.50%.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at September 30, 2017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revolving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164,084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169,092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135,916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130,908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42,076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44,682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8,133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revolving credit facility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85,707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78,401</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Outstanding borrowings at September 30, 2017 under our Credit Agreement were primarily used to fund the acquisition of Houston Interests (See Part 1, Item 1, Note 2 - Acquisitions) and working capital needs in our Canadian business due to the timing of collections and disbursements on the previously announced large Electrical Infrastructure project.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2017, the Company was in compliance with all affirmative, negative, and financial covenants under the 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except that, pursuant to an amendment to our Credit Agreement, from August 31, 2017 through December 31, 2017, the total of cash dividend payments, along with share repurchases, may not exceed $5.0 million. In addition, during this time we are prohibited from paying cash dividends or repurchasing stock unless the pro forma Leverage Ratio, as defined in the Credit Agreement, is less than or equal to 2.50 to 1.00. While we currently do not intend to pay cash dividends, any future dividend payments will depend on our financial condition, capital requirements and earnings as well as other relevant factors.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12, 2016, the Board of Directors approved a new stock buyback program (the "December 2016 Program"), which replaced the previous program that had been in place since November 2014. Under the December 2016 Program, the Company may repurchase common stock of the Company in any calendar year commencing with calendar year 2016 and continuing through calendar year 2018, up to a maximum of $25.0 million per calendar year.</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may repurchase its stock from time to time in the open market at prevailing market prices or in privately negotiated transactions, except during the period from August 31, 2017 until December 31, 2017, when share repurchases, along with cash dividend payments, are restricted to an aggregate basket of $5.0 million under our Credit Agreement. In addition, during this time share repurchases may only be made if the pro forma Leverage Ratio is less than or equal to 2.50 to 1.00. The December 2016 Program will continue through December 31, 2018 unless and until it is modified or revoked by the Board of Directors. No shares have been repurchased under the December 2016 Program as of September 30, 2017.</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1,160,242 treasury shares as of September 30, 2017 and intends to utilize these treasury shares in connection with equity awards under the Company’s stock incentive plans and for sales to the Employee Stock 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to our business of crude oil, natural gas and other commodity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6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2017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economic, market or business conditions in general and in the oil, gas, power, iron and steel, agricultural and mining industries in particular;</w:t>
      </w:r>
    </w:p>
    <w:p>
      <w:pPr>
        <w:spacing w:after="0" w:line="248" w:lineRule="exact"/>
        <w:rPr>
          <w:rFonts w:ascii="Arial" w:cs="Arial" w:eastAsia="Arial" w:hAnsi="Arial"/>
          <w:sz w:val="16"/>
          <w:szCs w:val="16"/>
          <w:color w:val="auto"/>
        </w:rPr>
      </w:pPr>
    </w:p>
    <w:p>
      <w:pPr>
        <w:ind w:left="980" w:right="4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low prevailing crude oil and other commodity prices;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2017, filed with the Securities and Exchange Commission. For more information on market risk, see Part II, Item 7A in our fiscal 2017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2017. Based on the foregoing, our Chief Executive Officer and Chief Financial Officer concluded that our disclosure controls and procedures were effective at the reasonable assurance level at September 30, 2017.</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completed the acquisition of Houston Interests, LLC ("Houston Interests") effective December 12, 2016. We are in the process of assessing and, to the extent necessary, making changes to the internal control over financial reporting of Houston Interests to conform such internal control to that used on our other operations. However, we are not yet required to evaluate, and have not yet fully evaluated, changes in Houston Interest's internal control over financial reporting. Subject to the foregoing, there have been no changes in our internal controls over financial reporting that have materially affected, or are reasonably likely to materially affect our internal controls over financial reporting during the quarter ended September 30,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first quarter of fiscal year 2018.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left="228"/>
              <w:spacing w:after="0"/>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of 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2"/>
                <w:szCs w:val="12"/>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Announced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Plans or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Per Share</w:t>
            </w:r>
          </w:p>
        </w:tc>
        <w:tc>
          <w:tcPr>
            <w:tcW w:w="128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or Programs (C)</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July 1 to July 31, 2017</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
              <w:spacing w:after="0"/>
              <w:rPr>
                <w:sz w:val="20"/>
                <w:szCs w:val="20"/>
                <w:color w:val="auto"/>
              </w:rPr>
            </w:pPr>
            <w:r>
              <w:rPr>
                <w:rFonts w:ascii="Arial" w:cs="Arial" w:eastAsia="Arial" w:hAnsi="Arial"/>
                <w:sz w:val="18"/>
                <w:szCs w:val="18"/>
                <w:color w:val="auto"/>
              </w:rPr>
              <w:t>3,289,474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August 1 to August 31, 2017</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3,289,474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40,192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1 to September 30, 2017</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3"/>
              <w:spacing w:after="0"/>
              <w:rPr>
                <w:sz w:val="20"/>
                <w:szCs w:val="20"/>
                <w:color w:val="auto"/>
              </w:rPr>
            </w:pPr>
            <w:r>
              <w:rPr>
                <w:rFonts w:ascii="Arial" w:cs="Arial" w:eastAsia="Arial" w:hAnsi="Arial"/>
                <w:sz w:val="18"/>
                <w:szCs w:val="18"/>
                <w:color w:val="auto"/>
              </w:rPr>
              <w:t>3,289,474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2,521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jc w:val="both"/>
        <w:ind w:left="540" w:hanging="316"/>
        <w:spacing w:after="0" w:line="252"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December 12, 2016, the Board of Directors approved a new stock buyback program (the "December 2016 Program"). Under the December 2016 Program, the Company may repurchase common stock of the Company in any calendar year commencing with calendar year 2016 and continuing through calendar year 2018, up to a maximum of $25.0 million per calendar year. The Company may repurchase its stock from time to time in the open market at prevailing market prices or in privately negotiated transactions. The December 2016 Program will continue through December 31, 2018 unless and until revoked by the Board of Directors. The amount shown as the maximum number of shares that may yet be purchased was calculated using the closing price of our stock on the last trading day of the quarter and the cumulative limit of $50.0 million remaining under the program.</w:t>
      </w:r>
    </w:p>
    <w:p>
      <w:pPr>
        <w:spacing w:after="0" w:line="220" w:lineRule="exact"/>
        <w:rPr>
          <w:rFonts w:ascii="Arial" w:cs="Arial" w:eastAsia="Arial" w:hAnsi="Arial"/>
          <w:sz w:val="18"/>
          <w:szCs w:val="18"/>
          <w:color w:val="auto"/>
        </w:rPr>
      </w:pPr>
    </w:p>
    <w:p>
      <w:pPr>
        <w:ind w:left="5640" w:hanging="98"/>
        <w:spacing w:after="0"/>
        <w:tabs>
          <w:tab w:leader="none" w:pos="5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except that, pursuant to an amendment to our Credit Agreement, from August 31, 2017 through December 31, 2017, the total of cash dividend payments, along with share repurchases, may not exceed $5.0 million. In addition, during this time we are prohibited from paying cash dividends or repurchasing stock unless the pro forma Leverage Ratio, as defined in the Credit Agreement, is less than or equal to 2.50 to 1.00. While we currently do not intend to pay cash dividends, any future dividend payments will depend on our financial condition, capital requirements and earnings as well as other relevant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7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00"/>
        </w:trPr>
        <w:tc>
          <w:tcPr>
            <w:tcW w:w="1940" w:type="dxa"/>
            <w:vAlign w:val="bottom"/>
          </w:tcPr>
          <w:p>
            <w:pPr>
              <w:ind w:left="40"/>
              <w:spacing w:after="0"/>
              <w:rPr>
                <w:sz w:val="20"/>
                <w:szCs w:val="20"/>
                <w:color w:val="auto"/>
              </w:rPr>
            </w:pPr>
            <w:r>
              <w:rPr>
                <w:rFonts w:ascii="Arial" w:cs="Arial" w:eastAsia="Arial" w:hAnsi="Arial"/>
                <w:sz w:val="18"/>
                <w:szCs w:val="18"/>
                <w:color w:val="auto"/>
              </w:rPr>
              <w:t>Exhibit 10.1:</w:t>
            </w:r>
          </w:p>
        </w:tc>
        <w:tc>
          <w:tcPr>
            <w:tcW w:w="9000" w:type="dxa"/>
            <w:vAlign w:val="bottom"/>
            <w:gridSpan w:val="8"/>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First Amendment to Fourth Amended and Restated Credit Agreement dated as of August 31, 2017 among the Company and</w:t>
              </w:r>
            </w:hyperlink>
          </w:p>
        </w:tc>
      </w:tr>
      <w:tr>
        <w:trPr>
          <w:trHeight w:val="20"/>
        </w:trPr>
        <w:tc>
          <w:tcPr>
            <w:tcW w:w="19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900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certain foreign subsidiaries, as Borrowers, various subsidiaries of the Company, as Guarantors, JPMorgan Chase Bank, N.A.,</w:t>
              </w:r>
            </w:hyperlink>
          </w:p>
        </w:tc>
      </w:tr>
      <w:tr>
        <w:trPr>
          <w:trHeight w:val="196"/>
        </w:trPr>
        <w:tc>
          <w:tcPr>
            <w:tcW w:w="1940" w:type="dxa"/>
            <w:vAlign w:val="bottom"/>
          </w:tcPr>
          <w:p>
            <w:pPr>
              <w:spacing w:after="0"/>
              <w:rPr>
                <w:sz w:val="17"/>
                <w:szCs w:val="17"/>
                <w:color w:val="auto"/>
              </w:rPr>
            </w:pPr>
          </w:p>
        </w:tc>
        <w:tc>
          <w:tcPr>
            <w:tcW w:w="442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37">
              <w:r>
                <w:rPr>
                  <w:rFonts w:ascii="Arial" w:cs="Arial" w:eastAsia="Arial" w:hAnsi="Arial"/>
                  <w:sz w:val="18"/>
                  <w:szCs w:val="18"/>
                  <w:color w:val="0000FF"/>
                  <w:w w:val="90"/>
                </w:rPr>
                <w:t>as Administrative Agent, and the other Lenders party thereto.</w:t>
              </w:r>
            </w:hyperlink>
          </w:p>
        </w:tc>
        <w:tc>
          <w:tcPr>
            <w:tcW w:w="4580" w:type="dxa"/>
            <w:vAlign w:val="bottom"/>
            <w:gridSpan w:val="6"/>
          </w:tcPr>
          <w:p>
            <w:pPr>
              <w:spacing w:after="0"/>
              <w:rPr>
                <w:sz w:val="17"/>
                <w:szCs w:val="17"/>
                <w:color w:val="auto"/>
              </w:rPr>
            </w:pPr>
          </w:p>
        </w:tc>
      </w:tr>
      <w:tr>
        <w:trPr>
          <w:trHeight w:val="372"/>
        </w:trPr>
        <w:tc>
          <w:tcPr>
            <w:tcW w:w="1940" w:type="dxa"/>
            <w:vAlign w:val="bottom"/>
          </w:tcPr>
          <w:p>
            <w:pPr>
              <w:ind w:left="40"/>
              <w:spacing w:after="0"/>
              <w:rPr>
                <w:sz w:val="20"/>
                <w:szCs w:val="20"/>
                <w:color w:val="auto"/>
              </w:rPr>
            </w:pPr>
            <w:r>
              <w:rPr>
                <w:rFonts w:ascii="Arial" w:cs="Arial" w:eastAsia="Arial" w:hAnsi="Arial"/>
                <w:sz w:val="18"/>
                <w:szCs w:val="18"/>
                <w:color w:val="auto"/>
              </w:rPr>
              <w:t>Exhibit 31.1:</w:t>
            </w:r>
          </w:p>
        </w:tc>
        <w:tc>
          <w:tcPr>
            <w:tcW w:w="556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Certification Pursuant to Section 302 of Sarbanes-Oxley Act of 2002 – CEO.</w:t>
              </w:r>
            </w:hyperlink>
          </w:p>
        </w:tc>
        <w:tc>
          <w:tcPr>
            <w:tcW w:w="3440" w:type="dxa"/>
            <w:vAlign w:val="bottom"/>
            <w:gridSpan w:val="4"/>
          </w:tcPr>
          <w:p>
            <w:pPr>
              <w:spacing w:after="0"/>
              <w:rPr>
                <w:sz w:val="24"/>
                <w:szCs w:val="24"/>
                <w:color w:val="auto"/>
              </w:rPr>
            </w:pPr>
          </w:p>
        </w:tc>
      </w:tr>
      <w:tr>
        <w:trPr>
          <w:trHeight w:val="372"/>
        </w:trPr>
        <w:tc>
          <w:tcPr>
            <w:tcW w:w="1940" w:type="dxa"/>
            <w:vAlign w:val="bottom"/>
          </w:tcPr>
          <w:p>
            <w:pPr>
              <w:ind w:left="40"/>
              <w:spacing w:after="0"/>
              <w:rPr>
                <w:sz w:val="20"/>
                <w:szCs w:val="20"/>
                <w:color w:val="auto"/>
              </w:rPr>
            </w:pPr>
            <w:r>
              <w:rPr>
                <w:rFonts w:ascii="Arial" w:cs="Arial" w:eastAsia="Arial" w:hAnsi="Arial"/>
                <w:sz w:val="18"/>
                <w:szCs w:val="18"/>
                <w:color w:val="auto"/>
              </w:rPr>
              <w:t>Exhibit 31.2:</w:t>
            </w:r>
          </w:p>
        </w:tc>
        <w:tc>
          <w:tcPr>
            <w:tcW w:w="55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58">
              <w:r>
                <w:rPr>
                  <w:rFonts w:ascii="Arial" w:cs="Arial" w:eastAsia="Arial" w:hAnsi="Arial"/>
                  <w:sz w:val="18"/>
                  <w:szCs w:val="18"/>
                  <w:color w:val="0000FF"/>
                  <w:w w:val="91"/>
                </w:rPr>
                <w:t>Certification Pursuant to Section 302 of Sarbanes-Oxley Act of 2002 – CFO.</w:t>
              </w:r>
            </w:hyperlink>
          </w:p>
        </w:tc>
        <w:tc>
          <w:tcPr>
            <w:tcW w:w="3460" w:type="dxa"/>
            <w:vAlign w:val="bottom"/>
            <w:gridSpan w:val="5"/>
          </w:tcPr>
          <w:p>
            <w:pPr>
              <w:spacing w:after="0"/>
              <w:rPr>
                <w:sz w:val="24"/>
                <w:szCs w:val="24"/>
                <w:color w:val="auto"/>
              </w:rPr>
            </w:pPr>
          </w:p>
        </w:tc>
      </w:tr>
      <w:tr>
        <w:trPr>
          <w:trHeight w:val="372"/>
        </w:trPr>
        <w:tc>
          <w:tcPr>
            <w:tcW w:w="1940" w:type="dxa"/>
            <w:vAlign w:val="bottom"/>
          </w:tcPr>
          <w:p>
            <w:pPr>
              <w:ind w:left="40"/>
              <w:spacing w:after="0"/>
              <w:rPr>
                <w:sz w:val="20"/>
                <w:szCs w:val="20"/>
                <w:color w:val="auto"/>
              </w:rPr>
            </w:pPr>
            <w:r>
              <w:rPr>
                <w:rFonts w:ascii="Arial" w:cs="Arial" w:eastAsia="Arial" w:hAnsi="Arial"/>
                <w:sz w:val="18"/>
                <w:szCs w:val="18"/>
                <w:color w:val="auto"/>
              </w:rPr>
              <w:t>Exhibit 32.1:</w:t>
            </w:r>
          </w:p>
        </w:tc>
        <w:tc>
          <w:tcPr>
            <w:tcW w:w="68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Certification Pursuant to 18 U.S.C. 1350 (section 906 of Sarbanes-Oxley Act of 2002) – CEO.</w:t>
              </w:r>
            </w:hyperlink>
          </w:p>
        </w:tc>
        <w:tc>
          <w:tcPr>
            <w:tcW w:w="2200" w:type="dxa"/>
            <w:vAlign w:val="bottom"/>
            <w:gridSpan w:val="2"/>
          </w:tcPr>
          <w:p>
            <w:pPr>
              <w:spacing w:after="0"/>
              <w:rPr>
                <w:sz w:val="24"/>
                <w:szCs w:val="24"/>
                <w:color w:val="auto"/>
              </w:rPr>
            </w:pPr>
          </w:p>
        </w:tc>
      </w:tr>
      <w:tr>
        <w:trPr>
          <w:trHeight w:val="372"/>
        </w:trPr>
        <w:tc>
          <w:tcPr>
            <w:tcW w:w="1940" w:type="dxa"/>
            <w:vAlign w:val="bottom"/>
          </w:tcPr>
          <w:p>
            <w:pPr>
              <w:ind w:left="40"/>
              <w:spacing w:after="0"/>
              <w:rPr>
                <w:sz w:val="20"/>
                <w:szCs w:val="20"/>
                <w:color w:val="auto"/>
              </w:rPr>
            </w:pPr>
            <w:r>
              <w:rPr>
                <w:rFonts w:ascii="Arial" w:cs="Arial" w:eastAsia="Arial" w:hAnsi="Arial"/>
                <w:sz w:val="18"/>
                <w:szCs w:val="18"/>
                <w:color w:val="auto"/>
              </w:rPr>
              <w:t>Exhibit 32.2:</w:t>
            </w:r>
          </w:p>
        </w:tc>
        <w:tc>
          <w:tcPr>
            <w:tcW w:w="9000" w:type="dxa"/>
            <w:vAlign w:val="bottom"/>
            <w:gridSpan w:val="8"/>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Certification Pursuant to 18 U.S.C. 1350 (section 906 of Sarbanes-Oxley Act of 2002) – CFO.</w:t>
              </w:r>
            </w:hyperlink>
          </w:p>
        </w:tc>
      </w:tr>
      <w:tr>
        <w:trPr>
          <w:trHeight w:val="372"/>
        </w:trPr>
        <w:tc>
          <w:tcPr>
            <w:tcW w:w="1940" w:type="dxa"/>
            <w:vAlign w:val="bottom"/>
          </w:tcPr>
          <w:p>
            <w:pPr>
              <w:ind w:left="40"/>
              <w:spacing w:after="0"/>
              <w:rPr>
                <w:sz w:val="20"/>
                <w:szCs w:val="20"/>
                <w:color w:val="auto"/>
              </w:rPr>
            </w:pPr>
            <w:r>
              <w:rPr>
                <w:rFonts w:ascii="Arial" w:cs="Arial" w:eastAsia="Arial" w:hAnsi="Arial"/>
                <w:sz w:val="18"/>
                <w:szCs w:val="18"/>
                <w:color w:val="auto"/>
              </w:rPr>
              <w:t>Exhibit 95:</w:t>
            </w:r>
          </w:p>
        </w:tc>
        <w:tc>
          <w:tcPr>
            <w:tcW w:w="6780" w:type="dxa"/>
            <w:vAlign w:val="bottom"/>
            <w:tcBorders>
              <w:top w:val="single" w:sz="8" w:color="0000FF"/>
            </w:tcBorders>
            <w:gridSpan w:val="5"/>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Mine Safety Disclosure.</w:t>
              </w:r>
            </w:hyperlink>
          </w:p>
        </w:tc>
        <w:tc>
          <w:tcPr>
            <w:tcW w:w="2220" w:type="dxa"/>
            <w:vAlign w:val="bottom"/>
            <w:gridSpan w:val="3"/>
          </w:tcPr>
          <w:p>
            <w:pPr>
              <w:spacing w:after="0"/>
              <w:rPr>
                <w:sz w:val="24"/>
                <w:szCs w:val="24"/>
                <w:color w:val="auto"/>
              </w:rPr>
            </w:pPr>
          </w:p>
        </w:tc>
      </w:tr>
      <w:tr>
        <w:trPr>
          <w:trHeight w:val="20"/>
        </w:trPr>
        <w:tc>
          <w:tcPr>
            <w:tcW w:w="194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260" w:type="dxa"/>
            <w:vAlign w:val="bottom"/>
            <w:gridSpan w:val="7"/>
          </w:tcPr>
          <w:p>
            <w:pPr>
              <w:spacing w:after="0" w:line="20" w:lineRule="exact"/>
              <w:rPr>
                <w:sz w:val="1"/>
                <w:szCs w:val="1"/>
                <w:color w:val="auto"/>
              </w:rPr>
            </w:pPr>
          </w:p>
        </w:tc>
      </w:tr>
      <w:tr>
        <w:trPr>
          <w:trHeight w:val="412"/>
        </w:trPr>
        <w:tc>
          <w:tcPr>
            <w:tcW w:w="1940" w:type="dxa"/>
            <w:vAlign w:val="bottom"/>
          </w:tcPr>
          <w:p>
            <w:pPr>
              <w:ind w:left="40"/>
              <w:spacing w:after="0"/>
              <w:rPr>
                <w:sz w:val="20"/>
                <w:szCs w:val="20"/>
                <w:color w:val="auto"/>
              </w:rPr>
            </w:pPr>
            <w:r>
              <w:rPr>
                <w:rFonts w:ascii="Arial" w:cs="Arial" w:eastAsia="Arial" w:hAnsi="Arial"/>
                <w:sz w:val="18"/>
                <w:szCs w:val="18"/>
                <w:color w:val="auto"/>
              </w:rPr>
              <w:t>Exhibit 101.INS:</w:t>
            </w:r>
          </w:p>
        </w:tc>
        <w:tc>
          <w:tcPr>
            <w:tcW w:w="900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101.SCH:</w:t>
            </w:r>
          </w:p>
        </w:tc>
        <w:tc>
          <w:tcPr>
            <w:tcW w:w="9000" w:type="dxa"/>
            <w:vAlign w:val="bottom"/>
            <w:gridSpan w:val="8"/>
          </w:tcPr>
          <w:p>
            <w:pPr>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101.CAL:</w:t>
            </w:r>
          </w:p>
        </w:tc>
        <w:tc>
          <w:tcPr>
            <w:tcW w:w="90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101.DEF:</w:t>
            </w:r>
          </w:p>
        </w:tc>
        <w:tc>
          <w:tcPr>
            <w:tcW w:w="90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101.LAB:</w:t>
            </w:r>
          </w:p>
        </w:tc>
        <w:tc>
          <w:tcPr>
            <w:tcW w:w="900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940" w:type="dxa"/>
            <w:vAlign w:val="bottom"/>
          </w:tcPr>
          <w:p>
            <w:pPr>
              <w:ind w:left="40"/>
              <w:spacing w:after="0"/>
              <w:rPr>
                <w:sz w:val="20"/>
                <w:szCs w:val="20"/>
                <w:color w:val="auto"/>
              </w:rPr>
            </w:pPr>
            <w:r>
              <w:rPr>
                <w:rFonts w:ascii="Arial" w:cs="Arial" w:eastAsia="Arial" w:hAnsi="Arial"/>
                <w:sz w:val="18"/>
                <w:szCs w:val="18"/>
                <w:color w:val="auto"/>
              </w:rPr>
              <w:t>Exhibit 101.PRE:</w:t>
            </w:r>
          </w:p>
        </w:tc>
        <w:tc>
          <w:tcPr>
            <w:tcW w:w="90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86"/>
        </w:trPr>
        <w:tc>
          <w:tcPr>
            <w:tcW w:w="1940" w:type="dxa"/>
            <w:vAlign w:val="bottom"/>
          </w:tcPr>
          <w:p>
            <w:pPr>
              <w:spacing w:after="0"/>
              <w:rPr>
                <w:sz w:val="24"/>
                <w:szCs w:val="24"/>
                <w:color w:val="auto"/>
              </w:rPr>
            </w:pPr>
          </w:p>
        </w:tc>
        <w:tc>
          <w:tcPr>
            <w:tcW w:w="4420" w:type="dxa"/>
            <w:vAlign w:val="bottom"/>
            <w:gridSpan w:val="2"/>
          </w:tcPr>
          <w:p>
            <w:pPr>
              <w:ind w:left="3600"/>
              <w:spacing w:after="0"/>
              <w:rPr>
                <w:sz w:val="20"/>
                <w:szCs w:val="20"/>
                <w:color w:val="auto"/>
              </w:rPr>
            </w:pPr>
            <w:r>
              <w:rPr>
                <w:rFonts w:ascii="Arial" w:cs="Arial" w:eastAsia="Arial" w:hAnsi="Arial"/>
                <w:sz w:val="18"/>
                <w:szCs w:val="18"/>
                <w:color w:val="auto"/>
              </w:rPr>
              <w:t>- 33-</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2017</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42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w:t>
      </w:r>
    </w:p>
    <w:p>
      <w:pPr>
        <w:sectPr>
          <w:pgSz w:w="11900" w:h="16838" w:orient="portrait"/>
          <w:cols w:equalWidth="0" w:num="1">
            <w:col w:w="11420"/>
          </w:cols>
          <w:pgMar w:left="240" w:top="341" w:right="239" w:bottom="1440" w:gutter="0" w:footer="0" w:header="0"/>
        </w:sectPr>
      </w:pPr>
    </w:p>
    <w:bookmarkStart w:id="36" w:name="page37"/>
    <w:bookmarkEnd w:id="36"/>
    <w:p>
      <w:pPr>
        <w:ind w:left="10060"/>
        <w:spacing w:after="0"/>
        <w:rPr>
          <w:sz w:val="20"/>
          <w:szCs w:val="20"/>
          <w:color w:val="auto"/>
        </w:rPr>
      </w:pPr>
      <w:r>
        <w:rPr>
          <w:rFonts w:ascii="Arial" w:cs="Arial" w:eastAsia="Arial" w:hAnsi="Arial"/>
          <w:sz w:val="22"/>
          <w:szCs w:val="22"/>
          <w:b w:val="1"/>
          <w:bCs w:val="1"/>
          <w:color w:val="auto"/>
        </w:rPr>
        <w:t>EXHIBIT 10.1</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FFFFFF"/>
        </w:rPr>
        <w:t>HOU:3754193.10</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rPr>
          <w:sz w:val="20"/>
          <w:szCs w:val="20"/>
          <w:color w:val="auto"/>
        </w:rPr>
      </w:pPr>
      <w:r>
        <w:rPr>
          <w:rFonts w:ascii="Arial" w:cs="Arial" w:eastAsia="Arial" w:hAnsi="Arial"/>
          <w:sz w:val="14"/>
          <w:szCs w:val="14"/>
          <w:color w:val="FFFFFF"/>
        </w:rPr>
        <w:t>HOU:3754193.10</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AMENDED AND RESTATED CREDIT AGREEMENT</w:t>
      </w:r>
    </w:p>
    <w:p>
      <w:pPr>
        <w:spacing w:after="0" w:line="200" w:lineRule="exact"/>
        <w:rPr>
          <w:sz w:val="20"/>
          <w:szCs w:val="20"/>
          <w:color w:val="auto"/>
        </w:rPr>
      </w:pPr>
    </w:p>
    <w:p>
      <w:pPr>
        <w:spacing w:after="0" w:line="252"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b w:val="1"/>
          <w:bCs w:val="1"/>
          <w:color w:val="auto"/>
        </w:rPr>
        <w:t xml:space="preserve">THIS FIRST AMENDMENT TO FOURTH AMENDED AND RESTATED CREDIT AGREEMENT </w:t>
      </w:r>
      <w:r>
        <w:rPr>
          <w:rFonts w:ascii="Arial" w:cs="Arial" w:eastAsia="Arial" w:hAnsi="Arial"/>
          <w:sz w:val="22"/>
          <w:szCs w:val="22"/>
          <w:color w:val="auto"/>
        </w:rPr>
        <w:t>(this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August 31, 2017 (the “</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is entered into by and among </w:t>
      </w:r>
      <w:r>
        <w:rPr>
          <w:rFonts w:ascii="Arial" w:cs="Arial" w:eastAsia="Arial" w:hAnsi="Arial"/>
          <w:sz w:val="22"/>
          <w:szCs w:val="22"/>
          <w:b w:val="1"/>
          <w:bCs w:val="1"/>
          <w:color w:val="auto"/>
        </w:rPr>
        <w:t>MATRIX SERVICE</w:t>
      </w:r>
      <w:r>
        <w:rPr>
          <w:rFonts w:ascii="Arial" w:cs="Arial" w:eastAsia="Arial" w:hAnsi="Arial"/>
          <w:sz w:val="22"/>
          <w:szCs w:val="22"/>
          <w:color w:val="auto"/>
        </w:rPr>
        <w:t xml:space="preserve"> </w:t>
      </w:r>
      <w:r>
        <w:rPr>
          <w:rFonts w:ascii="Arial" w:cs="Arial" w:eastAsia="Arial" w:hAnsi="Arial"/>
          <w:sz w:val="22"/>
          <w:szCs w:val="22"/>
          <w:b w:val="1"/>
          <w:bCs w:val="1"/>
          <w:color w:val="auto"/>
        </w:rPr>
        <w:t>COMPANY</w:t>
      </w:r>
      <w:r>
        <w:rPr>
          <w:rFonts w:ascii="Arial" w:cs="Arial" w:eastAsia="Arial" w:hAnsi="Arial"/>
          <w:sz w:val="22"/>
          <w:szCs w:val="22"/>
          <w:color w:val="auto"/>
        </w:rPr>
        <w:t>,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the other Borrowers party hereto (together with the Company,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Borrowers</w:t>
      </w:r>
      <w:r>
        <w:rPr>
          <w:rFonts w:ascii="Arial" w:cs="Arial" w:eastAsia="Arial" w:hAnsi="Arial"/>
          <w:sz w:val="22"/>
          <w:szCs w:val="22"/>
          <w:color w:val="auto"/>
        </w:rPr>
        <w:t>”), the Subsidiary Guarantors party hereto (the “</w:t>
      </w:r>
      <w:r>
        <w:rPr>
          <w:rFonts w:ascii="Arial" w:cs="Arial" w:eastAsia="Arial" w:hAnsi="Arial"/>
          <w:sz w:val="22"/>
          <w:szCs w:val="22"/>
          <w:u w:val="single" w:color="auto"/>
          <w:color w:val="auto"/>
        </w:rPr>
        <w:t>Subsidiary Guarantors</w:t>
      </w:r>
      <w:r>
        <w:rPr>
          <w:rFonts w:ascii="Arial" w:cs="Arial" w:eastAsia="Arial" w:hAnsi="Arial"/>
          <w:sz w:val="22"/>
          <w:szCs w:val="22"/>
          <w:color w:val="auto"/>
        </w:rPr>
        <w:t xml:space="preserve">”), the Lenders (as hereinafter defined) party hereto and </w:t>
      </w:r>
      <w:r>
        <w:rPr>
          <w:rFonts w:ascii="Arial" w:cs="Arial" w:eastAsia="Arial" w:hAnsi="Arial"/>
          <w:sz w:val="22"/>
          <w:szCs w:val="22"/>
          <w:b w:val="1"/>
          <w:bCs w:val="1"/>
          <w:color w:val="auto"/>
        </w:rPr>
        <w:t>JPMorgan Chase Bank, N.A.</w:t>
      </w:r>
      <w:r>
        <w:rPr>
          <w:rFonts w:ascii="Arial" w:cs="Arial" w:eastAsia="Arial" w:hAnsi="Arial"/>
          <w:sz w:val="22"/>
          <w:szCs w:val="22"/>
          <w:color w:val="auto"/>
        </w:rPr>
        <w:t>, as Administrative Agent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PRELIMINARY STATEMENT</w:t>
      </w:r>
    </w:p>
    <w:p>
      <w:pPr>
        <w:spacing w:after="0" w:line="21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Borrowers, the lenders party thereto (the “</w:t>
      </w:r>
      <w:r>
        <w:rPr>
          <w:rFonts w:ascii="Arial" w:cs="Arial" w:eastAsia="Arial" w:hAnsi="Arial"/>
          <w:sz w:val="22"/>
          <w:szCs w:val="22"/>
          <w:u w:val="single" w:color="auto"/>
          <w:color w:val="auto"/>
        </w:rPr>
        <w:t>Lenders</w:t>
      </w:r>
      <w:r>
        <w:rPr>
          <w:rFonts w:ascii="Arial" w:cs="Arial" w:eastAsia="Arial" w:hAnsi="Arial"/>
          <w:sz w:val="22"/>
          <w:szCs w:val="22"/>
          <w:color w:val="auto"/>
        </w:rPr>
        <w:t>”) and the Administrative Agent are parties to</w:t>
      </w:r>
      <w:r>
        <w:rPr>
          <w:rFonts w:ascii="Arial" w:cs="Arial" w:eastAsia="Arial" w:hAnsi="Arial"/>
          <w:sz w:val="22"/>
          <w:szCs w:val="22"/>
          <w:b w:val="1"/>
          <w:bCs w:val="1"/>
          <w:color w:val="auto"/>
        </w:rPr>
        <w:t xml:space="preserve"> </w:t>
      </w:r>
      <w:r>
        <w:rPr>
          <w:rFonts w:ascii="Arial" w:cs="Arial" w:eastAsia="Arial" w:hAnsi="Arial"/>
          <w:sz w:val="22"/>
          <w:szCs w:val="22"/>
          <w:color w:val="auto"/>
        </w:rPr>
        <w:t>that certain Fourth Amended and Restated Credit Agreement dated as of February 8, 2017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pursuant to which the Lenders agreed to make available to the Borrowers a revolving credit facility;</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requested an amendment to certain provisions of the Credit Agreement;</w:t>
      </w:r>
    </w:p>
    <w:p>
      <w:pPr>
        <w:spacing w:after="0" w:line="220"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Administrative Agent and the Lenders party hereto are willing to make such amendment,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to the terms and conditions set forth herein, provided that the Borrowers and Subsidiary Guarantors ratify and confirm all of their respective obligations under the Credit Agreement and the other Loan Documents;</w:t>
      </w:r>
    </w:p>
    <w:p>
      <w:pPr>
        <w:spacing w:after="0" w:line="15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further valuable consideration, the receipt and</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is hereby acknowledged, the parties hereto agree as follows:</w:t>
      </w:r>
    </w:p>
    <w:p>
      <w:pPr>
        <w:spacing w:after="0" w:line="168" w:lineRule="exact"/>
        <w:rPr>
          <w:sz w:val="20"/>
          <w:szCs w:val="20"/>
          <w:color w:val="auto"/>
        </w:rPr>
      </w:pPr>
    </w:p>
    <w:p>
      <w:pPr>
        <w:ind w:left="660" w:hanging="4"/>
        <w:spacing w:after="0" w:line="263" w:lineRule="auto"/>
        <w:tabs>
          <w:tab w:leader="none" w:pos="147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Unless otherwise defined herein, capitalized terms used herein have the meanings assigned to them in the Credit Agreement.</w:t>
      </w:r>
    </w:p>
    <w:p>
      <w:pPr>
        <w:spacing w:after="0" w:line="215" w:lineRule="exact"/>
        <w:rPr>
          <w:rFonts w:ascii="Arial" w:cs="Arial" w:eastAsia="Arial" w:hAnsi="Arial"/>
          <w:sz w:val="22"/>
          <w:szCs w:val="22"/>
          <w:color w:val="auto"/>
        </w:rPr>
      </w:pPr>
    </w:p>
    <w:p>
      <w:pPr>
        <w:ind w:left="1460" w:hanging="804"/>
        <w:spacing w:after="0"/>
        <w:tabs>
          <w:tab w:leader="none" w:pos="146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1"/>
          <w:numId w:val="22"/>
        </w:numPr>
        <w:rPr>
          <w:rFonts w:ascii="Arial" w:cs="Arial" w:eastAsia="Arial" w:hAnsi="Arial"/>
          <w:sz w:val="19"/>
          <w:szCs w:val="19"/>
          <w:color w:val="auto"/>
        </w:rPr>
      </w:pPr>
      <w:r>
        <w:rPr>
          <w:rFonts w:ascii="Arial" w:cs="Arial" w:eastAsia="Arial" w:hAnsi="Arial"/>
          <w:sz w:val="19"/>
          <w:szCs w:val="19"/>
          <w:color w:val="auto"/>
        </w:rPr>
        <w:t>Section 1.01 of the Credit Agreement is hereby amended to restate the definition of “Applicable Margin”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its entirety as follows: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01" w:right="239" w:bottom="1440" w:gutter="0" w:footer="0" w:header="0"/>
        </w:sectPr>
      </w:pPr>
    </w:p>
    <w:bookmarkStart w:id="37" w:name="page38"/>
    <w:bookmarkEnd w:id="37"/>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w:t>
      </w:r>
    </w:p>
    <w:p>
      <w:pPr>
        <w:spacing w:after="0" w:line="220" w:lineRule="exact"/>
        <w:rPr>
          <w:sz w:val="20"/>
          <w:szCs w:val="20"/>
          <w:color w:val="auto"/>
        </w:rPr>
      </w:pPr>
    </w:p>
    <w:p>
      <w:pPr>
        <w:jc w:val="both"/>
        <w:ind w:left="100" w:firstLine="5"/>
        <w:spacing w:after="0" w:line="290" w:lineRule="auto"/>
        <w:tabs>
          <w:tab w:leader="none" w:pos="5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for any day during the Covenant Relief Period, with respect to any Loan, or with respect to the Unused Fees, the applicable per annum rate in the table set forth below based upon the Leverage Ratio for the most recently ended trailing four-quarter period with respect to which the Company is required to have delivered the financial statements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(as such Leverage Ratio is reflected in the Compliance Certificate delivered under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u w:val="single" w:color="auto"/>
          <w:color w:val="auto"/>
        </w:rPr>
        <w:t>5.01</w:t>
      </w:r>
      <w:r>
        <w:rPr>
          <w:rFonts w:ascii="Arial" w:cs="Arial" w:eastAsia="Arial" w:hAnsi="Arial"/>
          <w:sz w:val="22"/>
          <w:szCs w:val="22"/>
          <w:color w:val="auto"/>
        </w:rPr>
        <w:t xml:space="preserve"> by the Company in connection with the financial statements for such fiscal quarter):</w:t>
      </w:r>
    </w:p>
    <w:p>
      <w:pPr>
        <w:spacing w:after="0" w:line="325" w:lineRule="exact"/>
        <w:rPr>
          <w:sz w:val="20"/>
          <w:szCs w:val="20"/>
          <w:color w:val="auto"/>
        </w:rPr>
      </w:pPr>
    </w:p>
    <w:tbl>
      <w:tblPr>
        <w:tblLayout w:type="fixed"/>
        <w:tblInd w:w="290" w:type="dxa"/>
        <w:tblCellMar>
          <w:top w:w="0" w:type="dxa"/>
          <w:left w:w="0" w:type="dxa"/>
          <w:bottom w:w="0" w:type="dxa"/>
          <w:right w:w="0" w:type="dxa"/>
        </w:tblCellMar>
      </w:tblPr>
      <w:tr>
        <w:trPr>
          <w:trHeight w:val="216"/>
        </w:trPr>
        <w:tc>
          <w:tcPr>
            <w:tcW w:w="220" w:type="dxa"/>
            <w:vAlign w:val="bottom"/>
            <w:tcBorders>
              <w:top w:val="single" w:sz="8" w:color="auto"/>
              <w:lef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righ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right w:val="single" w:sz="8" w:color="auto"/>
            </w:tcBorders>
            <w:gridSpan w:val="7"/>
          </w:tcPr>
          <w:p>
            <w:pPr>
              <w:jc w:val="center"/>
              <w:ind w:right="160"/>
              <w:spacing w:after="0"/>
              <w:rPr>
                <w:sz w:val="20"/>
                <w:szCs w:val="20"/>
                <w:color w:val="auto"/>
              </w:rPr>
            </w:pPr>
            <w:r>
              <w:rPr>
                <w:rFonts w:ascii="Arial" w:cs="Arial" w:eastAsia="Arial" w:hAnsi="Arial"/>
                <w:sz w:val="18"/>
                <w:szCs w:val="18"/>
                <w:color w:val="auto"/>
                <w:w w:val="95"/>
              </w:rPr>
              <w:t>Applicable Margin for</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4"/>
          </w:tcPr>
          <w:p>
            <w:pPr>
              <w:jc w:val="center"/>
              <w:ind w:right="300"/>
              <w:spacing w:after="0" w:line="196" w:lineRule="exact"/>
              <w:rPr>
                <w:sz w:val="20"/>
                <w:szCs w:val="20"/>
                <w:color w:val="auto"/>
              </w:rPr>
            </w:pPr>
            <w:r>
              <w:rPr>
                <w:rFonts w:ascii="Arial" w:cs="Arial" w:eastAsia="Arial" w:hAnsi="Arial"/>
                <w:sz w:val="18"/>
                <w:szCs w:val="18"/>
                <w:color w:val="auto"/>
                <w:w w:val="89"/>
              </w:rPr>
              <w:t>Eurocurrency,</w:t>
            </w:r>
          </w:p>
        </w:tc>
        <w:tc>
          <w:tcPr>
            <w:tcW w:w="160" w:type="dxa"/>
            <w:vAlign w:val="bottom"/>
            <w:tcBorders>
              <w:right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Borders>
              <w:right w:val="single" w:sz="8" w:color="auto"/>
            </w:tcBorders>
            <w:gridSpan w:val="4"/>
          </w:tcPr>
          <w:p>
            <w:pPr>
              <w:jc w:val="center"/>
              <w:ind w:right="40"/>
              <w:spacing w:after="0" w:line="196" w:lineRule="exact"/>
              <w:rPr>
                <w:sz w:val="20"/>
                <w:szCs w:val="20"/>
                <w:color w:val="auto"/>
              </w:rPr>
            </w:pPr>
            <w:r>
              <w:rPr>
                <w:rFonts w:ascii="Arial" w:cs="Arial" w:eastAsia="Arial" w:hAnsi="Arial"/>
                <w:sz w:val="18"/>
                <w:szCs w:val="18"/>
                <w:color w:val="auto"/>
                <w:w w:val="93"/>
              </w:rPr>
              <w:t>Applicable Margin for</w:t>
            </w:r>
          </w:p>
        </w:tc>
        <w:tc>
          <w:tcPr>
            <w:tcW w:w="120" w:type="dxa"/>
            <w:vAlign w:val="bottom"/>
          </w:tcPr>
          <w:p>
            <w:pPr>
              <w:spacing w:after="0"/>
              <w:rPr>
                <w:sz w:val="17"/>
                <w:szCs w:val="17"/>
                <w:color w:val="auto"/>
              </w:rPr>
            </w:pPr>
          </w:p>
        </w:tc>
        <w:tc>
          <w:tcPr>
            <w:tcW w:w="1060" w:type="dxa"/>
            <w:vAlign w:val="bottom"/>
            <w:tcBorders>
              <w:right w:val="single" w:sz="8" w:color="auto"/>
            </w:tcBorders>
            <w:gridSpan w:val="4"/>
          </w:tcPr>
          <w:p>
            <w:pPr>
              <w:jc w:val="center"/>
              <w:ind w:right="160"/>
              <w:spacing w:after="0" w:line="196" w:lineRule="exact"/>
              <w:rPr>
                <w:sz w:val="20"/>
                <w:szCs w:val="20"/>
                <w:color w:val="auto"/>
              </w:rPr>
            </w:pPr>
            <w:r>
              <w:rPr>
                <w:rFonts w:ascii="Arial" w:cs="Arial" w:eastAsia="Arial" w:hAnsi="Arial"/>
                <w:sz w:val="18"/>
                <w:szCs w:val="18"/>
                <w:color w:val="auto"/>
                <w:w w:val="93"/>
              </w:rPr>
              <w:t>Applicable</w:t>
            </w:r>
          </w:p>
        </w:tc>
        <w:tc>
          <w:tcPr>
            <w:tcW w:w="0" w:type="dxa"/>
            <w:vAlign w:val="bottom"/>
          </w:tcPr>
          <w:p>
            <w:pPr>
              <w:spacing w:after="0"/>
              <w:rPr>
                <w:sz w:val="1"/>
                <w:szCs w:val="1"/>
                <w:color w:val="auto"/>
              </w:rPr>
            </w:pP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6"/>
          </w:tcPr>
          <w:p>
            <w:pPr>
              <w:jc w:val="center"/>
              <w:spacing w:after="0" w:line="196" w:lineRule="exact"/>
              <w:rPr>
                <w:sz w:val="20"/>
                <w:szCs w:val="20"/>
                <w:color w:val="auto"/>
              </w:rPr>
            </w:pPr>
            <w:r>
              <w:rPr>
                <w:rFonts w:ascii="Arial" w:cs="Arial" w:eastAsia="Arial" w:hAnsi="Arial"/>
                <w:sz w:val="18"/>
                <w:szCs w:val="18"/>
                <w:color w:val="auto"/>
                <w:w w:val="93"/>
              </w:rPr>
              <w:t>EURIBOR and CDOR</w:t>
            </w:r>
          </w:p>
        </w:tc>
        <w:tc>
          <w:tcPr>
            <w:tcW w:w="1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gridSpan w:val="5"/>
          </w:tcPr>
          <w:p>
            <w:pPr>
              <w:jc w:val="center"/>
              <w:ind w:right="40"/>
              <w:spacing w:after="0" w:line="196" w:lineRule="exact"/>
              <w:rPr>
                <w:sz w:val="20"/>
                <w:szCs w:val="20"/>
                <w:color w:val="auto"/>
              </w:rPr>
            </w:pPr>
            <w:r>
              <w:rPr>
                <w:rFonts w:ascii="Arial" w:cs="Arial" w:eastAsia="Arial" w:hAnsi="Arial"/>
                <w:sz w:val="18"/>
                <w:szCs w:val="18"/>
                <w:color w:val="auto"/>
                <w:w w:val="95"/>
              </w:rPr>
              <w:t>Applicable Margin for</w:t>
            </w:r>
          </w:p>
        </w:tc>
        <w:tc>
          <w:tcPr>
            <w:tcW w:w="60" w:type="dxa"/>
            <w:vAlign w:val="bottom"/>
          </w:tcPr>
          <w:p>
            <w:pPr>
              <w:spacing w:after="0"/>
              <w:rPr>
                <w:sz w:val="17"/>
                <w:szCs w:val="17"/>
                <w:color w:val="auto"/>
              </w:rPr>
            </w:pPr>
          </w:p>
        </w:tc>
        <w:tc>
          <w:tcPr>
            <w:tcW w:w="1620" w:type="dxa"/>
            <w:vAlign w:val="bottom"/>
            <w:tcBorders>
              <w:right w:val="single" w:sz="8" w:color="auto"/>
            </w:tcBorders>
            <w:gridSpan w:val="4"/>
          </w:tcPr>
          <w:p>
            <w:pPr>
              <w:jc w:val="center"/>
              <w:ind w:right="100"/>
              <w:spacing w:after="0" w:line="196" w:lineRule="exact"/>
              <w:rPr>
                <w:sz w:val="20"/>
                <w:szCs w:val="20"/>
                <w:color w:val="auto"/>
              </w:rPr>
            </w:pPr>
            <w:r>
              <w:rPr>
                <w:rFonts w:ascii="Arial" w:cs="Arial" w:eastAsia="Arial" w:hAnsi="Arial"/>
                <w:sz w:val="18"/>
                <w:szCs w:val="18"/>
                <w:color w:val="auto"/>
                <w:w w:val="88"/>
              </w:rPr>
              <w:t>Canadian Prime Rate</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right w:val="single" w:sz="8" w:color="auto"/>
            </w:tcBorders>
            <w:gridSpan w:val="3"/>
          </w:tcPr>
          <w:p>
            <w:pPr>
              <w:jc w:val="center"/>
              <w:ind w:right="220"/>
              <w:spacing w:after="0" w:line="196" w:lineRule="exact"/>
              <w:rPr>
                <w:sz w:val="20"/>
                <w:szCs w:val="20"/>
                <w:color w:val="auto"/>
              </w:rPr>
            </w:pPr>
            <w:r>
              <w:rPr>
                <w:rFonts w:ascii="Arial" w:cs="Arial" w:eastAsia="Arial" w:hAnsi="Arial"/>
                <w:sz w:val="18"/>
                <w:szCs w:val="18"/>
                <w:color w:val="auto"/>
                <w:w w:val="96"/>
              </w:rPr>
              <w:t>Margin for</w:t>
            </w:r>
          </w:p>
        </w:tc>
        <w:tc>
          <w:tcPr>
            <w:tcW w:w="0" w:type="dxa"/>
            <w:vAlign w:val="bottom"/>
          </w:tcPr>
          <w:p>
            <w:pPr>
              <w:spacing w:after="0"/>
              <w:rPr>
                <w:sz w:val="1"/>
                <w:szCs w:val="1"/>
                <w:color w:val="auto"/>
              </w:rPr>
            </w:pPr>
          </w:p>
        </w:tc>
      </w:tr>
      <w:tr>
        <w:trPr>
          <w:trHeight w:val="20"/>
        </w:trPr>
        <w:tc>
          <w:tcPr>
            <w:tcW w:w="880" w:type="dxa"/>
            <w:vAlign w:val="bottom"/>
            <w:tcBorders>
              <w:left w:val="single" w:sz="8" w:color="auto"/>
              <w:right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left w:val="single" w:sz="8" w:color="auto"/>
              <w:right w:val="single" w:sz="8" w:color="auto"/>
            </w:tcBorders>
            <w:gridSpan w:val="3"/>
          </w:tcPr>
          <w:p>
            <w:pPr>
              <w:jc w:val="center"/>
              <w:ind w:right="20"/>
              <w:spacing w:after="0" w:line="196" w:lineRule="exact"/>
              <w:rPr>
                <w:sz w:val="20"/>
                <w:szCs w:val="20"/>
                <w:color w:val="auto"/>
              </w:rPr>
            </w:pPr>
            <w:r>
              <w:rPr>
                <w:rFonts w:ascii="Arial" w:cs="Arial" w:eastAsia="Arial" w:hAnsi="Arial"/>
                <w:sz w:val="18"/>
                <w:szCs w:val="18"/>
                <w:color w:val="auto"/>
                <w:w w:val="97"/>
              </w:rPr>
              <w:t>Level</w:t>
            </w:r>
          </w:p>
        </w:tc>
        <w:tc>
          <w:tcPr>
            <w:tcW w:w="20" w:type="dxa"/>
            <w:vAlign w:val="bottom"/>
          </w:tcPr>
          <w:p>
            <w:pPr>
              <w:spacing w:after="0"/>
              <w:rPr>
                <w:sz w:val="17"/>
                <w:szCs w:val="17"/>
                <w:color w:val="auto"/>
              </w:rPr>
            </w:pPr>
          </w:p>
        </w:tc>
        <w:tc>
          <w:tcPr>
            <w:tcW w:w="1160" w:type="dxa"/>
            <w:vAlign w:val="bottom"/>
            <w:tcBorders>
              <w:right w:val="single" w:sz="8" w:color="auto"/>
            </w:tcBorders>
            <w:gridSpan w:val="4"/>
          </w:tcPr>
          <w:p>
            <w:pPr>
              <w:jc w:val="center"/>
              <w:ind w:right="60"/>
              <w:spacing w:after="0" w:line="196" w:lineRule="exact"/>
              <w:rPr>
                <w:sz w:val="20"/>
                <w:szCs w:val="20"/>
                <w:color w:val="auto"/>
              </w:rPr>
            </w:pPr>
            <w:r>
              <w:rPr>
                <w:rFonts w:ascii="Arial" w:cs="Arial" w:eastAsia="Arial" w:hAnsi="Arial"/>
                <w:sz w:val="18"/>
                <w:szCs w:val="18"/>
                <w:color w:val="auto"/>
                <w:w w:val="90"/>
              </w:rPr>
              <w:t>Leverage Ratio</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4"/>
          </w:tcPr>
          <w:p>
            <w:pPr>
              <w:jc w:val="center"/>
              <w:ind w:right="600"/>
              <w:spacing w:after="0" w:line="196" w:lineRule="exact"/>
              <w:rPr>
                <w:sz w:val="20"/>
                <w:szCs w:val="20"/>
                <w:color w:val="auto"/>
              </w:rPr>
            </w:pPr>
            <w:r>
              <w:rPr>
                <w:rFonts w:ascii="Arial" w:cs="Arial" w:eastAsia="Arial" w:hAnsi="Arial"/>
                <w:sz w:val="18"/>
                <w:szCs w:val="18"/>
                <w:color w:val="auto"/>
                <w:w w:val="89"/>
              </w:rPr>
              <w:t>Loans</w:t>
            </w:r>
          </w:p>
        </w:tc>
        <w:tc>
          <w:tcPr>
            <w:tcW w:w="1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2"/>
          </w:tcPr>
          <w:p>
            <w:pPr>
              <w:jc w:val="center"/>
              <w:ind w:right="380"/>
              <w:spacing w:after="0" w:line="196" w:lineRule="exact"/>
              <w:rPr>
                <w:sz w:val="20"/>
                <w:szCs w:val="20"/>
                <w:color w:val="auto"/>
              </w:rPr>
            </w:pPr>
            <w:r>
              <w:rPr>
                <w:rFonts w:ascii="Arial" w:cs="Arial" w:eastAsia="Arial" w:hAnsi="Arial"/>
                <w:sz w:val="18"/>
                <w:szCs w:val="18"/>
                <w:color w:val="auto"/>
                <w:w w:val="94"/>
              </w:rPr>
              <w:t>ABR Loans</w:t>
            </w:r>
          </w:p>
        </w:tc>
        <w:tc>
          <w:tcPr>
            <w:tcW w:w="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89"/>
              </w:rPr>
              <w:t>Loans</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right w:val="single" w:sz="8" w:color="auto"/>
            </w:tcBorders>
            <w:gridSpan w:val="4"/>
          </w:tcPr>
          <w:p>
            <w:pPr>
              <w:jc w:val="center"/>
              <w:ind w:right="140"/>
              <w:spacing w:after="0" w:line="196" w:lineRule="exact"/>
              <w:rPr>
                <w:sz w:val="20"/>
                <w:szCs w:val="20"/>
                <w:color w:val="auto"/>
              </w:rPr>
            </w:pPr>
            <w:r>
              <w:rPr>
                <w:rFonts w:ascii="Arial" w:cs="Arial" w:eastAsia="Arial" w:hAnsi="Arial"/>
                <w:sz w:val="18"/>
                <w:szCs w:val="18"/>
                <w:color w:val="auto"/>
                <w:w w:val="85"/>
              </w:rPr>
              <w:t>Unused Fees</w:t>
            </w:r>
          </w:p>
        </w:tc>
        <w:tc>
          <w:tcPr>
            <w:tcW w:w="0" w:type="dxa"/>
            <w:vAlign w:val="bottom"/>
          </w:tcPr>
          <w:p>
            <w:pPr>
              <w:spacing w:after="0"/>
              <w:rPr>
                <w:sz w:val="1"/>
                <w:szCs w:val="1"/>
                <w:color w:val="auto"/>
              </w:rPr>
            </w:pPr>
          </w:p>
        </w:tc>
      </w:tr>
      <w:tr>
        <w:trPr>
          <w:trHeight w:val="48"/>
        </w:trPr>
        <w:tc>
          <w:tcPr>
            <w:tcW w:w="220" w:type="dxa"/>
            <w:vAlign w:val="bottom"/>
            <w:tcBorders>
              <w:left w:val="single" w:sz="8" w:color="auto"/>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rPr>
              <w:t>I</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3"/>
              </w:rPr>
              <w:t>&lt; 1.00x</w:t>
            </w:r>
          </w:p>
        </w:tc>
        <w:tc>
          <w:tcPr>
            <w:tcW w:w="142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1.625%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6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0.625%</w:t>
            </w:r>
          </w:p>
        </w:tc>
        <w:tc>
          <w:tcPr>
            <w:tcW w:w="3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91"/>
              </w:rPr>
              <w:t>2.125%</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0.25%</w:t>
            </w:r>
          </w:p>
        </w:tc>
        <w:tc>
          <w:tcPr>
            <w:tcW w:w="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rPr>
              <w:t>II</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3"/>
              </w:rPr>
              <w:t>&lt; 1.50x</w:t>
            </w:r>
          </w:p>
        </w:tc>
        <w:tc>
          <w:tcPr>
            <w:tcW w:w="142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1.875%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6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0.875%</w:t>
            </w:r>
          </w:p>
        </w:tc>
        <w:tc>
          <w:tcPr>
            <w:tcW w:w="3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91"/>
              </w:rPr>
              <w:t>2.375%</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0.30%</w:t>
            </w:r>
          </w:p>
        </w:tc>
        <w:tc>
          <w:tcPr>
            <w:tcW w:w="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rPr>
              <w:t>III</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3"/>
              </w:rPr>
              <w:t>&lt; 2.00x</w:t>
            </w:r>
          </w:p>
        </w:tc>
        <w:tc>
          <w:tcPr>
            <w:tcW w:w="142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2.125%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6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1.125%</w:t>
            </w:r>
          </w:p>
        </w:tc>
        <w:tc>
          <w:tcPr>
            <w:tcW w:w="3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91"/>
              </w:rPr>
              <w:t>2.625%</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0.35%</w:t>
            </w:r>
          </w:p>
        </w:tc>
        <w:tc>
          <w:tcPr>
            <w:tcW w:w="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rPr>
              <w:t>IV</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3"/>
              </w:rPr>
              <w:t>&lt; 2.50x</w:t>
            </w:r>
          </w:p>
        </w:tc>
        <w:tc>
          <w:tcPr>
            <w:tcW w:w="142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2.375%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6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1.375%</w:t>
            </w:r>
          </w:p>
        </w:tc>
        <w:tc>
          <w:tcPr>
            <w:tcW w:w="3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91"/>
              </w:rPr>
              <w:t>2.875%</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0.40%</w:t>
            </w:r>
          </w:p>
        </w:tc>
        <w:tc>
          <w:tcPr>
            <w:tcW w:w="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rPr>
              <w:t>V</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3"/>
              </w:rPr>
              <w:t>&lt; 3.00x</w:t>
            </w:r>
          </w:p>
        </w:tc>
        <w:tc>
          <w:tcPr>
            <w:tcW w:w="142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2.625%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6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1.625%</w:t>
            </w:r>
          </w:p>
        </w:tc>
        <w:tc>
          <w:tcPr>
            <w:tcW w:w="3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91"/>
              </w:rPr>
              <w:t>3.125%</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0.45%</w:t>
            </w:r>
          </w:p>
        </w:tc>
        <w:tc>
          <w:tcPr>
            <w:tcW w:w="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2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8"/>
                <w:szCs w:val="18"/>
                <w:color w:val="auto"/>
              </w:rPr>
              <w:t>VI</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8"/>
                <w:szCs w:val="18"/>
                <w:color w:val="auto"/>
                <w:w w:val="93"/>
              </w:rPr>
              <w:t>&gt; 3.00x</w:t>
            </w:r>
          </w:p>
        </w:tc>
        <w:tc>
          <w:tcPr>
            <w:tcW w:w="1420" w:type="dxa"/>
            <w:vAlign w:val="bottom"/>
            <w:gridSpan w:val="5"/>
            <w:vMerge w:val="restart"/>
          </w:tcPr>
          <w:p>
            <w:pPr>
              <w:jc w:val="center"/>
              <w:ind w:left="330"/>
              <w:spacing w:after="0"/>
              <w:rPr>
                <w:sz w:val="20"/>
                <w:szCs w:val="20"/>
                <w:color w:val="auto"/>
              </w:rPr>
            </w:pPr>
            <w:r>
              <w:rPr>
                <w:rFonts w:ascii="Arial" w:cs="Arial" w:eastAsia="Arial" w:hAnsi="Arial"/>
                <w:sz w:val="18"/>
                <w:szCs w:val="18"/>
                <w:color w:val="auto"/>
                <w:w w:val="91"/>
              </w:rPr>
              <w:t>2.875%</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60" w:type="dxa"/>
            <w:vAlign w:val="bottom"/>
            <w:gridSpan w:val="3"/>
            <w:vMerge w:val="restart"/>
          </w:tcPr>
          <w:p>
            <w:pPr>
              <w:jc w:val="center"/>
              <w:ind w:left="310"/>
              <w:spacing w:after="0"/>
              <w:rPr>
                <w:sz w:val="20"/>
                <w:szCs w:val="20"/>
                <w:color w:val="auto"/>
              </w:rPr>
            </w:pPr>
            <w:r>
              <w:rPr>
                <w:rFonts w:ascii="Arial" w:cs="Arial" w:eastAsia="Arial" w:hAnsi="Arial"/>
                <w:sz w:val="18"/>
                <w:szCs w:val="18"/>
                <w:color w:val="auto"/>
                <w:w w:val="88"/>
              </w:rPr>
              <w:t>1.875%</w:t>
            </w:r>
          </w:p>
        </w:tc>
        <w:tc>
          <w:tcPr>
            <w:tcW w:w="3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580" w:type="dxa"/>
            <w:vAlign w:val="bottom"/>
            <w:gridSpan w:val="4"/>
            <w:vMerge w:val="restart"/>
          </w:tcPr>
          <w:p>
            <w:pPr>
              <w:jc w:val="center"/>
              <w:spacing w:after="0"/>
              <w:rPr>
                <w:sz w:val="20"/>
                <w:szCs w:val="20"/>
                <w:color w:val="auto"/>
              </w:rPr>
            </w:pPr>
            <w:r>
              <w:rPr>
                <w:rFonts w:ascii="Arial" w:cs="Arial" w:eastAsia="Arial" w:hAnsi="Arial"/>
                <w:sz w:val="18"/>
                <w:szCs w:val="18"/>
                <w:color w:val="auto"/>
                <w:w w:val="91"/>
              </w:rPr>
              <w:t>3.375%</w:t>
            </w:r>
          </w:p>
        </w:tc>
        <w:tc>
          <w:tcPr>
            <w:tcW w:w="100" w:type="dxa"/>
            <w:vAlign w:val="bottom"/>
            <w:tcBorders>
              <w:right w:val="single" w:sz="8" w:color="auto"/>
            </w:tcBorders>
          </w:tcPr>
          <w:p>
            <w:pPr>
              <w:spacing w:after="0"/>
              <w:rPr>
                <w:sz w:val="24"/>
                <w:szCs w:val="24"/>
                <w:color w:val="auto"/>
              </w:rPr>
            </w:pPr>
          </w:p>
        </w:tc>
        <w:tc>
          <w:tcPr>
            <w:tcW w:w="960" w:type="dxa"/>
            <w:vAlign w:val="bottom"/>
            <w:gridSpan w:val="3"/>
            <w:vMerge w:val="restart"/>
          </w:tcPr>
          <w:p>
            <w:pPr>
              <w:jc w:val="center"/>
              <w:ind w:left="90"/>
              <w:spacing w:after="0"/>
              <w:rPr>
                <w:sz w:val="20"/>
                <w:szCs w:val="20"/>
                <w:color w:val="auto"/>
              </w:rPr>
            </w:pPr>
            <w:r>
              <w:rPr>
                <w:rFonts w:ascii="Arial" w:cs="Arial" w:eastAsia="Arial" w:hAnsi="Arial"/>
                <w:sz w:val="18"/>
                <w:szCs w:val="18"/>
                <w:color w:val="auto"/>
                <w:w w:val="90"/>
              </w:rPr>
              <w:t>0.50%</w:t>
            </w: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2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420" w:type="dxa"/>
            <w:vAlign w:val="bottom"/>
            <w:gridSpan w:val="5"/>
            <w:vMerge w:val="continue"/>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580" w:type="dxa"/>
            <w:vAlign w:val="bottom"/>
            <w:gridSpan w:val="4"/>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100" w:firstLine="5"/>
        <w:spacing w:after="0" w:line="290" w:lineRule="auto"/>
        <w:tabs>
          <w:tab w:leader="none" w:pos="545"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for any day after the Covenant Relief Period, with respect to any Loan, or with respect to the Unused Fees, the applicable per annum rate in the table set forth below based upon the Leverage Ratio for the most recently ended trailing four-quarter period with respect to which the Company is required to have delivered the financial statements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(as such Leverage Ratio is reflected in the Compliance Certificate delivered under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u w:val="single" w:color="auto"/>
          <w:color w:val="auto"/>
        </w:rPr>
        <w:t>5.01</w:t>
      </w:r>
      <w:r>
        <w:rPr>
          <w:rFonts w:ascii="Arial" w:cs="Arial" w:eastAsia="Arial" w:hAnsi="Arial"/>
          <w:sz w:val="22"/>
          <w:szCs w:val="22"/>
          <w:color w:val="auto"/>
        </w:rPr>
        <w:t xml:space="preserve"> by the Company in connection with the financial statements for such fiscal quarter):</w:t>
      </w:r>
    </w:p>
    <w:p>
      <w:pPr>
        <w:spacing w:after="0" w:line="325" w:lineRule="exact"/>
        <w:rPr>
          <w:sz w:val="20"/>
          <w:szCs w:val="20"/>
          <w:color w:val="auto"/>
        </w:rPr>
      </w:pPr>
    </w:p>
    <w:tbl>
      <w:tblPr>
        <w:tblLayout w:type="fixed"/>
        <w:tblInd w:w="290" w:type="dxa"/>
        <w:tblCellMar>
          <w:top w:w="0" w:type="dxa"/>
          <w:left w:w="0" w:type="dxa"/>
          <w:bottom w:w="0" w:type="dxa"/>
          <w:right w:w="0" w:type="dxa"/>
        </w:tblCellMar>
      </w:tblPr>
      <w:tr>
        <w:trPr>
          <w:trHeight w:val="216"/>
        </w:trPr>
        <w:tc>
          <w:tcPr>
            <w:tcW w:w="220" w:type="dxa"/>
            <w:vAlign w:val="bottom"/>
            <w:tcBorders>
              <w:top w:val="single" w:sz="8" w:color="auto"/>
              <w:left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right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right w:val="single" w:sz="8" w:color="auto"/>
            </w:tcBorders>
            <w:gridSpan w:val="7"/>
          </w:tcPr>
          <w:p>
            <w:pPr>
              <w:jc w:val="center"/>
              <w:ind w:right="160"/>
              <w:spacing w:after="0"/>
              <w:rPr>
                <w:sz w:val="20"/>
                <w:szCs w:val="20"/>
                <w:color w:val="auto"/>
              </w:rPr>
            </w:pPr>
            <w:r>
              <w:rPr>
                <w:rFonts w:ascii="Arial" w:cs="Arial" w:eastAsia="Arial" w:hAnsi="Arial"/>
                <w:sz w:val="18"/>
                <w:szCs w:val="18"/>
                <w:color w:val="auto"/>
                <w:w w:val="95"/>
              </w:rPr>
              <w:t>Applicable Margin for</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right w:val="single" w:sz="8" w:color="auto"/>
            </w:tcBorders>
          </w:tcPr>
          <w:p>
            <w:pPr>
              <w:spacing w:after="0"/>
              <w:rPr>
                <w:sz w:val="18"/>
                <w:szCs w:val="18"/>
                <w:color w:val="auto"/>
              </w:rPr>
            </w:pPr>
          </w:p>
        </w:tc>
      </w:tr>
      <w:tr>
        <w:trPr>
          <w:trHeight w:val="196"/>
        </w:trPr>
        <w:tc>
          <w:tcPr>
            <w:tcW w:w="22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4"/>
          </w:tcPr>
          <w:p>
            <w:pPr>
              <w:jc w:val="center"/>
              <w:ind w:right="300"/>
              <w:spacing w:after="0" w:line="196" w:lineRule="exact"/>
              <w:rPr>
                <w:sz w:val="20"/>
                <w:szCs w:val="20"/>
                <w:color w:val="auto"/>
              </w:rPr>
            </w:pPr>
            <w:r>
              <w:rPr>
                <w:rFonts w:ascii="Arial" w:cs="Arial" w:eastAsia="Arial" w:hAnsi="Arial"/>
                <w:sz w:val="18"/>
                <w:szCs w:val="18"/>
                <w:color w:val="auto"/>
                <w:w w:val="89"/>
              </w:rPr>
              <w:t>Eurocurrency,</w:t>
            </w:r>
          </w:p>
        </w:tc>
        <w:tc>
          <w:tcPr>
            <w:tcW w:w="160" w:type="dxa"/>
            <w:vAlign w:val="bottom"/>
            <w:tcBorders>
              <w:right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Borders>
              <w:right w:val="single" w:sz="8" w:color="auto"/>
            </w:tcBorders>
            <w:gridSpan w:val="4"/>
          </w:tcPr>
          <w:p>
            <w:pPr>
              <w:jc w:val="center"/>
              <w:ind w:right="40"/>
              <w:spacing w:after="0" w:line="196" w:lineRule="exact"/>
              <w:rPr>
                <w:sz w:val="20"/>
                <w:szCs w:val="20"/>
                <w:color w:val="auto"/>
              </w:rPr>
            </w:pPr>
            <w:r>
              <w:rPr>
                <w:rFonts w:ascii="Arial" w:cs="Arial" w:eastAsia="Arial" w:hAnsi="Arial"/>
                <w:sz w:val="18"/>
                <w:szCs w:val="18"/>
                <w:color w:val="auto"/>
                <w:w w:val="93"/>
              </w:rPr>
              <w:t>Applicable Margin for</w:t>
            </w:r>
          </w:p>
        </w:tc>
        <w:tc>
          <w:tcPr>
            <w:tcW w:w="120" w:type="dxa"/>
            <w:vAlign w:val="bottom"/>
          </w:tcPr>
          <w:p>
            <w:pPr>
              <w:spacing w:after="0"/>
              <w:rPr>
                <w:sz w:val="17"/>
                <w:szCs w:val="17"/>
                <w:color w:val="auto"/>
              </w:rPr>
            </w:pPr>
          </w:p>
        </w:tc>
        <w:tc>
          <w:tcPr>
            <w:tcW w:w="1060" w:type="dxa"/>
            <w:vAlign w:val="bottom"/>
            <w:tcBorders>
              <w:right w:val="single" w:sz="8" w:color="auto"/>
            </w:tcBorders>
            <w:gridSpan w:val="4"/>
          </w:tcPr>
          <w:p>
            <w:pPr>
              <w:jc w:val="center"/>
              <w:ind w:right="160"/>
              <w:spacing w:after="0" w:line="196" w:lineRule="exact"/>
              <w:rPr>
                <w:sz w:val="20"/>
                <w:szCs w:val="20"/>
                <w:color w:val="auto"/>
              </w:rPr>
            </w:pPr>
            <w:r>
              <w:rPr>
                <w:rFonts w:ascii="Arial" w:cs="Arial" w:eastAsia="Arial" w:hAnsi="Arial"/>
                <w:sz w:val="18"/>
                <w:szCs w:val="18"/>
                <w:color w:val="auto"/>
                <w:w w:val="93"/>
              </w:rPr>
              <w:t>Applicable</w:t>
            </w:r>
          </w:p>
        </w:tc>
      </w:tr>
      <w:tr>
        <w:trPr>
          <w:trHeight w:val="20"/>
        </w:trPr>
        <w:tc>
          <w:tcPr>
            <w:tcW w:w="22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22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6"/>
          </w:tcPr>
          <w:p>
            <w:pPr>
              <w:jc w:val="center"/>
              <w:spacing w:after="0" w:line="196" w:lineRule="exact"/>
              <w:rPr>
                <w:sz w:val="20"/>
                <w:szCs w:val="20"/>
                <w:color w:val="auto"/>
              </w:rPr>
            </w:pPr>
            <w:r>
              <w:rPr>
                <w:rFonts w:ascii="Arial" w:cs="Arial" w:eastAsia="Arial" w:hAnsi="Arial"/>
                <w:sz w:val="18"/>
                <w:szCs w:val="18"/>
                <w:color w:val="auto"/>
                <w:w w:val="93"/>
              </w:rPr>
              <w:t>EURIBOR and CDOR</w:t>
            </w:r>
          </w:p>
        </w:tc>
        <w:tc>
          <w:tcPr>
            <w:tcW w:w="1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gridSpan w:val="5"/>
          </w:tcPr>
          <w:p>
            <w:pPr>
              <w:jc w:val="center"/>
              <w:ind w:right="40"/>
              <w:spacing w:after="0" w:line="196" w:lineRule="exact"/>
              <w:rPr>
                <w:sz w:val="20"/>
                <w:szCs w:val="20"/>
                <w:color w:val="auto"/>
              </w:rPr>
            </w:pPr>
            <w:r>
              <w:rPr>
                <w:rFonts w:ascii="Arial" w:cs="Arial" w:eastAsia="Arial" w:hAnsi="Arial"/>
                <w:sz w:val="18"/>
                <w:szCs w:val="18"/>
                <w:color w:val="auto"/>
                <w:w w:val="95"/>
              </w:rPr>
              <w:t>Applicable Margin for</w:t>
            </w:r>
          </w:p>
        </w:tc>
        <w:tc>
          <w:tcPr>
            <w:tcW w:w="60" w:type="dxa"/>
            <w:vAlign w:val="bottom"/>
          </w:tcPr>
          <w:p>
            <w:pPr>
              <w:spacing w:after="0"/>
              <w:rPr>
                <w:sz w:val="17"/>
                <w:szCs w:val="17"/>
                <w:color w:val="auto"/>
              </w:rPr>
            </w:pPr>
          </w:p>
        </w:tc>
        <w:tc>
          <w:tcPr>
            <w:tcW w:w="1620" w:type="dxa"/>
            <w:vAlign w:val="bottom"/>
            <w:tcBorders>
              <w:right w:val="single" w:sz="8" w:color="auto"/>
            </w:tcBorders>
            <w:gridSpan w:val="4"/>
          </w:tcPr>
          <w:p>
            <w:pPr>
              <w:jc w:val="center"/>
              <w:ind w:right="100"/>
              <w:spacing w:after="0" w:line="196" w:lineRule="exact"/>
              <w:rPr>
                <w:sz w:val="20"/>
                <w:szCs w:val="20"/>
                <w:color w:val="auto"/>
              </w:rPr>
            </w:pPr>
            <w:r>
              <w:rPr>
                <w:rFonts w:ascii="Arial" w:cs="Arial" w:eastAsia="Arial" w:hAnsi="Arial"/>
                <w:sz w:val="18"/>
                <w:szCs w:val="18"/>
                <w:color w:val="auto"/>
                <w:w w:val="88"/>
              </w:rPr>
              <w:t>Canadian Prime Rate</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right w:val="single" w:sz="8" w:color="auto"/>
            </w:tcBorders>
            <w:gridSpan w:val="3"/>
          </w:tcPr>
          <w:p>
            <w:pPr>
              <w:jc w:val="center"/>
              <w:ind w:right="220"/>
              <w:spacing w:after="0" w:line="196" w:lineRule="exact"/>
              <w:rPr>
                <w:sz w:val="20"/>
                <w:szCs w:val="20"/>
                <w:color w:val="auto"/>
              </w:rPr>
            </w:pPr>
            <w:r>
              <w:rPr>
                <w:rFonts w:ascii="Arial" w:cs="Arial" w:eastAsia="Arial" w:hAnsi="Arial"/>
                <w:sz w:val="18"/>
                <w:szCs w:val="18"/>
                <w:color w:val="auto"/>
                <w:w w:val="96"/>
              </w:rPr>
              <w:t>Margin for</w:t>
            </w:r>
          </w:p>
        </w:tc>
      </w:tr>
      <w:tr>
        <w:trPr>
          <w:trHeight w:val="20"/>
        </w:trPr>
        <w:tc>
          <w:tcPr>
            <w:tcW w:w="880" w:type="dxa"/>
            <w:vAlign w:val="bottom"/>
            <w:tcBorders>
              <w:left w:val="single" w:sz="8" w:color="auto"/>
              <w:right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880" w:type="dxa"/>
            <w:vAlign w:val="bottom"/>
            <w:tcBorders>
              <w:left w:val="single" w:sz="8" w:color="auto"/>
              <w:right w:val="single" w:sz="8" w:color="auto"/>
            </w:tcBorders>
            <w:gridSpan w:val="3"/>
          </w:tcPr>
          <w:p>
            <w:pPr>
              <w:jc w:val="center"/>
              <w:ind w:right="20"/>
              <w:spacing w:after="0" w:line="196" w:lineRule="exact"/>
              <w:rPr>
                <w:sz w:val="20"/>
                <w:szCs w:val="20"/>
                <w:color w:val="auto"/>
              </w:rPr>
            </w:pPr>
            <w:r>
              <w:rPr>
                <w:rFonts w:ascii="Arial" w:cs="Arial" w:eastAsia="Arial" w:hAnsi="Arial"/>
                <w:sz w:val="18"/>
                <w:szCs w:val="18"/>
                <w:color w:val="auto"/>
                <w:w w:val="97"/>
              </w:rPr>
              <w:t>Level</w:t>
            </w:r>
          </w:p>
        </w:tc>
        <w:tc>
          <w:tcPr>
            <w:tcW w:w="2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60"/>
              <w:spacing w:after="0" w:line="196" w:lineRule="exact"/>
              <w:rPr>
                <w:sz w:val="20"/>
                <w:szCs w:val="20"/>
                <w:color w:val="auto"/>
              </w:rPr>
            </w:pPr>
            <w:r>
              <w:rPr>
                <w:rFonts w:ascii="Arial" w:cs="Arial" w:eastAsia="Arial" w:hAnsi="Arial"/>
                <w:sz w:val="18"/>
                <w:szCs w:val="18"/>
                <w:color w:val="auto"/>
                <w:w w:val="90"/>
              </w:rPr>
              <w:t>Leverage Ratio</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4"/>
          </w:tcPr>
          <w:p>
            <w:pPr>
              <w:jc w:val="center"/>
              <w:ind w:right="600"/>
              <w:spacing w:after="0" w:line="196" w:lineRule="exact"/>
              <w:rPr>
                <w:sz w:val="20"/>
                <w:szCs w:val="20"/>
                <w:color w:val="auto"/>
              </w:rPr>
            </w:pPr>
            <w:r>
              <w:rPr>
                <w:rFonts w:ascii="Arial" w:cs="Arial" w:eastAsia="Arial" w:hAnsi="Arial"/>
                <w:sz w:val="18"/>
                <w:szCs w:val="18"/>
                <w:color w:val="auto"/>
                <w:w w:val="89"/>
              </w:rPr>
              <w:t>Loans</w:t>
            </w:r>
          </w:p>
        </w:tc>
        <w:tc>
          <w:tcPr>
            <w:tcW w:w="1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2"/>
          </w:tcPr>
          <w:p>
            <w:pPr>
              <w:jc w:val="center"/>
              <w:ind w:right="380"/>
              <w:spacing w:after="0" w:line="196" w:lineRule="exact"/>
              <w:rPr>
                <w:sz w:val="20"/>
                <w:szCs w:val="20"/>
                <w:color w:val="auto"/>
              </w:rPr>
            </w:pPr>
            <w:r>
              <w:rPr>
                <w:rFonts w:ascii="Arial" w:cs="Arial" w:eastAsia="Arial" w:hAnsi="Arial"/>
                <w:sz w:val="18"/>
                <w:szCs w:val="18"/>
                <w:color w:val="auto"/>
                <w:w w:val="94"/>
              </w:rPr>
              <w:t>ABR Loans</w:t>
            </w:r>
          </w:p>
        </w:tc>
        <w:tc>
          <w:tcPr>
            <w:tcW w:w="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89"/>
              </w:rPr>
              <w:t>Loans</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right w:val="single" w:sz="8" w:color="auto"/>
            </w:tcBorders>
            <w:gridSpan w:val="4"/>
          </w:tcPr>
          <w:p>
            <w:pPr>
              <w:jc w:val="center"/>
              <w:ind w:right="140"/>
              <w:spacing w:after="0" w:line="196" w:lineRule="exact"/>
              <w:rPr>
                <w:sz w:val="20"/>
                <w:szCs w:val="20"/>
                <w:color w:val="auto"/>
              </w:rPr>
            </w:pPr>
            <w:r>
              <w:rPr>
                <w:rFonts w:ascii="Arial" w:cs="Arial" w:eastAsia="Arial" w:hAnsi="Arial"/>
                <w:sz w:val="18"/>
                <w:szCs w:val="18"/>
                <w:color w:val="auto"/>
                <w:w w:val="85"/>
              </w:rPr>
              <w:t>Unused Fees</w:t>
            </w:r>
          </w:p>
        </w:tc>
      </w:tr>
      <w:tr>
        <w:trPr>
          <w:trHeight w:val="48"/>
        </w:trPr>
        <w:tc>
          <w:tcPr>
            <w:tcW w:w="220" w:type="dxa"/>
            <w:vAlign w:val="bottom"/>
            <w:tcBorders>
              <w:left w:val="single" w:sz="8" w:color="auto"/>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rPr>
              <w:t>I</w:t>
            </w:r>
          </w:p>
        </w:tc>
        <w:tc>
          <w:tcPr>
            <w:tcW w:w="2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3"/>
              </w:rPr>
              <w:t>&lt; 1.00x</w:t>
            </w:r>
          </w:p>
        </w:tc>
        <w:tc>
          <w:tcPr>
            <w:tcW w:w="142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1.625%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6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0.625%</w:t>
            </w:r>
          </w:p>
        </w:tc>
        <w:tc>
          <w:tcPr>
            <w:tcW w:w="3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91"/>
              </w:rPr>
              <w:t>2.125%</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0.25%</w:t>
            </w:r>
          </w:p>
        </w:tc>
        <w:tc>
          <w:tcPr>
            <w:tcW w:w="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27"/>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color w:val="auto"/>
              </w:rPr>
              <w:t>II</w:t>
            </w:r>
          </w:p>
        </w:tc>
        <w:tc>
          <w:tcPr>
            <w:tcW w:w="2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3"/>
              </w:rPr>
              <w:t>&lt; 1.50x</w:t>
            </w:r>
          </w:p>
        </w:tc>
        <w:tc>
          <w:tcPr>
            <w:tcW w:w="142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1.875%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6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0.875%</w:t>
            </w:r>
          </w:p>
        </w:tc>
        <w:tc>
          <w:tcPr>
            <w:tcW w:w="3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91"/>
              </w:rPr>
              <w:t>2.375%</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0.30%</w:t>
            </w:r>
          </w:p>
        </w:tc>
        <w:tc>
          <w:tcPr>
            <w:tcW w:w="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27"/>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rPr>
              <w:t>III</w:t>
            </w:r>
          </w:p>
        </w:tc>
        <w:tc>
          <w:tcPr>
            <w:tcW w:w="2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3"/>
              </w:rPr>
              <w:t>&lt; 2.00x</w:t>
            </w:r>
          </w:p>
        </w:tc>
        <w:tc>
          <w:tcPr>
            <w:tcW w:w="142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2.125%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6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1.125%</w:t>
            </w:r>
          </w:p>
        </w:tc>
        <w:tc>
          <w:tcPr>
            <w:tcW w:w="3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91"/>
              </w:rPr>
              <w:t>2.625%</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0.35%</w:t>
            </w:r>
          </w:p>
        </w:tc>
        <w:tc>
          <w:tcPr>
            <w:tcW w:w="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27"/>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rPr>
              <w:t>IV</w:t>
            </w:r>
          </w:p>
        </w:tc>
        <w:tc>
          <w:tcPr>
            <w:tcW w:w="2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3"/>
              </w:rPr>
              <w:t>&lt; 2.50x</w:t>
            </w:r>
          </w:p>
        </w:tc>
        <w:tc>
          <w:tcPr>
            <w:tcW w:w="142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2.375%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6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1.375%</w:t>
            </w:r>
          </w:p>
        </w:tc>
        <w:tc>
          <w:tcPr>
            <w:tcW w:w="3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91"/>
              </w:rPr>
              <w:t>2.875%</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0.40%</w:t>
            </w:r>
          </w:p>
        </w:tc>
        <w:tc>
          <w:tcPr>
            <w:tcW w:w="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27"/>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37"/>
        </w:trPr>
        <w:tc>
          <w:tcPr>
            <w:tcW w:w="22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rPr>
              <w:t>V</w:t>
            </w:r>
          </w:p>
        </w:tc>
        <w:tc>
          <w:tcPr>
            <w:tcW w:w="2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1"/>
              </w:rPr>
              <w:t>≥ 2.50x</w:t>
            </w:r>
          </w:p>
        </w:tc>
        <w:tc>
          <w:tcPr>
            <w:tcW w:w="1420" w:type="dxa"/>
            <w:vAlign w:val="bottom"/>
            <w:gridSpan w:val="5"/>
          </w:tcPr>
          <w:p>
            <w:pPr>
              <w:jc w:val="center"/>
              <w:ind w:left="330"/>
              <w:spacing w:after="0"/>
              <w:rPr>
                <w:sz w:val="20"/>
                <w:szCs w:val="20"/>
                <w:color w:val="auto"/>
              </w:rPr>
            </w:pPr>
            <w:r>
              <w:rPr>
                <w:rFonts w:ascii="Arial" w:cs="Arial" w:eastAsia="Arial" w:hAnsi="Arial"/>
                <w:sz w:val="18"/>
                <w:szCs w:val="18"/>
                <w:color w:val="auto"/>
                <w:w w:val="91"/>
              </w:rPr>
              <w:t>2.625%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6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1.625%</w:t>
            </w:r>
          </w:p>
        </w:tc>
        <w:tc>
          <w:tcPr>
            <w:tcW w:w="3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91"/>
              </w:rPr>
              <w:t>3.125%</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0.45%</w:t>
            </w:r>
          </w:p>
        </w:tc>
        <w:tc>
          <w:tcPr>
            <w:tcW w:w="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27"/>
        </w:trPr>
        <w:tc>
          <w:tcPr>
            <w:tcW w:w="2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jc w:val="both"/>
        <w:ind w:left="100"/>
        <w:spacing w:after="0" w:line="246" w:lineRule="auto"/>
        <w:rPr>
          <w:sz w:val="20"/>
          <w:szCs w:val="20"/>
          <w:color w:val="auto"/>
        </w:rPr>
      </w:pPr>
      <w:r>
        <w:rPr>
          <w:rFonts w:ascii="Arial" w:cs="Arial" w:eastAsia="Arial" w:hAnsi="Arial"/>
          <w:sz w:val="22"/>
          <w:szCs w:val="22"/>
          <w:color w:val="auto"/>
        </w:rPr>
        <w:t xml:space="preserve">Each change in the Applicable Margin shall take effect on each date on which such financial statements and Compliance Certificate are delivered pursuant to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commencing with the date on which such financial statements and Compliance Certificate are delivered for the four-quarter period ended December 31, 2016. Notwithstanding the foregoing, for the period from the Effective Date through the date on which the financial statements and Compliance Certificate are delivered for the fiscal quarter ended December 31, 2016, the Applicable Margin shall be determined at Level I. In the event that any financial statement delivered pursuant to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is shown to be</w:t>
      </w:r>
    </w:p>
    <w:p>
      <w:pPr>
        <w:spacing w:after="0" w:line="200" w:lineRule="exact"/>
        <w:rPr>
          <w:sz w:val="20"/>
          <w:szCs w:val="20"/>
          <w:color w:val="auto"/>
        </w:rPr>
      </w:pPr>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591" w:right="239" w:bottom="1440" w:gutter="0" w:footer="0" w:header="0"/>
        </w:sectPr>
      </w:pPr>
    </w:p>
    <w:bookmarkStart w:id="38" w:name="page39"/>
    <w:bookmarkEnd w:id="38"/>
    <w:p>
      <w:pPr>
        <w:jc w:val="both"/>
        <w:ind w:left="100"/>
        <w:spacing w:after="0" w:line="286" w:lineRule="auto"/>
        <w:rPr>
          <w:sz w:val="20"/>
          <w:szCs w:val="20"/>
          <w:color w:val="auto"/>
        </w:rPr>
      </w:pPr>
      <w:r>
        <w:rPr>
          <w:rFonts w:ascii="Arial" w:cs="Arial" w:eastAsia="Arial" w:hAnsi="Arial"/>
          <w:sz w:val="19"/>
          <w:szCs w:val="19"/>
          <w:color w:val="auto"/>
        </w:rPr>
        <w:t>inaccurate when delivered (regardless of whether this Agreement or the Revolving Commitments are in effect when such inaccuracy is discovered), and such inaccuracy, if corrected, would have led to the application of a higher Applicable Margin for any period (an “</w:t>
      </w:r>
      <w:r>
        <w:rPr>
          <w:rFonts w:ascii="Arial" w:cs="Arial" w:eastAsia="Arial" w:hAnsi="Arial"/>
          <w:sz w:val="19"/>
          <w:szCs w:val="19"/>
          <w:u w:val="single" w:color="auto"/>
          <w:color w:val="auto"/>
        </w:rPr>
        <w:t>Applicable Period</w:t>
      </w:r>
      <w:r>
        <w:rPr>
          <w:rFonts w:ascii="Arial" w:cs="Arial" w:eastAsia="Arial" w:hAnsi="Arial"/>
          <w:sz w:val="19"/>
          <w:szCs w:val="19"/>
          <w:color w:val="auto"/>
        </w:rPr>
        <w:t xml:space="preserve">”) than the Applicable Margin applied for such Applicable Period, then the Company shall (a) deliver to the Administrative Agent corrected financial statements for such Applicable Period promptly after completion, (b) determine the Applicable Margin for such Applicable Period based upon such corrected financial statements and (c) promptly pay to the Administrative Agent the accrued additional interest and Unused Fees owing as a result of such increased Applicable Margin for such Applicable Period, which payment shall be promptly applied by the Administrative Agent in accordance with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The provision in the previous sentence is in addition to the rights of the Administrative Agent and the Lenders with respect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5.01</w:t>
      </w:r>
      <w:r>
        <w:rPr>
          <w:rFonts w:ascii="Arial" w:cs="Arial" w:eastAsia="Arial" w:hAnsi="Arial"/>
          <w:sz w:val="19"/>
          <w:szCs w:val="19"/>
          <w:color w:val="auto"/>
        </w:rPr>
        <w:t xml:space="preserve"> and their other respective rights under this Agreement. If the Company fails to deliver the financial statements and corresponding Compliance Certificate to the Administrative Agent at the time required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then effective as of the date such financial statements and corresponding Compliance Certificate were required to be delivered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the Applicable Margin shall be determined at highest level of the then applicable pricing grid above and shall remain at such level until the date such financial statements and corresponding Compliance Certificate are so delivered by the Company.”</w:t>
      </w:r>
    </w:p>
    <w:p>
      <w:pPr>
        <w:spacing w:after="0" w:line="160" w:lineRule="exact"/>
        <w:rPr>
          <w:sz w:val="20"/>
          <w:szCs w:val="20"/>
          <w:color w:val="auto"/>
        </w:rPr>
      </w:pPr>
    </w:p>
    <w:p>
      <w:pPr>
        <w:ind w:left="-540" w:firstLine="645"/>
        <w:spacing w:after="0" w:line="251" w:lineRule="auto"/>
        <w:tabs>
          <w:tab w:leader="none" w:pos="641" w:val="left"/>
        </w:tabs>
        <w:numPr>
          <w:ilvl w:val="0"/>
          <w:numId w:val="25"/>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to add the following new definitions of “Covenant Relief Period” and “First Amendment Effective Date” in proper alphabetical order:</w:t>
      </w:r>
    </w:p>
    <w:p>
      <w:pPr>
        <w:spacing w:after="0" w:line="2" w:lineRule="exact"/>
        <w:rPr>
          <w:rFonts w:ascii="Arial" w:cs="Arial" w:eastAsia="Arial" w:hAnsi="Arial"/>
          <w:sz w:val="22"/>
          <w:szCs w:val="22"/>
          <w:color w:val="auto"/>
        </w:rPr>
      </w:pPr>
    </w:p>
    <w:p>
      <w:pPr>
        <w:jc w:val="both"/>
        <w:ind w:left="100" w:right="20"/>
        <w:spacing w:after="0" w:line="244"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Covenant Relief Period</w:t>
      </w:r>
      <w:r>
        <w:rPr>
          <w:rFonts w:ascii="Arial" w:cs="Arial" w:eastAsia="Arial" w:hAnsi="Arial"/>
          <w:sz w:val="22"/>
          <w:szCs w:val="22"/>
          <w:color w:val="auto"/>
        </w:rPr>
        <w:t xml:space="preserve">” means the period commencing on the First Amendment Effective Date and ending on the date on which the Company delivers the financial statements and Compliance Certificate for the four-quarter period ending December 31, 2017, pursuant to </w:t>
      </w:r>
      <w:r>
        <w:rPr>
          <w:rFonts w:ascii="Arial" w:cs="Arial" w:eastAsia="Arial" w:hAnsi="Arial"/>
          <w:sz w:val="22"/>
          <w:szCs w:val="22"/>
          <w:u w:val="single" w:color="auto"/>
          <w:color w:val="auto"/>
        </w:rPr>
        <w:t>Section 5.01(b)</w:t>
      </w:r>
      <w:r>
        <w:rPr>
          <w:rFonts w:ascii="Arial" w:cs="Arial" w:eastAsia="Arial" w:hAnsi="Arial"/>
          <w:sz w:val="22"/>
          <w:szCs w:val="22"/>
          <w:color w:val="auto"/>
        </w:rPr>
        <w:t xml:space="preserve">, demonstrating compliance with the covenants set forth in </w:t>
      </w:r>
      <w:r>
        <w:rPr>
          <w:rFonts w:ascii="Arial" w:cs="Arial" w:eastAsia="Arial" w:hAnsi="Arial"/>
          <w:sz w:val="22"/>
          <w:szCs w:val="22"/>
          <w:u w:val="single" w:color="auto"/>
          <w:color w:val="auto"/>
        </w:rPr>
        <w:t>Sections 6.12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6.15</w:t>
      </w:r>
      <w:r>
        <w:rPr>
          <w:rFonts w:ascii="Arial" w:cs="Arial" w:eastAsia="Arial" w:hAnsi="Arial"/>
          <w:sz w:val="22"/>
          <w:szCs w:val="22"/>
          <w:color w:val="auto"/>
        </w:rPr>
        <w:t xml:space="preserve"> as of December 31, 2017, and certifying that no Default has occurred and is continuing as of the date of such Compliance Certificate.</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“First Amendment Effective Date” means August 31, 2017.</w:t>
      </w:r>
    </w:p>
    <w:p>
      <w:pPr>
        <w:spacing w:after="0" w:line="220" w:lineRule="exact"/>
        <w:rPr>
          <w:sz w:val="20"/>
          <w:szCs w:val="20"/>
          <w:color w:val="auto"/>
        </w:rPr>
      </w:pPr>
    </w:p>
    <w:p>
      <w:pPr>
        <w:ind w:left="-540" w:firstLine="645"/>
        <w:spacing w:after="0" w:line="263" w:lineRule="auto"/>
        <w:tabs>
          <w:tab w:leader="none" w:pos="581" w:val="left"/>
        </w:tabs>
        <w:numPr>
          <w:ilvl w:val="0"/>
          <w:numId w:val="26"/>
        </w:numPr>
        <w:rPr>
          <w:rFonts w:ascii="Arial" w:cs="Arial" w:eastAsia="Arial" w:hAnsi="Arial"/>
          <w:sz w:val="22"/>
          <w:szCs w:val="22"/>
          <w:color w:val="auto"/>
        </w:rPr>
      </w:pPr>
      <w:r>
        <w:rPr>
          <w:rFonts w:ascii="Arial" w:cs="Arial" w:eastAsia="Arial" w:hAnsi="Arial"/>
          <w:sz w:val="22"/>
          <w:szCs w:val="22"/>
          <w:color w:val="auto"/>
        </w:rPr>
        <w:t>Section 6.06 of the Credit Agreement is hereby amended to restate the proviso thereto in its entirety as follows and add the following new sentence at the end of said Section:</w:t>
      </w:r>
    </w:p>
    <w:p>
      <w:pPr>
        <w:spacing w:after="0" w:line="215" w:lineRule="exact"/>
        <w:rPr>
          <w:sz w:val="20"/>
          <w:szCs w:val="20"/>
          <w:color w:val="auto"/>
        </w:rPr>
      </w:pPr>
    </w:p>
    <w:p>
      <w:pPr>
        <w:jc w:val="both"/>
        <w:ind w:left="100"/>
        <w:spacing w:after="0" w:line="29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all cases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(e)</w:t>
      </w:r>
      <w:r>
        <w:rPr>
          <w:rFonts w:ascii="Arial" w:cs="Arial" w:eastAsia="Arial" w:hAnsi="Arial"/>
          <w:sz w:val="19"/>
          <w:szCs w:val="19"/>
          <w:color w:val="auto"/>
        </w:rPr>
        <w:t xml:space="preserve">, inclusive, above that no Default or Event of Default shall exist before or after giving effect to such Restricted Payment, including, for the avoidance of doubt, any Default under </w:t>
      </w:r>
      <w:r>
        <w:rPr>
          <w:rFonts w:ascii="Arial" w:cs="Arial" w:eastAsia="Arial" w:hAnsi="Arial"/>
          <w:sz w:val="19"/>
          <w:szCs w:val="19"/>
          <w:u w:val="single" w:color="auto"/>
          <w:color w:val="auto"/>
        </w:rPr>
        <w:t>Sections 6.12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6.13</w:t>
      </w:r>
      <w:r>
        <w:rPr>
          <w:rFonts w:ascii="Arial" w:cs="Arial" w:eastAsia="Arial" w:hAnsi="Arial"/>
          <w:sz w:val="19"/>
          <w:szCs w:val="19"/>
          <w:color w:val="auto"/>
        </w:rPr>
        <w:t xml:space="preserve"> after giving effect to such Restricted 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during the period commencing on the First Amendment Effective Date through and including December 31, 2017, the Company will not declare or make, or agree to pay or make, directly or indirectly, any Restricted Payment described in </w:t>
      </w:r>
      <w:r>
        <w:rPr>
          <w:rFonts w:ascii="Arial" w:cs="Arial" w:eastAsia="Arial" w:hAnsi="Arial"/>
          <w:sz w:val="19"/>
          <w:szCs w:val="19"/>
          <w:u w:val="single" w:color="auto"/>
          <w:color w:val="auto"/>
        </w:rPr>
        <w:t>clauses (d)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Section unless, in addition to the condition set forth in the foregoing proviso, (i) the pro forma Leverage Ratio after giving effect to any Consolidated Funded Indebtedness incurred in order to fund such</w:t>
      </w:r>
    </w:p>
    <w:p>
      <w:pPr>
        <w:spacing w:after="0" w:line="38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1440" w:top="591" w:right="239" w:bottom="1440" w:gutter="0" w:footer="0" w:header="0"/>
        </w:sectPr>
      </w:pPr>
    </w:p>
    <w:bookmarkStart w:id="39" w:name="page40"/>
    <w:bookmarkEnd w:id="39"/>
    <w:p>
      <w:pPr>
        <w:jc w:val="both"/>
        <w:ind w:left="1300"/>
        <w:spacing w:after="0" w:line="246" w:lineRule="auto"/>
        <w:rPr>
          <w:sz w:val="20"/>
          <w:szCs w:val="20"/>
          <w:color w:val="auto"/>
        </w:rPr>
      </w:pPr>
      <w:r>
        <w:rPr>
          <w:rFonts w:ascii="Arial" w:cs="Arial" w:eastAsia="Arial" w:hAnsi="Arial"/>
          <w:sz w:val="22"/>
          <w:szCs w:val="22"/>
          <w:color w:val="auto"/>
        </w:rPr>
        <w:t xml:space="preserve">Restricted Payment does not exceed 2.50 to 1.00 (for purposes of the foregoing calculation, the numerator of the Leverage Ratio shall be equal to the amount of Consolidated Funded Indebtedness outstanding as of the date of calculation plus the amount of Consolidated Funded Indebtedness to be incurred to fund such Restricted Payment and the denominator of the Leverage Ratio shall be equal to Consolidated EBITDA as shown in the Compliance Certificate most recently delivered to the Administrative Agent) and (ii) the amount of such Restricted Payment, when combined with all other Restricted Payments described in </w:t>
      </w:r>
      <w:r>
        <w:rPr>
          <w:rFonts w:ascii="Arial" w:cs="Arial" w:eastAsia="Arial" w:hAnsi="Arial"/>
          <w:sz w:val="22"/>
          <w:szCs w:val="22"/>
          <w:u w:val="single" w:color="auto"/>
          <w:color w:val="auto"/>
        </w:rPr>
        <w:t>clauses (d)</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w:t>
      </w:r>
      <w:r>
        <w:rPr>
          <w:rFonts w:ascii="Arial" w:cs="Arial" w:eastAsia="Arial" w:hAnsi="Arial"/>
          <w:sz w:val="22"/>
          <w:szCs w:val="22"/>
          <w:color w:val="auto"/>
        </w:rPr>
        <w:t xml:space="preserve"> made during the period commencing on the First Amendment Effective Date through and including December 31, 2017, does not exceed $5,000,000.”</w:t>
      </w:r>
    </w:p>
    <w:p>
      <w:pPr>
        <w:spacing w:after="0" w:line="195" w:lineRule="exact"/>
        <w:rPr>
          <w:sz w:val="20"/>
          <w:szCs w:val="20"/>
          <w:color w:val="auto"/>
        </w:rPr>
      </w:pPr>
    </w:p>
    <w:p>
      <w:pPr>
        <w:ind w:left="1780" w:hanging="475"/>
        <w:spacing w:after="0"/>
        <w:tabs>
          <w:tab w:leader="none" w:pos="17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Section 6.12 of the Credit Agreement is hereby amended and restated in its entirety as follows:</w:t>
      </w:r>
    </w:p>
    <w:p>
      <w:pPr>
        <w:spacing w:after="0" w:line="260" w:lineRule="exact"/>
        <w:rPr>
          <w:sz w:val="20"/>
          <w:szCs w:val="20"/>
          <w:color w:val="auto"/>
        </w:rPr>
      </w:pPr>
    </w:p>
    <w:p>
      <w:pPr>
        <w:jc w:val="both"/>
        <w:ind w:left="1300"/>
        <w:spacing w:after="0" w:line="254"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Leverage Ratio</w:t>
      </w:r>
      <w:r>
        <w:rPr>
          <w:rFonts w:ascii="Arial" w:cs="Arial" w:eastAsia="Arial" w:hAnsi="Arial"/>
          <w:sz w:val="22"/>
          <w:szCs w:val="22"/>
          <w:color w:val="auto"/>
        </w:rPr>
        <w:t>. The Company will not permit the Leverage Ratio, determined as of the end of each of its fiscal quarters, to exceed (a) 3.00 to 1.00 for the fiscal quarter ended June 30, 2017, (b) 4.00 to 1.00 for the fiscal quarters ending September 30, 2017 and December 31, 2017 and (c) 3.00 to 1.00 for any fiscal quarter ending thereafter.”</w:t>
      </w:r>
    </w:p>
    <w:p>
      <w:pPr>
        <w:spacing w:after="0" w:line="18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19"/>
          <w:szCs w:val="19"/>
          <w:color w:val="auto"/>
        </w:rPr>
        <w:t>Section 6.13 of the Credit Agreement is hereby amended and restated in its entirety as follows:</w:t>
      </w:r>
    </w:p>
    <w:p>
      <w:pPr>
        <w:spacing w:after="0" w:line="260" w:lineRule="exact"/>
        <w:rPr>
          <w:sz w:val="20"/>
          <w:szCs w:val="20"/>
          <w:color w:val="auto"/>
        </w:rPr>
      </w:pPr>
    </w:p>
    <w:p>
      <w:pPr>
        <w:jc w:val="both"/>
        <w:ind w:left="1300"/>
        <w:spacing w:after="0" w:line="320" w:lineRule="auto"/>
        <w:rPr>
          <w:sz w:val="20"/>
          <w:szCs w:val="20"/>
          <w:color w:val="auto"/>
        </w:rPr>
      </w:pPr>
      <w:r>
        <w:rPr>
          <w:rFonts w:ascii="Arial" w:cs="Arial" w:eastAsia="Arial" w:hAnsi="Arial"/>
          <w:sz w:val="19"/>
          <w:szCs w:val="19"/>
          <w:color w:val="auto"/>
        </w:rPr>
        <w:t xml:space="preserve">“SECTION 6.13 </w:t>
      </w:r>
      <w:r>
        <w:rPr>
          <w:rFonts w:ascii="Arial" w:cs="Arial" w:eastAsia="Arial" w:hAnsi="Arial"/>
          <w:sz w:val="19"/>
          <w:szCs w:val="19"/>
          <w:u w:val="single" w:color="auto"/>
          <w:color w:val="auto"/>
        </w:rPr>
        <w:t>Fixed Charge Coverage Ratio</w:t>
      </w:r>
      <w:r>
        <w:rPr>
          <w:rFonts w:ascii="Arial" w:cs="Arial" w:eastAsia="Arial" w:hAnsi="Arial"/>
          <w:sz w:val="19"/>
          <w:szCs w:val="19"/>
          <w:color w:val="auto"/>
        </w:rPr>
        <w:t xml:space="preserve">. The Company will not permit the Fixed Charge Coverage Ratio, determined as of the end of each of its fiscal quarters, to be less than 1.25 to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covenant shall not be tested for the fiscal quarters ending September 30, 2017 and December 31, 2017.”</w:t>
      </w:r>
    </w:p>
    <w:p>
      <w:pPr>
        <w:spacing w:after="0" w:line="125" w:lineRule="exact"/>
        <w:rPr>
          <w:sz w:val="20"/>
          <w:szCs w:val="20"/>
          <w:color w:val="auto"/>
        </w:rPr>
      </w:pPr>
    </w:p>
    <w:p>
      <w:pPr>
        <w:ind w:left="1740" w:hanging="435"/>
        <w:spacing w:after="0"/>
        <w:tabs>
          <w:tab w:leader="none" w:pos="17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Article VI of the Credit Agreement is hereby amended to add the following new Section 6.15 at the end of said</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Article:</w:t>
      </w:r>
    </w:p>
    <w:p>
      <w:pPr>
        <w:spacing w:after="0" w:line="242" w:lineRule="exact"/>
        <w:rPr>
          <w:sz w:val="20"/>
          <w:szCs w:val="20"/>
          <w:color w:val="auto"/>
        </w:rPr>
      </w:pPr>
    </w:p>
    <w:p>
      <w:pPr>
        <w:jc w:val="both"/>
        <w:ind w:left="1300"/>
        <w:spacing w:after="0" w:line="260" w:lineRule="auto"/>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u w:val="single" w:color="auto"/>
          <w:color w:val="auto"/>
        </w:rPr>
        <w:t>Minimum Consolidated EBITDA</w:t>
      </w:r>
      <w:r>
        <w:rPr>
          <w:rFonts w:ascii="Arial" w:cs="Arial" w:eastAsia="Arial" w:hAnsi="Arial"/>
          <w:sz w:val="22"/>
          <w:szCs w:val="22"/>
          <w:color w:val="auto"/>
        </w:rPr>
        <w:t>. The Company will not permit Consolidated EBITDA, measured as of December 31, 2017 for the four fiscal quarter period ending on such date, to be less than $15,000,000.”</w:t>
      </w:r>
    </w:p>
    <w:p>
      <w:pPr>
        <w:spacing w:after="0" w:line="177" w:lineRule="exact"/>
        <w:rPr>
          <w:sz w:val="20"/>
          <w:szCs w:val="20"/>
          <w:color w:val="auto"/>
        </w:rPr>
      </w:pPr>
    </w:p>
    <w:p>
      <w:pPr>
        <w:ind w:left="660" w:firstLine="645"/>
        <w:spacing w:after="0" w:line="263" w:lineRule="auto"/>
        <w:tabs>
          <w:tab w:leader="none" w:pos="1790" w:val="left"/>
        </w:tabs>
        <w:numPr>
          <w:ilvl w:val="1"/>
          <w:numId w:val="29"/>
        </w:numPr>
        <w:rPr>
          <w:rFonts w:ascii="Arial" w:cs="Arial" w:eastAsia="Arial" w:hAnsi="Arial"/>
          <w:sz w:val="22"/>
          <w:szCs w:val="22"/>
          <w:color w:val="auto"/>
        </w:rPr>
      </w:pPr>
      <w:r>
        <w:rPr>
          <w:rFonts w:ascii="Arial" w:cs="Arial" w:eastAsia="Arial" w:hAnsi="Arial"/>
          <w:sz w:val="22"/>
          <w:szCs w:val="22"/>
          <w:color w:val="auto"/>
        </w:rPr>
        <w:t xml:space="preserve">Exhibit H to the Credit Agreement is hereby amended and restated in its entirety to read as set forth on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H</w:t>
      </w:r>
      <w:r>
        <w:rPr>
          <w:rFonts w:ascii="Arial" w:cs="Arial" w:eastAsia="Arial" w:hAnsi="Arial"/>
          <w:sz w:val="22"/>
          <w:szCs w:val="22"/>
          <w:color w:val="auto"/>
        </w:rPr>
        <w:t xml:space="preserve"> attached hereto.</w:t>
      </w:r>
    </w:p>
    <w:p>
      <w:pPr>
        <w:spacing w:after="0" w:line="215" w:lineRule="exact"/>
        <w:rPr>
          <w:rFonts w:ascii="Arial" w:cs="Arial" w:eastAsia="Arial" w:hAnsi="Arial"/>
          <w:sz w:val="22"/>
          <w:szCs w:val="22"/>
          <w:color w:val="auto"/>
        </w:rPr>
      </w:pPr>
    </w:p>
    <w:p>
      <w:pPr>
        <w:ind w:left="1140" w:hanging="484"/>
        <w:spacing w:after="0"/>
        <w:tabs>
          <w:tab w:leader="none" w:pos="114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Conditions Precedent</w:t>
      </w:r>
      <w:r>
        <w:rPr>
          <w:rFonts w:ascii="Arial" w:cs="Arial" w:eastAsia="Arial" w:hAnsi="Arial"/>
          <w:sz w:val="19"/>
          <w:szCs w:val="19"/>
          <w:color w:val="auto"/>
        </w:rPr>
        <w:t>. This Amendment shall be effective on the Effective Date upon satisfaction of the following</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conditions:</w:t>
      </w:r>
    </w:p>
    <w:p>
      <w:pPr>
        <w:spacing w:after="0" w:line="242" w:lineRule="exact"/>
        <w:rPr>
          <w:rFonts w:ascii="Arial" w:cs="Arial" w:eastAsia="Arial" w:hAnsi="Arial"/>
          <w:sz w:val="19"/>
          <w:szCs w:val="19"/>
          <w:color w:val="auto"/>
        </w:rPr>
      </w:pPr>
    </w:p>
    <w:p>
      <w:pPr>
        <w:ind w:left="2200" w:hanging="895"/>
        <w:spacing w:after="0"/>
        <w:tabs>
          <w:tab w:leader="none" w:pos="22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no Default or Event of Default shall exist;</w:t>
      </w:r>
    </w:p>
    <w:p>
      <w:pPr>
        <w:spacing w:after="0" w:line="260" w:lineRule="exact"/>
        <w:rPr>
          <w:rFonts w:ascii="Arial" w:cs="Arial" w:eastAsia="Arial" w:hAnsi="Arial"/>
          <w:sz w:val="22"/>
          <w:szCs w:val="22"/>
          <w:color w:val="auto"/>
        </w:rPr>
      </w:pPr>
    </w:p>
    <w:p>
      <w:pPr>
        <w:ind w:firstLine="1305"/>
        <w:spacing w:after="0" w:line="263" w:lineRule="auto"/>
        <w:tabs>
          <w:tab w:leader="none" w:pos="2197"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Administrative Agent shall have received counterparts of this Amendment, duly executed by the Borrowers, the Subsidiary Guarantors and the Required Lenders; and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40" w:name="page41"/>
    <w:bookmarkEnd w:id="40"/>
    <w:p>
      <w:pPr>
        <w:ind w:firstLine="1305"/>
        <w:spacing w:after="0" w:line="343" w:lineRule="auto"/>
        <w:tabs>
          <w:tab w:leader="none" w:pos="2185"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Administrative Agent shall have received all fees and other amounts due and payable on or prior to the Effective Date, including the reasonable fees, charges and disbursements of counsel for the Administrative Agent.</w:t>
      </w:r>
    </w:p>
    <w:p>
      <w:pPr>
        <w:spacing w:after="0" w:line="145" w:lineRule="exact"/>
        <w:rPr>
          <w:rFonts w:ascii="Arial" w:cs="Arial" w:eastAsia="Arial" w:hAnsi="Arial"/>
          <w:sz w:val="19"/>
          <w:szCs w:val="19"/>
          <w:color w:val="auto"/>
        </w:rPr>
      </w:pPr>
    </w:p>
    <w:p>
      <w:pPr>
        <w:jc w:val="both"/>
        <w:ind w:firstLine="656"/>
        <w:spacing w:after="0" w:line="294" w:lineRule="auto"/>
        <w:tabs>
          <w:tab w:leader="none" w:pos="1094"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Ratification</w:t>
      </w:r>
      <w:r>
        <w:rPr>
          <w:rFonts w:ascii="Arial" w:cs="Arial" w:eastAsia="Arial" w:hAnsi="Arial"/>
          <w:sz w:val="19"/>
          <w:szCs w:val="19"/>
          <w:color w:val="auto"/>
        </w:rPr>
        <w:t>. Each of the Borrowers and Subsidiary Guarantors hereby ratifies all of its Obligations under the Credit Agreement and each of the Loan Documents to which it is a party, and agrees and acknowledges that the Credit Agreement and each of the other Loan Documents to which it is a party are and shall continue to be in full force and effect as amended and modified by this Amendment. Nothing in this Amendment extinguishes, novates or releases any right, claim, lien, security interest or entitlement of any of the Lenders or the Administrative Agent created by or contained in any of such documents nor are the Borrowers or Subsidiary Guarantors released from any covenant, warranty or obligation created by or contained herein or therein.</w:t>
      </w:r>
    </w:p>
    <w:p>
      <w:pPr>
        <w:spacing w:after="0" w:line="190" w:lineRule="exact"/>
        <w:rPr>
          <w:rFonts w:ascii="Arial" w:cs="Arial" w:eastAsia="Arial" w:hAnsi="Arial"/>
          <w:sz w:val="19"/>
          <w:szCs w:val="19"/>
          <w:color w:val="auto"/>
        </w:rPr>
      </w:pPr>
    </w:p>
    <w:p>
      <w:pPr>
        <w:jc w:val="both"/>
        <w:ind w:firstLine="656"/>
        <w:spacing w:after="0" w:line="287" w:lineRule="auto"/>
        <w:tabs>
          <w:tab w:leader="none" w:pos="108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Each of the Borrowers and Subsidiary Guarantors hereby represents and warrants to the Lenders and the Administrative Agent that (a) this Amendment has been duly executed and delivered on behalf of each of the Borrowers and Subsidiary Guarantors, (b) this Amendment constitutes a valid and legally binding agreement enforceable against each of the Borrowers and Subsidiary Guarantors in accordance with its terms, subject to applicable bankruptcy, insolvency, fraudulent transfer, reorganization, moratorium or other laws affecting creditors’ rights generally and subject to general principles of equity, regardless of whether considered in a proceeding in equity or at law, (c) the representations and warranties contained in the Credit Agreement and the other Loan Documents are true and correct on and as of the date hereof in all material respects as though made as of the date hereof, except for such representations and warranties as are by their express terms limited to a specific date, in which case such representations and warranties were true and correct in all material respects as of such specific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qualified by Material Adverse Effect or materiality qualifier shall be true and correct in all respects as of such respective dates, (d) no Default or Event of Default exists and (e) the execution, delivery and performance of this Amendment has been duly authorized by each of the Borrowers and Subsidiary Guarantors.</w:t>
      </w:r>
    </w:p>
    <w:p>
      <w:pPr>
        <w:spacing w:after="0" w:line="200" w:lineRule="exact"/>
        <w:rPr>
          <w:rFonts w:ascii="Arial" w:cs="Arial" w:eastAsia="Arial" w:hAnsi="Arial"/>
          <w:sz w:val="19"/>
          <w:szCs w:val="19"/>
          <w:color w:val="auto"/>
        </w:rPr>
      </w:pPr>
    </w:p>
    <w:p>
      <w:pPr>
        <w:ind w:left="1040" w:hanging="384"/>
        <w:spacing w:after="0"/>
        <w:tabs>
          <w:tab w:leader="none" w:pos="104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Release and Indemnity</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288" w:lineRule="auto"/>
        <w:tabs>
          <w:tab w:leader="none" w:pos="1188" w:val="left"/>
        </w:tabs>
        <w:numPr>
          <w:ilvl w:val="0"/>
          <w:numId w:val="33"/>
        </w:numPr>
        <w:rPr>
          <w:rFonts w:ascii="Arial" w:cs="Arial" w:eastAsia="Arial" w:hAnsi="Arial"/>
          <w:sz w:val="19"/>
          <w:szCs w:val="19"/>
          <w:color w:val="auto"/>
        </w:rPr>
      </w:pPr>
      <w:r>
        <w:rPr>
          <w:rFonts w:ascii="Arial" w:cs="Arial" w:eastAsia="Arial" w:hAnsi="Arial"/>
          <w:sz w:val="19"/>
          <w:szCs w:val="19"/>
          <w:color w:val="auto"/>
        </w:rPr>
        <w:t>Each Borrower hereby releases and forever discharges the Administrative Agent and each of the Lenders and each Affiliate thereof and each of their respective employees, officers, directors, trustees, agents, attorneys, successors, assigns or other representatives from any and all claims, demands, damages, actions, cross-actions, causes of action, costs and expenses (including legal expenses), of any kind or nature whatsoever, whether based on law or equity, which any of said parties has held or may now own or hold, whether known or unknown, for or because of any matter or thing done, omitted or suffered to be done on or before the actual date upon which this Amendment is signed by any of such parties (i) arising directly or indirectly out of the Loan Documents, or any other documents, instruments or any other transactions relating thereto and/or (ii) relating directly or indirectly to all transactions by and between any Borrowers or its representatives and the Administrative Agent, and each Lender or any of their respective directors, officers, agents, employees, attorneys or other representatives. Such release, waiver, acquittal and discharge shall and does include, without limitation, any claims of usury, fraud, duress, misrepresentation, lender liability, control, exercise of remedies and all similar items and claims, which may, or could be, asserted by any Borrower.</w:t>
      </w:r>
    </w:p>
    <w:p>
      <w:pPr>
        <w:spacing w:after="0" w:line="195" w:lineRule="exact"/>
        <w:rPr>
          <w:rFonts w:ascii="Arial" w:cs="Arial" w:eastAsia="Arial" w:hAnsi="Arial"/>
          <w:sz w:val="19"/>
          <w:szCs w:val="19"/>
          <w:color w:val="auto"/>
        </w:rPr>
      </w:pPr>
    </w:p>
    <w:p>
      <w:pPr>
        <w:jc w:val="both"/>
        <w:ind w:firstLine="656"/>
        <w:spacing w:after="0" w:line="253" w:lineRule="auto"/>
        <w:tabs>
          <w:tab w:leader="none" w:pos="1193" w:val="left"/>
        </w:tabs>
        <w:numPr>
          <w:ilvl w:val="0"/>
          <w:numId w:val="33"/>
        </w:numPr>
        <w:rPr>
          <w:rFonts w:ascii="Arial" w:cs="Arial" w:eastAsia="Arial" w:hAnsi="Arial"/>
          <w:sz w:val="22"/>
          <w:szCs w:val="22"/>
          <w:color w:val="auto"/>
        </w:rPr>
      </w:pPr>
      <w:r>
        <w:rPr>
          <w:rFonts w:ascii="Arial" w:cs="Arial" w:eastAsia="Arial" w:hAnsi="Arial"/>
          <w:sz w:val="22"/>
          <w:szCs w:val="22"/>
          <w:color w:val="auto"/>
        </w:rPr>
        <w:t>Each Borrower hereby ratifies the indemnification provisions contained in the Loan Documents, including, without limitation, Section 9.03 of the Credit Agreement, and agrees that this Amendment and losses, claims, damages and expenses related thereto shall be covered by such indemnities.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41" w:name="page42"/>
    <w:bookmarkEnd w:id="41"/>
    <w:p>
      <w:pPr>
        <w:jc w:val="both"/>
        <w:ind w:firstLine="656"/>
        <w:spacing w:after="0" w:line="253" w:lineRule="auto"/>
        <w:tabs>
          <w:tab w:leader="none" w:pos="1121"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signed in any number of counterparts, which may be delivered in original, facsimile or electronic form each of which shall be construed as an original, but all of which together shall constitute one and the same instrument.</w:t>
      </w:r>
    </w:p>
    <w:p>
      <w:pPr>
        <w:spacing w:after="0" w:line="226" w:lineRule="exact"/>
        <w:rPr>
          <w:rFonts w:ascii="Arial" w:cs="Arial" w:eastAsia="Arial" w:hAnsi="Arial"/>
          <w:sz w:val="22"/>
          <w:szCs w:val="22"/>
          <w:color w:val="auto"/>
        </w:rPr>
      </w:pPr>
    </w:p>
    <w:p>
      <w:pPr>
        <w:ind w:left="1140" w:hanging="484"/>
        <w:spacing w:after="0"/>
        <w:tabs>
          <w:tab w:leader="none" w:pos="114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construed in accordance with and governed by the law of the State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Oklahoma.</w:t>
      </w:r>
    </w:p>
    <w:p>
      <w:pPr>
        <w:spacing w:after="0" w:line="242" w:lineRule="exact"/>
        <w:rPr>
          <w:rFonts w:ascii="Arial" w:cs="Arial" w:eastAsia="Arial" w:hAnsi="Arial"/>
          <w:sz w:val="19"/>
          <w:szCs w:val="19"/>
          <w:color w:val="auto"/>
        </w:rPr>
      </w:pPr>
    </w:p>
    <w:p>
      <w:pPr>
        <w:jc w:val="both"/>
        <w:ind w:firstLine="656"/>
        <w:spacing w:after="0" w:line="253" w:lineRule="auto"/>
        <w:tabs>
          <w:tab w:leader="none" w:pos="1067"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Amendment is a Loan Document; References to Credit Agreement</w:t>
      </w:r>
      <w:r>
        <w:rPr>
          <w:rFonts w:ascii="Arial" w:cs="Arial" w:eastAsia="Arial" w:hAnsi="Arial"/>
          <w:sz w:val="22"/>
          <w:szCs w:val="22"/>
          <w:color w:val="auto"/>
        </w:rPr>
        <w:t>. This Amendment is a Loan Document, as defined in the Credit Agreement. All references in the Credit Agreement to “this Agreement” shall mean the Credit Agreement as amended by this Amendment.</w:t>
      </w:r>
    </w:p>
    <w:p>
      <w:pPr>
        <w:spacing w:after="0" w:line="226" w:lineRule="exact"/>
        <w:rPr>
          <w:rFonts w:ascii="Arial" w:cs="Arial" w:eastAsia="Arial" w:hAnsi="Arial"/>
          <w:sz w:val="22"/>
          <w:szCs w:val="22"/>
          <w:color w:val="auto"/>
        </w:rPr>
      </w:pPr>
    </w:p>
    <w:p>
      <w:pPr>
        <w:jc w:val="both"/>
        <w:ind w:firstLine="656"/>
        <w:spacing w:after="0" w:line="312" w:lineRule="auto"/>
        <w:tabs>
          <w:tab w:leader="none" w:pos="1243"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Amendment, the other Loan Documents and any separate letter agreements with respect to fees payable to the Administrative Agent or its Affiliates constitute the entire contract among the parties relating to the subject matter hereof and supersede any and all previous agreements and understandings, oral or written, relating to the subject matter hereof.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42" w:name="page43"/>
    <w:bookmarkEnd w:id="42"/>
    <w:p>
      <w:pPr>
        <w:ind w:firstLine="1297"/>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Amendment to be executed by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thereunto duly authorized as of the Effective Date.</w:t>
      </w: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BORROWERS:</w:t>
      </w:r>
    </w:p>
    <w:p>
      <w:pPr>
        <w:spacing w:after="0" w:line="333" w:lineRule="exact"/>
        <w:rPr>
          <w:sz w:val="20"/>
          <w:szCs w:val="20"/>
          <w:color w:val="auto"/>
        </w:rPr>
      </w:pPr>
    </w:p>
    <w:p>
      <w:pPr>
        <w:jc w:val="both"/>
        <w:ind w:left="3900"/>
        <w:spacing w:after="0" w:line="298" w:lineRule="auto"/>
        <w:rPr>
          <w:sz w:val="20"/>
          <w:szCs w:val="20"/>
          <w:color w:val="auto"/>
        </w:rPr>
      </w:pPr>
      <w:r>
        <w:rPr>
          <w:rFonts w:ascii="Arial" w:cs="Arial" w:eastAsia="Arial" w:hAnsi="Arial"/>
          <w:sz w:val="19"/>
          <w:szCs w:val="19"/>
          <w:b w:val="1"/>
          <w:bCs w:val="1"/>
          <w:color w:val="auto"/>
        </w:rPr>
        <w:t>Matrix Service Company</w:t>
      </w:r>
      <w:r>
        <w:rPr>
          <w:rFonts w:ascii="Arial" w:cs="Arial" w:eastAsia="Arial" w:hAnsi="Arial"/>
          <w:sz w:val="19"/>
          <w:szCs w:val="19"/>
          <w:color w:val="auto"/>
        </w:rPr>
        <w:t>, a Delaware corporation,</w:t>
      </w:r>
      <w:r>
        <w:rPr>
          <w:rFonts w:ascii="Arial" w:cs="Arial" w:eastAsia="Arial" w:hAnsi="Arial"/>
          <w:sz w:val="19"/>
          <w:szCs w:val="19"/>
          <w:b w:val="1"/>
          <w:bCs w:val="1"/>
          <w:color w:val="auto"/>
        </w:rPr>
        <w:t xml:space="preserve"> Matrix Service Canada ULC</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 Alberta unlimited liability corporation, </w:t>
      </w:r>
      <w:r>
        <w:rPr>
          <w:rFonts w:ascii="Arial" w:cs="Arial" w:eastAsia="Arial" w:hAnsi="Arial"/>
          <w:sz w:val="19"/>
          <w:szCs w:val="19"/>
          <w:b w:val="1"/>
          <w:bCs w:val="1"/>
          <w:color w:val="auto"/>
        </w:rPr>
        <w:t>Matrix SME Canada ULC</w:t>
      </w:r>
      <w:r>
        <w:rPr>
          <w:rFonts w:ascii="Arial" w:cs="Arial" w:eastAsia="Arial" w:hAnsi="Arial"/>
          <w:sz w:val="19"/>
          <w:szCs w:val="19"/>
          <w:color w:val="auto"/>
        </w:rPr>
        <w:t xml:space="preserve">, a Nova Scotia unlimited liability company, </w:t>
      </w:r>
      <w:r>
        <w:rPr>
          <w:rFonts w:ascii="Arial" w:cs="Arial" w:eastAsia="Arial" w:hAnsi="Arial"/>
          <w:sz w:val="19"/>
          <w:szCs w:val="19"/>
          <w:b w:val="1"/>
          <w:bCs w:val="1"/>
          <w:color w:val="auto"/>
        </w:rPr>
        <w:t>Matrix North American Construction Ltd.</w:t>
      </w:r>
      <w:r>
        <w:rPr>
          <w:rFonts w:ascii="Arial" w:cs="Arial" w:eastAsia="Arial" w:hAnsi="Arial"/>
          <w:sz w:val="19"/>
          <w:szCs w:val="19"/>
          <w:color w:val="auto"/>
        </w:rPr>
        <w:t xml:space="preserve">, an Ontario corporation, and </w:t>
      </w:r>
      <w:r>
        <w:rPr>
          <w:rFonts w:ascii="Arial" w:cs="Arial" w:eastAsia="Arial" w:hAnsi="Arial"/>
          <w:sz w:val="19"/>
          <w:szCs w:val="19"/>
          <w:b w:val="1"/>
          <w:bCs w:val="1"/>
          <w:color w:val="auto"/>
        </w:rPr>
        <w:t>MATRIX INTERNATIONAL HOLDING COMPANY</w:t>
      </w:r>
      <w:r>
        <w:rPr>
          <w:rFonts w:ascii="Arial" w:cs="Arial" w:eastAsia="Arial" w:hAnsi="Arial"/>
          <w:sz w:val="19"/>
          <w:szCs w:val="19"/>
          <w:color w:val="auto"/>
        </w:rPr>
        <w:t xml:space="preserve"> </w:t>
      </w:r>
      <w:r>
        <w:rPr>
          <w:rFonts w:ascii="Arial" w:cs="Arial" w:eastAsia="Arial" w:hAnsi="Arial"/>
          <w:sz w:val="19"/>
          <w:szCs w:val="19"/>
          <w:b w:val="1"/>
          <w:bCs w:val="1"/>
          <w:color w:val="auto"/>
        </w:rPr>
        <w:t>LIMITED</w:t>
      </w:r>
      <w:r>
        <w:rPr>
          <w:rFonts w:ascii="Arial" w:cs="Arial" w:eastAsia="Arial" w:hAnsi="Arial"/>
          <w:sz w:val="19"/>
          <w:szCs w:val="19"/>
          <w:color w:val="auto"/>
        </w:rPr>
        <w:t>, a private company formed under the laws of England and Wales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Kevin S. Cavanah</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Kevin S. Cavanah</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Vice President or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Signed by</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MATRIX APPLIED TECHNOLOGIES PTY</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LTD (ACN 089 397 982)</w:t>
      </w:r>
    </w:p>
    <w:p>
      <w:pPr>
        <w:spacing w:after="0" w:line="2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in accordance with section 127 of the </w:t>
      </w:r>
      <w:r>
        <w:rPr>
          <w:rFonts w:ascii="Arial" w:cs="Arial" w:eastAsia="Arial" w:hAnsi="Arial"/>
          <w:sz w:val="22"/>
          <w:szCs w:val="22"/>
          <w:i w:val="1"/>
          <w:iCs w:val="1"/>
          <w:color w:val="auto"/>
        </w:rPr>
        <w:t>Corporations</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Act 2001 </w:t>
      </w:r>
      <w:r>
        <w:rPr>
          <w:rFonts w:ascii="Arial" w:cs="Arial" w:eastAsia="Arial" w:hAnsi="Arial"/>
          <w:sz w:val="22"/>
          <w:szCs w:val="22"/>
          <w:color w:val="auto"/>
        </w:rPr>
        <w:t>by two directors:</w:t>
      </w:r>
    </w:p>
    <w:p>
      <w:pPr>
        <w:sectPr>
          <w:pgSz w:w="11900" w:h="16838" w:orient="portrait"/>
          <w:cols w:equalWidth="0" w:num="1">
            <w:col w:w="11420"/>
          </w:cols>
          <w:pgMar w:left="240" w:top="7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 Joseph F. Montalbano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24765</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Signature of director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Joseph F. Montalbano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24765</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Name of director (please print)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2889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Signature of director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2889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Name of director (please print)</w:t>
      </w:r>
    </w:p>
    <w:p>
      <w:pPr>
        <w:spacing w:after="0" w:line="200" w:lineRule="exact"/>
        <w:rPr>
          <w:sz w:val="20"/>
          <w:szCs w:val="20"/>
          <w:color w:val="auto"/>
        </w:rPr>
      </w:pPr>
    </w:p>
    <w:p>
      <w:pPr>
        <w:sectPr>
          <w:pgSz w:w="11900" w:h="16838" w:orient="portrait"/>
          <w:cols w:equalWidth="0" w:num="2">
            <w:col w:w="5320" w:space="720"/>
            <w:col w:w="5380"/>
          </w:cols>
          <w:pgMar w:left="240" w:top="747" w:right="239"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7" w:right="239" w:bottom="1440" w:gutter="0" w:footer="0" w:header="0"/>
          <w:type w:val="continuous"/>
        </w:sectPr>
      </w:pPr>
    </w:p>
    <w:bookmarkStart w:id="43" w:name="page44"/>
    <w:bookmarkEnd w:id="43"/>
    <w:p>
      <w:pPr>
        <w:ind w:left="2700"/>
        <w:spacing w:after="0"/>
        <w:rPr>
          <w:sz w:val="20"/>
          <w:szCs w:val="20"/>
          <w:color w:val="auto"/>
        </w:rPr>
      </w:pPr>
      <w:r>
        <w:rPr>
          <w:rFonts w:ascii="Arial" w:cs="Arial" w:eastAsia="Arial" w:hAnsi="Arial"/>
          <w:sz w:val="22"/>
          <w:szCs w:val="22"/>
          <w:b w:val="1"/>
          <w:bCs w:val="1"/>
          <w:color w:val="auto"/>
        </w:rPr>
        <w:t>SUBSIDIARY GUARANTORS:</w:t>
      </w:r>
    </w:p>
    <w:p>
      <w:pPr>
        <w:spacing w:after="0" w:line="328" w:lineRule="exact"/>
        <w:rPr>
          <w:sz w:val="20"/>
          <w:szCs w:val="20"/>
          <w:color w:val="auto"/>
        </w:rPr>
      </w:pPr>
    </w:p>
    <w:p>
      <w:pPr>
        <w:jc w:val="both"/>
        <w:ind w:left="2700"/>
        <w:spacing w:after="0" w:line="252" w:lineRule="auto"/>
        <w:rPr>
          <w:sz w:val="20"/>
          <w:szCs w:val="20"/>
          <w:color w:val="auto"/>
        </w:rPr>
      </w:pPr>
      <w:r>
        <w:rPr>
          <w:rFonts w:ascii="Arial" w:cs="Arial" w:eastAsia="Arial" w:hAnsi="Arial"/>
          <w:sz w:val="22"/>
          <w:szCs w:val="22"/>
          <w:b w:val="1"/>
          <w:bCs w:val="1"/>
          <w:color w:val="auto"/>
        </w:rPr>
        <w:t>MATRIX SERVICE INC</w:t>
      </w:r>
      <w:r>
        <w:rPr>
          <w:rFonts w:ascii="Arial" w:cs="Arial" w:eastAsia="Arial" w:hAnsi="Arial"/>
          <w:sz w:val="22"/>
          <w:szCs w:val="22"/>
          <w:color w:val="auto"/>
        </w:rPr>
        <w:t>., an Oklahoma corporation;</w:t>
      </w:r>
      <w:r>
        <w:rPr>
          <w:rFonts w:ascii="Arial" w:cs="Arial" w:eastAsia="Arial" w:hAnsi="Arial"/>
          <w:sz w:val="22"/>
          <w:szCs w:val="22"/>
          <w:b w:val="1"/>
          <w:bCs w:val="1"/>
          <w:color w:val="auto"/>
        </w:rPr>
        <w:t xml:space="preserve"> MATRIX PDM ENGINEERING, INC.</w:t>
      </w:r>
      <w:r>
        <w:rPr>
          <w:rFonts w:ascii="Arial" w:cs="Arial" w:eastAsia="Arial" w:hAnsi="Arial"/>
          <w:sz w:val="22"/>
          <w:szCs w:val="22"/>
          <w:color w:val="auto"/>
        </w:rPr>
        <w:t>, a Delaware corporation;</w:t>
      </w:r>
      <w:r>
        <w:rPr>
          <w:rFonts w:ascii="Arial" w:cs="Arial" w:eastAsia="Arial" w:hAnsi="Arial"/>
          <w:sz w:val="22"/>
          <w:szCs w:val="22"/>
          <w:b w:val="1"/>
          <w:bCs w:val="1"/>
          <w:color w:val="auto"/>
        </w:rPr>
        <w:t xml:space="preserve"> MATRIX NORTH AMERICAN CONSTRUCTION, INC.</w:t>
      </w:r>
      <w:r>
        <w:rPr>
          <w:rFonts w:ascii="Arial" w:cs="Arial" w:eastAsia="Arial" w:hAnsi="Arial"/>
          <w:sz w:val="22"/>
          <w:szCs w:val="22"/>
          <w:color w:val="auto"/>
        </w:rPr>
        <w:t>, an Oklahoma corporation;</w:t>
      </w:r>
      <w:r>
        <w:rPr>
          <w:rFonts w:ascii="Arial" w:cs="Arial" w:eastAsia="Arial" w:hAnsi="Arial"/>
          <w:sz w:val="22"/>
          <w:szCs w:val="22"/>
          <w:b w:val="1"/>
          <w:bCs w:val="1"/>
          <w:color w:val="auto"/>
        </w:rPr>
        <w:t xml:space="preserve"> HOUSTON INTERESTS, LLC</w:t>
      </w:r>
      <w:r>
        <w:rPr>
          <w:rFonts w:ascii="Arial" w:cs="Arial" w:eastAsia="Arial" w:hAnsi="Arial"/>
          <w:sz w:val="22"/>
          <w:szCs w:val="22"/>
          <w:color w:val="auto"/>
        </w:rPr>
        <w:t>, an Oklahoma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Kevin S. Cavanah</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Kevin S. Cavanah</w:t>
      </w:r>
    </w:p>
    <w:p>
      <w:pPr>
        <w:spacing w:after="0" w:line="1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Vice President or Treasurer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0"/>
          </w:cols>
          <w:pgMar w:left="1440" w:top="585" w:right="239" w:bottom="1440" w:gutter="0" w:footer="0" w:header="0"/>
        </w:sectPr>
      </w:pPr>
    </w:p>
    <w:bookmarkStart w:id="44" w:name="page45"/>
    <w:bookmarkEnd w:id="44"/>
    <w:p>
      <w:pPr>
        <w:ind w:left="4540"/>
        <w:spacing w:after="0"/>
        <w:rPr>
          <w:sz w:val="20"/>
          <w:szCs w:val="20"/>
          <w:color w:val="auto"/>
        </w:rPr>
      </w:pPr>
      <w:r>
        <w:rPr>
          <w:rFonts w:ascii="Arial" w:cs="Arial" w:eastAsia="Arial" w:hAnsi="Arial"/>
          <w:sz w:val="22"/>
          <w:szCs w:val="22"/>
          <w:b w:val="1"/>
          <w:bCs w:val="1"/>
          <w:color w:val="auto"/>
        </w:rPr>
        <w:t>ADMINISTRATIVE AGENT AND LENDER:</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JPMORGAN CHASE BANK, N.A.</w:t>
      </w:r>
    </w:p>
    <w:p>
      <w:pPr>
        <w:spacing w:after="0" w:line="200" w:lineRule="exact"/>
        <w:rPr>
          <w:sz w:val="20"/>
          <w:szCs w:val="20"/>
          <w:color w:val="auto"/>
        </w:rPr>
      </w:pPr>
    </w:p>
    <w:p>
      <w:pPr>
        <w:spacing w:after="0" w:line="242" w:lineRule="exact"/>
        <w:rPr>
          <w:sz w:val="20"/>
          <w:szCs w:val="20"/>
          <w:color w:val="auto"/>
        </w:rPr>
      </w:pPr>
    </w:p>
    <w:p>
      <w:pPr>
        <w:ind w:left="454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David Jackson</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David Jackson</w:t>
      </w:r>
    </w:p>
    <w:p>
      <w:pPr>
        <w:spacing w:after="0" w:line="1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FFFFFF"/>
        </w:rPr>
        <w:t>HOU:3814070.8</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FFFFFF"/>
        </w:rPr>
        <w:t>HOU:3814070.8</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FFFFFF"/>
        </w:rPr>
        <w:t>HOU:3814070.8</w:t>
      </w:r>
    </w:p>
    <w:p>
      <w:pPr>
        <w:spacing w:after="0" w:line="200" w:lineRule="exact"/>
        <w:rPr>
          <w:sz w:val="20"/>
          <w:szCs w:val="20"/>
          <w:color w:val="auto"/>
        </w:rPr>
      </w:pPr>
    </w:p>
    <w:p>
      <w:pPr>
        <w:spacing w:after="0" w:line="2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585" w:right="1440" w:bottom="1440" w:gutter="0" w:footer="0" w:header="0"/>
        </w:sectPr>
      </w:pPr>
    </w:p>
    <w:bookmarkStart w:id="45" w:name="page46"/>
    <w:bookmarkEnd w:id="45"/>
    <w:p>
      <w:pPr>
        <w:ind w:left="2700"/>
        <w:spacing w:after="0"/>
        <w:rPr>
          <w:sz w:val="20"/>
          <w:szCs w:val="20"/>
          <w:color w:val="auto"/>
        </w:rPr>
      </w:pPr>
      <w:r>
        <w:rPr>
          <w:rFonts w:ascii="Arial" w:cs="Arial" w:eastAsia="Arial" w:hAnsi="Arial"/>
          <w:sz w:val="22"/>
          <w:szCs w:val="22"/>
          <w:b w:val="1"/>
          <w:bCs w:val="1"/>
          <w:color w:val="auto"/>
        </w:rPr>
        <w:t>LENDER:</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BANK OF MONTREAL</w:t>
      </w:r>
    </w:p>
    <w:p>
      <w:pPr>
        <w:spacing w:after="0" w:line="200" w:lineRule="exact"/>
        <w:rPr>
          <w:sz w:val="20"/>
          <w:szCs w:val="20"/>
          <w:color w:val="auto"/>
        </w:rPr>
      </w:pPr>
    </w:p>
    <w:p>
      <w:pPr>
        <w:spacing w:after="0" w:line="253"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John M. Dillon</w:t>
      </w:r>
    </w:p>
    <w:p>
      <w:pPr>
        <w:spacing w:after="0" w:line="22" w:lineRule="exact"/>
        <w:rPr>
          <w:sz w:val="20"/>
          <w:szCs w:val="20"/>
          <w:color w:val="auto"/>
        </w:rPr>
      </w:pPr>
    </w:p>
    <w:p>
      <w:pPr>
        <w:ind w:left="2700"/>
        <w:spacing w:after="0"/>
        <w:tabs>
          <w:tab w:leader="none" w:pos="3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John M. Dillon</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Director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019"/>
          </w:cols>
          <w:pgMar w:left="1440" w:top="585" w:right="1440" w:bottom="1440" w:gutter="0" w:footer="0" w:header="0"/>
        </w:sectPr>
      </w:pPr>
    </w:p>
    <w:bookmarkStart w:id="46" w:name="page47"/>
    <w:bookmarkEnd w:id="46"/>
    <w:p>
      <w:pPr>
        <w:ind w:left="2700"/>
        <w:spacing w:after="0"/>
        <w:rPr>
          <w:sz w:val="20"/>
          <w:szCs w:val="20"/>
          <w:color w:val="auto"/>
        </w:rPr>
      </w:pPr>
      <w:r>
        <w:rPr>
          <w:rFonts w:ascii="Arial" w:cs="Arial" w:eastAsia="Arial" w:hAnsi="Arial"/>
          <w:sz w:val="22"/>
          <w:szCs w:val="22"/>
          <w:b w:val="1"/>
          <w:bCs w:val="1"/>
          <w:color w:val="auto"/>
        </w:rPr>
        <w:t>LENDER:</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BANK OF AMERICA, N.A.</w:t>
      </w:r>
    </w:p>
    <w:p>
      <w:pPr>
        <w:spacing w:after="0" w:line="200" w:lineRule="exact"/>
        <w:rPr>
          <w:sz w:val="20"/>
          <w:szCs w:val="20"/>
          <w:color w:val="auto"/>
        </w:rPr>
      </w:pPr>
    </w:p>
    <w:p>
      <w:pPr>
        <w:spacing w:after="0" w:line="253"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Lisa M. Chrzanowski</w:t>
      </w:r>
    </w:p>
    <w:p>
      <w:pPr>
        <w:spacing w:after="0" w:line="22" w:lineRule="exact"/>
        <w:rPr>
          <w:sz w:val="20"/>
          <w:szCs w:val="20"/>
          <w:color w:val="auto"/>
        </w:rPr>
      </w:pPr>
    </w:p>
    <w:p>
      <w:pPr>
        <w:ind w:left="2700"/>
        <w:spacing w:after="0"/>
        <w:tabs>
          <w:tab w:leader="none" w:pos="3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Lisa M. Chrzanowski</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Senior Vice President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019"/>
          </w:cols>
          <w:pgMar w:left="1440" w:top="585" w:right="1440" w:bottom="1440" w:gutter="0" w:footer="0" w:header="0"/>
        </w:sectPr>
      </w:pPr>
    </w:p>
    <w:bookmarkStart w:id="47" w:name="page48"/>
    <w:bookmarkEnd w:id="47"/>
    <w:p>
      <w:pPr>
        <w:ind w:left="3340"/>
        <w:spacing w:after="0"/>
        <w:rPr>
          <w:sz w:val="20"/>
          <w:szCs w:val="20"/>
          <w:color w:val="auto"/>
        </w:rPr>
      </w:pPr>
      <w:r>
        <w:rPr>
          <w:rFonts w:ascii="Arial" w:cs="Arial" w:eastAsia="Arial" w:hAnsi="Arial"/>
          <w:sz w:val="22"/>
          <w:szCs w:val="22"/>
          <w:b w:val="1"/>
          <w:bCs w:val="1"/>
          <w:color w:val="auto"/>
        </w:rPr>
        <w:t>LENDER:</w:t>
      </w:r>
    </w:p>
    <w:p>
      <w:pPr>
        <w:spacing w:after="0" w:line="220" w:lineRule="exact"/>
        <w:rPr>
          <w:sz w:val="20"/>
          <w:szCs w:val="20"/>
          <w:color w:val="auto"/>
        </w:rPr>
      </w:pPr>
    </w:p>
    <w:p>
      <w:pPr>
        <w:jc w:val="right"/>
        <w:ind w:right="1679"/>
        <w:spacing w:after="0"/>
        <w:rPr>
          <w:sz w:val="20"/>
          <w:szCs w:val="20"/>
          <w:color w:val="auto"/>
        </w:rPr>
      </w:pPr>
      <w:r>
        <w:rPr>
          <w:rFonts w:ascii="Arial" w:cs="Arial" w:eastAsia="Arial" w:hAnsi="Arial"/>
          <w:sz w:val="22"/>
          <w:szCs w:val="22"/>
          <w:b w:val="1"/>
          <w:bCs w:val="1"/>
          <w:color w:val="auto"/>
        </w:rPr>
        <w:t>BOKF, N.A., dba BANK OF OKLAHOMA</w:t>
      </w:r>
    </w:p>
    <w:p>
      <w:pPr>
        <w:spacing w:after="0" w:line="200" w:lineRule="exact"/>
        <w:rPr>
          <w:sz w:val="20"/>
          <w:szCs w:val="20"/>
          <w:color w:val="auto"/>
        </w:rPr>
      </w:pPr>
    </w:p>
    <w:p>
      <w:pPr>
        <w:spacing w:after="0" w:line="24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Paul Johnson</w:t>
      </w:r>
    </w:p>
    <w:p>
      <w:pPr>
        <w:spacing w:after="0" w:line="22" w:lineRule="exact"/>
        <w:rPr>
          <w:sz w:val="20"/>
          <w:szCs w:val="20"/>
          <w:color w:val="auto"/>
        </w:rPr>
      </w:pPr>
    </w:p>
    <w:p>
      <w:pPr>
        <w:ind w:left="2700"/>
        <w:spacing w:after="0"/>
        <w:tabs>
          <w:tab w:leader="none" w:pos="3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u w:val="single" w:color="auto"/>
          <w:color w:val="auto"/>
        </w:rPr>
        <w:t>Paul Johnson</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Vice President</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019"/>
          </w:cols>
          <w:pgMar w:left="1440" w:top="585" w:right="1440" w:bottom="1440" w:gutter="0" w:footer="0" w:header="0"/>
        </w:sectPr>
      </w:pPr>
    </w:p>
    <w:bookmarkStart w:id="48" w:name="page49"/>
    <w:bookmarkEnd w:id="48"/>
    <w:p>
      <w:pPr>
        <w:ind w:left="3340"/>
        <w:spacing w:after="0"/>
        <w:rPr>
          <w:sz w:val="20"/>
          <w:szCs w:val="20"/>
          <w:color w:val="auto"/>
        </w:rPr>
      </w:pPr>
      <w:r>
        <w:rPr>
          <w:rFonts w:ascii="Arial" w:cs="Arial" w:eastAsia="Arial" w:hAnsi="Arial"/>
          <w:sz w:val="22"/>
          <w:szCs w:val="22"/>
          <w:b w:val="1"/>
          <w:bCs w:val="1"/>
          <w:color w:val="auto"/>
        </w:rPr>
        <w:t>LENDER:</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FIFTH THIRD BANK</w:t>
      </w:r>
    </w:p>
    <w:p>
      <w:pPr>
        <w:spacing w:after="0" w:line="200" w:lineRule="exact"/>
        <w:rPr>
          <w:sz w:val="20"/>
          <w:szCs w:val="20"/>
          <w:color w:val="auto"/>
        </w:rPr>
      </w:pPr>
    </w:p>
    <w:p>
      <w:pPr>
        <w:spacing w:after="0" w:line="24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Matthew Lewis</w:t>
      </w:r>
    </w:p>
    <w:p>
      <w:pPr>
        <w:spacing w:after="0" w:line="22" w:lineRule="exact"/>
        <w:rPr>
          <w:sz w:val="20"/>
          <w:szCs w:val="20"/>
          <w:color w:val="auto"/>
        </w:rPr>
      </w:pPr>
    </w:p>
    <w:p>
      <w:pPr>
        <w:ind w:left="2700"/>
        <w:spacing w:after="0"/>
        <w:tabs>
          <w:tab w:leader="none" w:pos="3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Matthew Lewis</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Vice President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585" w:right="1440" w:bottom="1440" w:gutter="0" w:footer="0" w:header="0"/>
        </w:sectPr>
      </w:pPr>
    </w:p>
    <w:bookmarkStart w:id="49" w:name="page50"/>
    <w:bookmarkEnd w:id="49"/>
    <w:p>
      <w:pPr>
        <w:ind w:left="3340"/>
        <w:spacing w:after="0"/>
        <w:rPr>
          <w:sz w:val="20"/>
          <w:szCs w:val="20"/>
          <w:color w:val="auto"/>
        </w:rPr>
      </w:pPr>
      <w:r>
        <w:rPr>
          <w:rFonts w:ascii="Arial" w:cs="Arial" w:eastAsia="Arial" w:hAnsi="Arial"/>
          <w:sz w:val="22"/>
          <w:szCs w:val="22"/>
          <w:b w:val="1"/>
          <w:bCs w:val="1"/>
          <w:color w:val="auto"/>
        </w:rPr>
        <w:t>LENDER:</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BRANCH BANKING &amp; TRUST COMPANY</w:t>
      </w:r>
    </w:p>
    <w:p>
      <w:pPr>
        <w:spacing w:after="0" w:line="200" w:lineRule="exact"/>
        <w:rPr>
          <w:sz w:val="20"/>
          <w:szCs w:val="20"/>
          <w:color w:val="auto"/>
        </w:rPr>
      </w:pPr>
    </w:p>
    <w:p>
      <w:pPr>
        <w:spacing w:after="0" w:line="253"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Erron Powers</w:t>
      </w:r>
    </w:p>
    <w:p>
      <w:pPr>
        <w:spacing w:after="0" w:line="22" w:lineRule="exact"/>
        <w:rPr>
          <w:sz w:val="20"/>
          <w:szCs w:val="20"/>
          <w:color w:val="auto"/>
        </w:rPr>
      </w:pPr>
    </w:p>
    <w:p>
      <w:pPr>
        <w:ind w:left="2700"/>
        <w:spacing w:after="0"/>
        <w:tabs>
          <w:tab w:leader="none" w:pos="34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Erron Powers</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019"/>
          </w:cols>
          <w:pgMar w:left="1440" w:top="585" w:right="1440" w:bottom="1440" w:gutter="0" w:footer="0" w:header="0"/>
        </w:sectPr>
      </w:pPr>
    </w:p>
    <w:bookmarkStart w:id="50" w:name="page51"/>
    <w:bookmarkEnd w:id="50"/>
    <w:p>
      <w:pPr>
        <w:ind w:left="4540"/>
        <w:spacing w:after="0"/>
        <w:rPr>
          <w:sz w:val="20"/>
          <w:szCs w:val="20"/>
          <w:color w:val="auto"/>
        </w:rPr>
      </w:pPr>
      <w:r>
        <w:rPr>
          <w:rFonts w:ascii="Arial" w:cs="Arial" w:eastAsia="Arial" w:hAnsi="Arial"/>
          <w:sz w:val="22"/>
          <w:szCs w:val="22"/>
          <w:b w:val="1"/>
          <w:bCs w:val="1"/>
          <w:color w:val="auto"/>
        </w:rPr>
        <w:t>LENDER:</w:t>
      </w:r>
    </w:p>
    <w:p>
      <w:pPr>
        <w:spacing w:after="0" w:line="220" w:lineRule="exact"/>
        <w:rPr>
          <w:sz w:val="20"/>
          <w:szCs w:val="20"/>
          <w:color w:val="auto"/>
        </w:rPr>
      </w:pPr>
    </w:p>
    <w:p>
      <w:pPr>
        <w:jc w:val="right"/>
        <w:ind w:right="3659"/>
        <w:spacing w:after="0"/>
        <w:rPr>
          <w:sz w:val="20"/>
          <w:szCs w:val="20"/>
          <w:color w:val="auto"/>
        </w:rPr>
      </w:pPr>
      <w:r>
        <w:rPr>
          <w:rFonts w:ascii="Arial" w:cs="Arial" w:eastAsia="Arial" w:hAnsi="Arial"/>
          <w:sz w:val="22"/>
          <w:szCs w:val="22"/>
          <w:b w:val="1"/>
          <w:bCs w:val="1"/>
          <w:color w:val="auto"/>
        </w:rPr>
        <w:t>COMMERCE BANK</w:t>
      </w:r>
    </w:p>
    <w:p>
      <w:pPr>
        <w:spacing w:after="0" w:line="200" w:lineRule="exact"/>
        <w:rPr>
          <w:sz w:val="20"/>
          <w:szCs w:val="20"/>
          <w:color w:val="auto"/>
        </w:rPr>
      </w:pPr>
    </w:p>
    <w:p>
      <w:pPr>
        <w:spacing w:after="0" w:line="242"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Darren P. Walkup</w:t>
      </w:r>
    </w:p>
    <w:p>
      <w:pPr>
        <w:spacing w:after="0" w:line="22" w:lineRule="exact"/>
        <w:rPr>
          <w:sz w:val="20"/>
          <w:szCs w:val="20"/>
          <w:color w:val="auto"/>
        </w:rPr>
      </w:pPr>
    </w:p>
    <w:p>
      <w:pPr>
        <w:ind w:left="3900"/>
        <w:spacing w:after="0"/>
        <w:tabs>
          <w:tab w:leader="none" w:pos="4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Darren P. Walkup</w:t>
      </w:r>
    </w:p>
    <w:p>
      <w:pPr>
        <w:spacing w:after="0" w:line="17"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FFFFFF"/>
        </w:rPr>
        <w:t>HOU:3814070.8</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FFFFFF"/>
        </w:rPr>
        <w:t>U:3814070.8</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585"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u w:val="single" w:color="auto"/>
          <w:color w:val="auto"/>
        </w:rPr>
        <w:t>Exhibit 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COMPLIANCE CERTIFICATE</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The Lenders parties to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Credit Agreement described below</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This Compliance Certificate is furnished pursuant to that certain Fourth Amended and Restated Credit Agreement dated as of February 8, 2017 (as amended, modified, renewed or extended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Matrix Service Company,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the other Borrowers party thereto, the Lenders party thereto and JPMorgan Chase Bank, N.A., as Administrative Agent. Unless otherwise defined herein, capitalized terms used in this Compliance Certificate have the meanings ascribed thereto in the Credit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UNDERSIGNED HEREBY CERTIFIES THAT:</w:t>
      </w:r>
    </w:p>
    <w:p>
      <w:pPr>
        <w:spacing w:after="0" w:line="220" w:lineRule="exact"/>
        <w:rPr>
          <w:sz w:val="20"/>
          <w:szCs w:val="20"/>
          <w:color w:val="auto"/>
        </w:rPr>
      </w:pPr>
    </w:p>
    <w:p>
      <w:pPr>
        <w:ind w:left="1640" w:hanging="335"/>
        <w:spacing w:after="0"/>
        <w:tabs>
          <w:tab w:leader="none" w:pos="16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 am the duly elected chief financial officer of the Company;</w:t>
      </w:r>
    </w:p>
    <w:p>
      <w:pPr>
        <w:spacing w:after="0" w:line="273" w:lineRule="exact"/>
        <w:rPr>
          <w:rFonts w:ascii="Arial" w:cs="Arial" w:eastAsia="Arial" w:hAnsi="Arial"/>
          <w:sz w:val="22"/>
          <w:szCs w:val="22"/>
          <w:color w:val="auto"/>
        </w:rPr>
      </w:pPr>
    </w:p>
    <w:p>
      <w:pPr>
        <w:jc w:val="both"/>
        <w:ind w:firstLine="1305"/>
        <w:spacing w:after="0" w:line="260" w:lineRule="auto"/>
        <w:tabs>
          <w:tab w:leader="none" w:pos="1733" w:val="left"/>
        </w:tabs>
        <w:numPr>
          <w:ilvl w:val="0"/>
          <w:numId w:val="35"/>
        </w:numPr>
        <w:rPr>
          <w:rFonts w:ascii="Arial" w:cs="Arial" w:eastAsia="Arial" w:hAnsi="Arial"/>
          <w:sz w:val="22"/>
          <w:szCs w:val="22"/>
          <w:color w:val="auto"/>
        </w:rPr>
      </w:pPr>
      <w:r>
        <w:rPr>
          <w:rFonts w:ascii="Arial" w:cs="Arial" w:eastAsia="Arial" w:hAnsi="Arial"/>
          <w:sz w:val="22"/>
          <w:szCs w:val="22"/>
          <w:color w:val="auto"/>
        </w:rPr>
        <w:t>I have reviewed the terms of the Credit Agreement and I have made, or have caused to be made under my supervision, a detailed review of the transactions and conditions of the Company and its Subsidiaries during the accounting period covered by the attached financial statements;</w:t>
      </w:r>
    </w:p>
    <w:p>
      <w:pPr>
        <w:spacing w:after="0" w:line="217" w:lineRule="exact"/>
        <w:rPr>
          <w:rFonts w:ascii="Arial" w:cs="Arial" w:eastAsia="Arial" w:hAnsi="Arial"/>
          <w:sz w:val="22"/>
          <w:szCs w:val="22"/>
          <w:color w:val="auto"/>
        </w:rPr>
      </w:pPr>
    </w:p>
    <w:p>
      <w:pPr>
        <w:jc w:val="both"/>
        <w:ind w:firstLine="1305"/>
        <w:spacing w:after="0" w:line="278" w:lineRule="auto"/>
        <w:tabs>
          <w:tab w:leader="none" w:pos="1679"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The examinations described in </w:t>
      </w:r>
      <w:r>
        <w:rPr>
          <w:rFonts w:ascii="Arial" w:cs="Arial" w:eastAsia="Arial" w:hAnsi="Arial"/>
          <w:sz w:val="21"/>
          <w:szCs w:val="21"/>
          <w:u w:val="single" w:color="auto"/>
          <w:color w:val="auto"/>
        </w:rPr>
        <w:t>paragraph 2</w:t>
      </w:r>
      <w:r>
        <w:rPr>
          <w:rFonts w:ascii="Arial" w:cs="Arial" w:eastAsia="Arial" w:hAnsi="Arial"/>
          <w:sz w:val="21"/>
          <w:szCs w:val="21"/>
          <w:color w:val="auto"/>
        </w:rPr>
        <w:t xml:space="preserve"> did not disclose, and I have no knowledge of, the existence of any condition or event which constitutes a Default or Event of Default during or at the end of the accounting period covered by the attached financial statements or as of the date of this Compliance Certificate, except as set forth below;</w:t>
      </w:r>
    </w:p>
    <w:p>
      <w:pPr>
        <w:spacing w:after="0" w:line="200" w:lineRule="exact"/>
        <w:rPr>
          <w:rFonts w:ascii="Arial" w:cs="Arial" w:eastAsia="Arial" w:hAnsi="Arial"/>
          <w:sz w:val="21"/>
          <w:szCs w:val="21"/>
          <w:color w:val="auto"/>
        </w:rPr>
      </w:pPr>
    </w:p>
    <w:p>
      <w:pPr>
        <w:ind w:firstLine="1305"/>
        <w:spacing w:after="0" w:line="276" w:lineRule="auto"/>
        <w:tabs>
          <w:tab w:leader="none" w:pos="1801"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attached hereto sets forth financial data and computations evidencing compliance with certain covenants of the Credit Agreement, all of which data and computations are true, complete and correct;</w:t>
      </w:r>
    </w:p>
    <w:p>
      <w:pPr>
        <w:spacing w:after="0" w:line="201" w:lineRule="exact"/>
        <w:rPr>
          <w:rFonts w:ascii="Arial" w:cs="Arial" w:eastAsia="Arial" w:hAnsi="Arial"/>
          <w:sz w:val="22"/>
          <w:szCs w:val="22"/>
          <w:color w:val="auto"/>
        </w:rPr>
      </w:pPr>
    </w:p>
    <w:p>
      <w:pPr>
        <w:ind w:left="1640" w:hanging="335"/>
        <w:spacing w:after="0"/>
        <w:tabs>
          <w:tab w:leader="none" w:pos="164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attached hereto sets forth the determination of the interest rates and other rates listed therein; and</w:t>
      </w:r>
    </w:p>
    <w:p>
      <w:pPr>
        <w:spacing w:after="0" w:line="308" w:lineRule="exact"/>
        <w:rPr>
          <w:rFonts w:ascii="Arial" w:cs="Arial" w:eastAsia="Arial" w:hAnsi="Arial"/>
          <w:sz w:val="19"/>
          <w:szCs w:val="19"/>
          <w:color w:val="auto"/>
        </w:rPr>
      </w:pPr>
    </w:p>
    <w:p>
      <w:pPr>
        <w:ind w:firstLine="1305"/>
        <w:spacing w:after="0" w:line="276" w:lineRule="auto"/>
        <w:tabs>
          <w:tab w:leader="none" w:pos="1639"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attached hereto sets forth the various reports and deliveries which are required at this time under the Credit Agreement and the other Loan Documents and the status of compliance.</w:t>
      </w:r>
    </w:p>
    <w:p>
      <w:pPr>
        <w:spacing w:after="0" w:line="2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Described below are the exceptions, if any, to </w:t>
      </w:r>
      <w:r>
        <w:rPr>
          <w:rFonts w:ascii="Arial" w:cs="Arial" w:eastAsia="Arial" w:hAnsi="Arial"/>
          <w:sz w:val="22"/>
          <w:szCs w:val="22"/>
          <w:u w:val="single" w:color="auto"/>
          <w:color w:val="auto"/>
        </w:rPr>
        <w:t>paragraph 3</w:t>
      </w:r>
      <w:r>
        <w:rPr>
          <w:rFonts w:ascii="Arial" w:cs="Arial" w:eastAsia="Arial" w:hAnsi="Arial"/>
          <w:sz w:val="22"/>
          <w:szCs w:val="22"/>
          <w:color w:val="auto"/>
        </w:rPr>
        <w:t xml:space="preserve"> by listing, in detail, the nature of the condition or event, the period during which it has existed and the action which the Borrowers have taken, are taking, or propose to take with respect to each such condition or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5" w:right="239" w:bottom="1440" w:gutter="0" w:footer="0" w:header="0"/>
        </w:sectPr>
      </w:pPr>
    </w:p>
    <w:bookmarkStart w:id="52" w:name="page53"/>
    <w:bookmarkEnd w:id="52"/>
    <w:p>
      <w:pPr>
        <w:ind w:firstLine="648"/>
        <w:spacing w:after="0" w:line="343" w:lineRule="auto"/>
        <w:rPr>
          <w:sz w:val="20"/>
          <w:szCs w:val="20"/>
          <w:color w:val="auto"/>
        </w:rPr>
      </w:pPr>
      <w:r>
        <w:rPr>
          <w:rFonts w:ascii="Arial" w:cs="Arial" w:eastAsia="Arial" w:hAnsi="Arial"/>
          <w:sz w:val="19"/>
          <w:szCs w:val="19"/>
          <w:color w:val="auto"/>
        </w:rPr>
        <w:t xml:space="preserve">The foregoing certifications, together with the computations set forth in </w:t>
      </w:r>
      <w:r>
        <w:rPr>
          <w:rFonts w:ascii="Arial" w:cs="Arial" w:eastAsia="Arial" w:hAnsi="Arial"/>
          <w:sz w:val="19"/>
          <w:szCs w:val="19"/>
          <w:u w:val="single" w:color="auto"/>
          <w:color w:val="auto"/>
        </w:rPr>
        <w:t>Schedules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hereto and the financial statements delivered with this Certificate in support hereof, are made and delivered this ___ day of __________,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894715</wp:posOffset>
            </wp:positionV>
            <wp:extent cx="2470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Financial Officer,</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MATRIX SERVICE COMPANY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91" w:right="259" w:bottom="1440" w:gutter="0" w:footer="0" w:header="0"/>
        </w:sectPr>
      </w:pPr>
    </w:p>
    <w:bookmarkStart w:id="53" w:name="page54"/>
    <w:bookmarkEnd w:id="53"/>
    <w:p>
      <w:pPr>
        <w:jc w:val="center"/>
        <w:ind w:right="220"/>
        <w:spacing w:after="0"/>
        <w:rPr>
          <w:sz w:val="20"/>
          <w:szCs w:val="20"/>
          <w:color w:val="auto"/>
        </w:rPr>
      </w:pPr>
      <w:r>
        <w:rPr>
          <w:rFonts w:ascii="Arial" w:cs="Arial" w:eastAsia="Arial" w:hAnsi="Arial"/>
          <w:sz w:val="22"/>
          <w:szCs w:val="22"/>
          <w:b w:val="1"/>
          <w:bCs w:val="1"/>
          <w:color w:val="auto"/>
        </w:rPr>
        <w:t>SCHEDULE I TO COMPLIANCE CERTIFICATE</w:t>
      </w:r>
    </w:p>
    <w:p>
      <w:pPr>
        <w:spacing w:after="0" w:line="226"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Compliance as of __________, 20__ with certain</w:t>
      </w:r>
    </w:p>
    <w:p>
      <w:pPr>
        <w:spacing w:after="0" w:line="2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Provisions of the Credit Agreement</w:t>
      </w:r>
    </w:p>
    <w:p>
      <w:pPr>
        <w:spacing w:after="0" w:line="20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All Calculations Below as of</w:t>
      </w:r>
    </w:p>
    <w:p>
      <w:pPr>
        <w:spacing w:after="0" w:line="2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__________, 20__ Except</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As Provided Otherwise Below</w:t>
      </w:r>
    </w:p>
    <w:p>
      <w:pPr>
        <w:spacing w:after="0" w:line="200" w:lineRule="exact"/>
        <w:rPr>
          <w:sz w:val="20"/>
          <w:szCs w:val="20"/>
          <w:color w:val="auto"/>
        </w:rPr>
      </w:pPr>
    </w:p>
    <w:p>
      <w:pPr>
        <w:spacing w:after="0" w:line="207" w:lineRule="exact"/>
        <w:rPr>
          <w:sz w:val="20"/>
          <w:szCs w:val="20"/>
          <w:color w:val="auto"/>
        </w:rPr>
      </w:pPr>
    </w:p>
    <w:p>
      <w:pPr>
        <w:ind w:left="820" w:hanging="384"/>
        <w:spacing w:after="0"/>
        <w:tabs>
          <w:tab w:leader="none" w:pos="820" w:val="left"/>
        </w:tabs>
        <w:numPr>
          <w:ilvl w:val="1"/>
          <w:numId w:val="36"/>
        </w:numPr>
        <w:rPr>
          <w:rFonts w:ascii="Arial" w:cs="Arial" w:eastAsia="Arial" w:hAnsi="Arial"/>
          <w:sz w:val="22"/>
          <w:szCs w:val="22"/>
          <w:color w:val="auto"/>
        </w:rPr>
      </w:pPr>
      <w:r>
        <w:rPr>
          <w:rFonts w:ascii="Arial" w:cs="Arial" w:eastAsia="Arial" w:hAnsi="Arial"/>
          <w:sz w:val="22"/>
          <w:szCs w:val="22"/>
          <w:color w:val="auto"/>
        </w:rPr>
        <w:t>Detailed Calculation of Consolidated EBITDA for Previous Four Fiscal Quarters:</w:t>
      </w:r>
      <w:r>
        <w:rPr>
          <w:rFonts w:ascii="Arial" w:cs="Arial" w:eastAsia="Arial" w:hAnsi="Arial"/>
          <w:sz w:val="28"/>
          <w:szCs w:val="28"/>
          <w:color w:val="auto"/>
          <w:vertAlign w:val="superscript"/>
        </w:rPr>
        <w:t>1</w:t>
      </w:r>
    </w:p>
    <w:p>
      <w:pPr>
        <w:spacing w:after="0" w:line="161" w:lineRule="exact"/>
        <w:rPr>
          <w:rFonts w:ascii="Arial" w:cs="Arial" w:eastAsia="Arial" w:hAnsi="Arial"/>
          <w:sz w:val="22"/>
          <w:szCs w:val="22"/>
          <w:color w:val="auto"/>
        </w:rPr>
      </w:pPr>
    </w:p>
    <w:p>
      <w:pPr>
        <w:ind w:left="820" w:hanging="384"/>
        <w:spacing w:after="0"/>
        <w:tabs>
          <w:tab w:leader="none" w:pos="820" w:val="left"/>
        </w:tabs>
        <w:numPr>
          <w:ilvl w:val="1"/>
          <w:numId w:val="36"/>
        </w:numPr>
        <w:rPr>
          <w:rFonts w:ascii="Arial" w:cs="Arial" w:eastAsia="Arial" w:hAnsi="Arial"/>
          <w:sz w:val="22"/>
          <w:szCs w:val="22"/>
          <w:color w:val="auto"/>
        </w:rPr>
      </w:pPr>
      <w:r>
        <w:rPr>
          <w:rFonts w:ascii="Arial" w:cs="Arial" w:eastAsia="Arial" w:hAnsi="Arial"/>
          <w:sz w:val="22"/>
          <w:szCs w:val="22"/>
          <w:color w:val="auto"/>
        </w:rPr>
        <w:t>(a)  Total Assets of Immaterial Subsidiaries that are not Subsidiary Guarantors: $_________</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540" w:hanging="455"/>
        <w:spacing w:after="0"/>
        <w:tabs>
          <w:tab w:leader="none" w:pos="1540" w:val="left"/>
        </w:tabs>
        <w:numPr>
          <w:ilvl w:val="2"/>
          <w:numId w:val="36"/>
        </w:numPr>
        <w:rPr>
          <w:rFonts w:ascii="Arial" w:cs="Arial" w:eastAsia="Arial" w:hAnsi="Arial"/>
          <w:sz w:val="22"/>
          <w:szCs w:val="22"/>
          <w:color w:val="auto"/>
        </w:rPr>
      </w:pPr>
      <w:r>
        <w:rPr>
          <w:rFonts w:ascii="Arial" w:cs="Arial" w:eastAsia="Arial" w:hAnsi="Arial"/>
          <w:sz w:val="22"/>
          <w:szCs w:val="22"/>
          <w:color w:val="auto"/>
        </w:rPr>
        <w:t>Total Assets of the Company and its Subsidiaries: $_________</w:t>
      </w:r>
    </w:p>
    <w:p>
      <w:pPr>
        <w:spacing w:after="0" w:line="208" w:lineRule="exact"/>
        <w:rPr>
          <w:rFonts w:ascii="Arial" w:cs="Arial" w:eastAsia="Arial" w:hAnsi="Arial"/>
          <w:sz w:val="22"/>
          <w:szCs w:val="22"/>
          <w:color w:val="auto"/>
        </w:rPr>
      </w:pPr>
    </w:p>
    <w:p>
      <w:pPr>
        <w:ind w:left="1540" w:hanging="455"/>
        <w:spacing w:after="0"/>
        <w:tabs>
          <w:tab w:leader="none" w:pos="1540" w:val="left"/>
        </w:tabs>
        <w:numPr>
          <w:ilvl w:val="2"/>
          <w:numId w:val="36"/>
        </w:numPr>
        <w:rPr>
          <w:rFonts w:ascii="Arial" w:cs="Arial" w:eastAsia="Arial" w:hAnsi="Arial"/>
          <w:sz w:val="22"/>
          <w:szCs w:val="22"/>
          <w:color w:val="auto"/>
        </w:rPr>
      </w:pPr>
      <w:r>
        <w:rPr>
          <w:rFonts w:ascii="Arial" w:cs="Arial" w:eastAsia="Arial" w:hAnsi="Arial"/>
          <w:sz w:val="22"/>
          <w:szCs w:val="22"/>
          <w:color w:val="auto"/>
        </w:rPr>
        <w:t xml:space="preserve">Ratio (expressed as a percentage) of Line (a) to Line (b): _____% </w:t>
      </w:r>
      <w:r>
        <w:rPr>
          <w:rFonts w:ascii="Arial" w:cs="Arial" w:eastAsia="Arial" w:hAnsi="Arial"/>
          <w:sz w:val="28"/>
          <w:szCs w:val="28"/>
          <w:color w:val="auto"/>
          <w:vertAlign w:val="superscript"/>
        </w:rPr>
        <w:t>2</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4" w:lineRule="exact"/>
        <w:rPr>
          <w:rFonts w:ascii="Arial" w:cs="Arial" w:eastAsia="Arial" w:hAnsi="Arial"/>
          <w:sz w:val="22"/>
          <w:szCs w:val="22"/>
          <w:color w:val="auto"/>
        </w:rPr>
      </w:pPr>
    </w:p>
    <w:p>
      <w:pPr>
        <w:ind w:left="820" w:hanging="384"/>
        <w:spacing w:after="0"/>
        <w:tabs>
          <w:tab w:leader="none" w:pos="820" w:val="left"/>
        </w:tabs>
        <w:numPr>
          <w:ilvl w:val="1"/>
          <w:numId w:val="36"/>
        </w:numPr>
        <w:rPr>
          <w:rFonts w:ascii="Arial" w:cs="Arial" w:eastAsia="Arial" w:hAnsi="Arial"/>
          <w:sz w:val="22"/>
          <w:szCs w:val="22"/>
          <w:color w:val="auto"/>
        </w:rPr>
      </w:pPr>
      <w:r>
        <w:rPr>
          <w:rFonts w:ascii="Arial" w:cs="Arial" w:eastAsia="Arial" w:hAnsi="Arial"/>
          <w:sz w:val="22"/>
          <w:szCs w:val="22"/>
          <w:color w:val="auto"/>
        </w:rPr>
        <w:t>(a)  Consolidated Revenues of Immaterial Subsidiaries that are not Subsidiary Guarantors: $_________</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560" w:hanging="475"/>
        <w:spacing w:after="0"/>
        <w:tabs>
          <w:tab w:leader="none" w:pos="1560" w:val="left"/>
        </w:tabs>
        <w:numPr>
          <w:ilvl w:val="2"/>
          <w:numId w:val="36"/>
        </w:numPr>
        <w:rPr>
          <w:rFonts w:ascii="Arial" w:cs="Arial" w:eastAsia="Arial" w:hAnsi="Arial"/>
          <w:sz w:val="22"/>
          <w:szCs w:val="22"/>
          <w:color w:val="auto"/>
        </w:rPr>
      </w:pPr>
      <w:r>
        <w:rPr>
          <w:rFonts w:ascii="Arial" w:cs="Arial" w:eastAsia="Arial" w:hAnsi="Arial"/>
          <w:sz w:val="22"/>
          <w:szCs w:val="22"/>
          <w:color w:val="auto"/>
        </w:rPr>
        <w:t>Consolidated Revenues of the Company and its Subsidiaries: $_________</w:t>
      </w:r>
    </w:p>
    <w:p>
      <w:pPr>
        <w:spacing w:after="0" w:line="208" w:lineRule="exact"/>
        <w:rPr>
          <w:rFonts w:ascii="Arial" w:cs="Arial" w:eastAsia="Arial" w:hAnsi="Arial"/>
          <w:sz w:val="22"/>
          <w:szCs w:val="22"/>
          <w:color w:val="auto"/>
        </w:rPr>
      </w:pPr>
    </w:p>
    <w:p>
      <w:pPr>
        <w:ind w:left="1540" w:hanging="455"/>
        <w:spacing w:after="0"/>
        <w:tabs>
          <w:tab w:leader="none" w:pos="1540" w:val="left"/>
        </w:tabs>
        <w:numPr>
          <w:ilvl w:val="2"/>
          <w:numId w:val="36"/>
        </w:numPr>
        <w:rPr>
          <w:rFonts w:ascii="Arial" w:cs="Arial" w:eastAsia="Arial" w:hAnsi="Arial"/>
          <w:sz w:val="22"/>
          <w:szCs w:val="22"/>
          <w:color w:val="auto"/>
        </w:rPr>
      </w:pPr>
      <w:r>
        <w:rPr>
          <w:rFonts w:ascii="Arial" w:cs="Arial" w:eastAsia="Arial" w:hAnsi="Arial"/>
          <w:sz w:val="22"/>
          <w:szCs w:val="22"/>
          <w:color w:val="auto"/>
        </w:rPr>
        <w:t xml:space="preserve">Ratio (expressed as a percentage) of Line (a) to Line (b): _____% </w:t>
      </w:r>
      <w:r>
        <w:rPr>
          <w:rFonts w:ascii="Arial" w:cs="Arial" w:eastAsia="Arial" w:hAnsi="Arial"/>
          <w:sz w:val="28"/>
          <w:szCs w:val="28"/>
          <w:color w:val="auto"/>
          <w:vertAlign w:val="superscript"/>
        </w:rPr>
        <w:t>3</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3" w:lineRule="exact"/>
        <w:rPr>
          <w:rFonts w:ascii="Arial" w:cs="Arial" w:eastAsia="Arial" w:hAnsi="Arial"/>
          <w:sz w:val="22"/>
          <w:szCs w:val="22"/>
          <w:color w:val="auto"/>
        </w:rPr>
      </w:pPr>
    </w:p>
    <w:p>
      <w:pPr>
        <w:ind w:left="820" w:hanging="384"/>
        <w:spacing w:after="0"/>
        <w:tabs>
          <w:tab w:leader="none" w:pos="820" w:val="left"/>
        </w:tabs>
        <w:numPr>
          <w:ilvl w:val="1"/>
          <w:numId w:val="36"/>
        </w:numPr>
        <w:rPr>
          <w:rFonts w:ascii="Arial" w:cs="Arial" w:eastAsia="Arial" w:hAnsi="Arial"/>
          <w:sz w:val="22"/>
          <w:szCs w:val="22"/>
          <w:color w:val="auto"/>
        </w:rPr>
      </w:pPr>
      <w:r>
        <w:rPr>
          <w:rFonts w:ascii="Arial" w:cs="Arial" w:eastAsia="Arial" w:hAnsi="Arial"/>
          <w:sz w:val="22"/>
          <w:szCs w:val="22"/>
          <w:color w:val="auto"/>
        </w:rPr>
        <w:t xml:space="preserve">Detailed Calculation of Leverage Ratio </w:t>
      </w:r>
      <w:r>
        <w:rPr>
          <w:rFonts w:ascii="Arial" w:cs="Arial" w:eastAsia="Arial" w:hAnsi="Arial"/>
          <w:sz w:val="28"/>
          <w:szCs w:val="28"/>
          <w:color w:val="auto"/>
          <w:vertAlign w:val="superscript"/>
        </w:rPr>
        <w:t>4</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820" w:hanging="384"/>
        <w:spacing w:after="0"/>
        <w:tabs>
          <w:tab w:leader="none" w:pos="820" w:val="left"/>
        </w:tabs>
        <w:numPr>
          <w:ilvl w:val="1"/>
          <w:numId w:val="36"/>
        </w:numPr>
        <w:rPr>
          <w:rFonts w:ascii="Arial" w:cs="Arial" w:eastAsia="Arial" w:hAnsi="Arial"/>
          <w:sz w:val="22"/>
          <w:szCs w:val="22"/>
          <w:color w:val="auto"/>
        </w:rPr>
      </w:pPr>
      <w:r>
        <w:rPr>
          <w:rFonts w:ascii="Arial" w:cs="Arial" w:eastAsia="Arial" w:hAnsi="Arial"/>
          <w:sz w:val="22"/>
          <w:szCs w:val="22"/>
          <w:color w:val="auto"/>
        </w:rPr>
        <w:t xml:space="preserve">Detailed Calculation of Fixed Charge Coverage Ratio </w:t>
      </w:r>
      <w:r>
        <w:rPr>
          <w:rFonts w:ascii="Arial" w:cs="Arial" w:eastAsia="Arial" w:hAnsi="Arial"/>
          <w:sz w:val="28"/>
          <w:szCs w:val="28"/>
          <w:color w:val="auto"/>
          <w:vertAlign w:val="superscript"/>
        </w:rPr>
        <w:t>5</w:t>
      </w:r>
    </w:p>
    <w:p>
      <w:pPr>
        <w:spacing w:after="0" w:line="245" w:lineRule="exact"/>
        <w:rPr>
          <w:rFonts w:ascii="Arial" w:cs="Arial" w:eastAsia="Arial" w:hAnsi="Arial"/>
          <w:sz w:val="22"/>
          <w:szCs w:val="22"/>
          <w:color w:val="auto"/>
        </w:rPr>
      </w:pPr>
    </w:p>
    <w:p>
      <w:pPr>
        <w:ind w:left="320" w:hanging="316"/>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Must not be less than $15,000,000 as of the fiscal quarter ending December 31, 2017.</w:t>
      </w:r>
    </w:p>
    <w:p>
      <w:pPr>
        <w:spacing w:after="0" w:line="13" w:lineRule="exact"/>
        <w:rPr>
          <w:rFonts w:ascii="Arial" w:cs="Arial" w:eastAsia="Arial" w:hAnsi="Arial"/>
          <w:sz w:val="14"/>
          <w:szCs w:val="14"/>
          <w:color w:val="auto"/>
        </w:rPr>
      </w:pPr>
    </w:p>
    <w:p>
      <w:pPr>
        <w:ind w:left="320" w:hanging="316"/>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If greater than 10%, include notice thereof with this Compliance Certificate.</w:t>
      </w:r>
    </w:p>
    <w:p>
      <w:pPr>
        <w:spacing w:after="0" w:line="1" w:lineRule="exact"/>
        <w:rPr>
          <w:rFonts w:ascii="Arial" w:cs="Arial" w:eastAsia="Arial" w:hAnsi="Arial"/>
          <w:sz w:val="14"/>
          <w:szCs w:val="14"/>
          <w:color w:val="auto"/>
        </w:rPr>
      </w:pPr>
    </w:p>
    <w:p>
      <w:pPr>
        <w:ind w:left="320" w:hanging="316"/>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If greater than 10%, include notice thereof with this Compliance Certificate.</w:t>
      </w:r>
    </w:p>
    <w:p>
      <w:pPr>
        <w:spacing w:after="0" w:line="1" w:lineRule="exact"/>
        <w:rPr>
          <w:rFonts w:ascii="Arial" w:cs="Arial" w:eastAsia="Arial" w:hAnsi="Arial"/>
          <w:sz w:val="14"/>
          <w:szCs w:val="14"/>
          <w:color w:val="auto"/>
        </w:rPr>
      </w:pPr>
    </w:p>
    <w:p>
      <w:pPr>
        <w:ind w:left="320" w:hanging="316"/>
        <w:spacing w:after="0" w:line="241" w:lineRule="auto"/>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Must not exceed (a) 3.00 to 1.00 for the fiscal quarter ended June 30, 2017, (b) 4.00 to 1.00 for the fiscal quarters ending September 30, 2017 and December 31, 2017 and (c) 3.00 to 1.00 for any fiscal quarter thereafter.</w:t>
      </w:r>
    </w:p>
    <w:p>
      <w:pPr>
        <w:ind w:left="320" w:right="20" w:hanging="316"/>
        <w:spacing w:after="0" w:line="255" w:lineRule="auto"/>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Must not be less than 1.25 to 1.00 for the fiscal quarter ended June 30, 2017. Not tested for the fiscal quarters ending September 30, 2017 and December 31, 2017. For any fiscal quarter thereafter, must not be less than 1.25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-735330</wp:posOffset>
            </wp:positionV>
            <wp:extent cx="2246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460" w:top="585" w:right="23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22"/>
          <w:szCs w:val="22"/>
          <w:b w:val="1"/>
          <w:bCs w:val="1"/>
          <w:color w:val="auto"/>
        </w:rPr>
        <w:t>SCHEDULE II TO COMPLIANCE CERTIFICATE</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Interest and Other Rates</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 the fiscal quarters ending during the Covenant Relief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234315</wp:posOffset>
            </wp:positionV>
            <wp:extent cx="6723380" cy="2383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23380" cy="2383790"/>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APPLICABLE MARGIN</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Actual Results: Leverage Ratio: __________</w:t>
      </w:r>
    </w:p>
    <w:p>
      <w:pPr>
        <w:ind w:left="3200"/>
        <w:spacing w:after="0"/>
        <w:rPr>
          <w:sz w:val="20"/>
          <w:szCs w:val="20"/>
          <w:color w:val="auto"/>
        </w:rPr>
      </w:pPr>
      <w:r>
        <w:rPr>
          <w:rFonts w:ascii="Arial" w:cs="Arial" w:eastAsia="Arial" w:hAnsi="Arial"/>
          <w:sz w:val="20"/>
          <w:szCs w:val="20"/>
          <w:b w:val="1"/>
          <w:bCs w:val="1"/>
          <w:color w:val="auto"/>
        </w:rPr>
        <w:t>For Fiscal Quarter Ending ___________________</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520" w:type="dxa"/>
            <w:vAlign w:val="bottom"/>
            <w:tcBorders>
              <w:top w:val="single" w:sz="8" w:color="auto"/>
              <w:right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Applicable Margin for</w:t>
            </w:r>
          </w:p>
        </w:tc>
        <w:tc>
          <w:tcPr>
            <w:tcW w:w="1480" w:type="dxa"/>
            <w:vAlign w:val="bottom"/>
            <w:tcBorders>
              <w:top w:val="single" w:sz="8" w:color="auto"/>
              <w:right w:val="single" w:sz="8" w:color="auto"/>
            </w:tcBorders>
          </w:tcPr>
          <w:p>
            <w:pPr>
              <w:spacing w:after="0"/>
              <w:rPr>
                <w:sz w:val="21"/>
                <w:szCs w:val="21"/>
                <w:color w:val="auto"/>
              </w:rPr>
            </w:pPr>
          </w:p>
        </w:tc>
        <w:tc>
          <w:tcPr>
            <w:tcW w:w="1680" w:type="dxa"/>
            <w:vAlign w:val="bottom"/>
            <w:tcBorders>
              <w:top w:val="single" w:sz="8" w:color="auto"/>
              <w:right w:val="single" w:sz="8" w:color="auto"/>
            </w:tcBorders>
          </w:tcPr>
          <w:p>
            <w:pPr>
              <w:spacing w:after="0"/>
              <w:rPr>
                <w:sz w:val="21"/>
                <w:szCs w:val="21"/>
                <w:color w:val="auto"/>
              </w:rPr>
            </w:pPr>
          </w:p>
        </w:tc>
        <w:tc>
          <w:tcPr>
            <w:tcW w:w="26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Mark As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Eurocurrency,</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Applicable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Applicable Margin</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Applicable</w:t>
            </w:r>
          </w:p>
        </w:tc>
        <w:tc>
          <w:tcPr>
            <w:tcW w:w="12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w w:val="88"/>
              </w:rPr>
              <w:t>Leverage</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EURIBOR and CDOR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Margin for ABR</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for Canadian</w:t>
            </w:r>
          </w:p>
        </w:tc>
        <w:tc>
          <w:tcPr>
            <w:tcW w:w="2640" w:type="dxa"/>
            <w:vAlign w:val="bottom"/>
          </w:tcPr>
          <w:p>
            <w:pPr>
              <w:jc w:val="center"/>
              <w:spacing w:after="0"/>
              <w:rPr>
                <w:sz w:val="20"/>
                <w:szCs w:val="20"/>
                <w:color w:val="auto"/>
              </w:rPr>
            </w:pPr>
            <w:r>
              <w:rPr>
                <w:rFonts w:ascii="Arial" w:cs="Arial" w:eastAsia="Arial" w:hAnsi="Arial"/>
                <w:sz w:val="20"/>
                <w:szCs w:val="20"/>
                <w:b w:val="1"/>
                <w:bCs w:val="1"/>
                <w:color w:val="auto"/>
                <w:w w:val="92"/>
              </w:rPr>
              <w:t>Applicable Margin for</w:t>
            </w:r>
          </w:p>
        </w:tc>
        <w:tc>
          <w:tcPr>
            <w:tcW w:w="0" w:type="dxa"/>
            <w:vAlign w:val="bottom"/>
          </w:tcPr>
          <w:p>
            <w:pPr>
              <w:spacing w:after="0"/>
              <w:rPr>
                <w:sz w:val="1"/>
                <w:szCs w:val="1"/>
                <w:color w:val="auto"/>
              </w:rPr>
            </w:pPr>
          </w:p>
        </w:tc>
      </w:tr>
      <w:tr>
        <w:trPr>
          <w:trHeight w:val="256"/>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with “X”</w:t>
            </w:r>
          </w:p>
        </w:tc>
        <w:tc>
          <w:tcPr>
            <w:tcW w:w="320" w:type="dxa"/>
            <w:vAlign w:val="bottom"/>
          </w:tcPr>
          <w:p>
            <w:pPr>
              <w:spacing w:after="0"/>
              <w:rPr>
                <w:sz w:val="22"/>
                <w:szCs w:val="22"/>
                <w:color w:val="auto"/>
              </w:rPr>
            </w:pPr>
          </w:p>
        </w:tc>
        <w:tc>
          <w:tcPr>
            <w:tcW w:w="9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20"/>
                <w:szCs w:val="20"/>
                <w:b w:val="1"/>
                <w:bCs w:val="1"/>
                <w:color w:val="auto"/>
                <w:w w:val="91"/>
              </w:rPr>
              <w:t>Ratio</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Loans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Loans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Prime Rate Loans</w:t>
            </w:r>
          </w:p>
        </w:tc>
        <w:tc>
          <w:tcPr>
            <w:tcW w:w="2640" w:type="dxa"/>
            <w:vAlign w:val="bottom"/>
          </w:tcPr>
          <w:p>
            <w:pPr>
              <w:jc w:val="center"/>
              <w:spacing w:after="0"/>
              <w:rPr>
                <w:sz w:val="20"/>
                <w:szCs w:val="20"/>
                <w:color w:val="auto"/>
              </w:rPr>
            </w:pPr>
            <w:r>
              <w:rPr>
                <w:rFonts w:ascii="Arial" w:cs="Arial" w:eastAsia="Arial" w:hAnsi="Arial"/>
                <w:sz w:val="20"/>
                <w:szCs w:val="20"/>
                <w:b w:val="1"/>
                <w:bCs w:val="1"/>
                <w:color w:val="auto"/>
                <w:w w:val="85"/>
              </w:rPr>
              <w:t>Unused Fees</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52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20"/>
                <w:szCs w:val="20"/>
                <w:color w:val="auto"/>
                <w:w w:val="90"/>
              </w:rPr>
              <w:t>&lt; 1.00x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1.625%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0.625%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2.125%</w:t>
            </w:r>
          </w:p>
        </w:tc>
        <w:tc>
          <w:tcPr>
            <w:tcW w:w="264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52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20"/>
                <w:szCs w:val="20"/>
                <w:color w:val="auto"/>
                <w:w w:val="90"/>
              </w:rPr>
              <w:t>&lt; 1.50x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1.875%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0.875%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2.375%</w:t>
            </w:r>
          </w:p>
        </w:tc>
        <w:tc>
          <w:tcPr>
            <w:tcW w:w="2640" w:type="dxa"/>
            <w:vAlign w:val="bottom"/>
          </w:tcPr>
          <w:p>
            <w:pPr>
              <w:jc w:val="center"/>
              <w:spacing w:after="0"/>
              <w:rPr>
                <w:sz w:val="20"/>
                <w:szCs w:val="20"/>
                <w:color w:val="auto"/>
              </w:rPr>
            </w:pPr>
            <w:r>
              <w:rPr>
                <w:rFonts w:ascii="Arial" w:cs="Arial" w:eastAsia="Arial" w:hAnsi="Arial"/>
                <w:sz w:val="20"/>
                <w:szCs w:val="20"/>
                <w:color w:val="auto"/>
                <w:w w:val="88"/>
              </w:rPr>
              <w:t>0.30%</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52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20"/>
                <w:szCs w:val="20"/>
                <w:color w:val="auto"/>
                <w:w w:val="90"/>
              </w:rPr>
              <w:t>&lt; 2.00x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2.125%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1.125%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2.625%</w:t>
            </w:r>
          </w:p>
        </w:tc>
        <w:tc>
          <w:tcPr>
            <w:tcW w:w="2640" w:type="dxa"/>
            <w:vAlign w:val="bottom"/>
          </w:tcPr>
          <w:p>
            <w:pPr>
              <w:jc w:val="center"/>
              <w:spacing w:after="0"/>
              <w:rPr>
                <w:sz w:val="20"/>
                <w:szCs w:val="20"/>
                <w:color w:val="auto"/>
              </w:rPr>
            </w:pPr>
            <w:r>
              <w:rPr>
                <w:rFonts w:ascii="Arial" w:cs="Arial" w:eastAsia="Arial" w:hAnsi="Arial"/>
                <w:sz w:val="20"/>
                <w:szCs w:val="20"/>
                <w:color w:val="auto"/>
                <w:w w:val="88"/>
              </w:rPr>
              <w:t>0.35%</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52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20"/>
                <w:szCs w:val="20"/>
                <w:color w:val="auto"/>
                <w:w w:val="90"/>
              </w:rPr>
              <w:t>&lt; 2.50x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2.375%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1.375%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2.875%</w:t>
            </w:r>
          </w:p>
        </w:tc>
        <w:tc>
          <w:tcPr>
            <w:tcW w:w="2640" w:type="dxa"/>
            <w:vAlign w:val="bottom"/>
          </w:tcPr>
          <w:p>
            <w:pPr>
              <w:jc w:val="center"/>
              <w:spacing w:after="0"/>
              <w:rPr>
                <w:sz w:val="20"/>
                <w:szCs w:val="20"/>
                <w:color w:val="auto"/>
              </w:rPr>
            </w:pPr>
            <w:r>
              <w:rPr>
                <w:rFonts w:ascii="Arial" w:cs="Arial" w:eastAsia="Arial" w:hAnsi="Arial"/>
                <w:sz w:val="20"/>
                <w:szCs w:val="20"/>
                <w:color w:val="auto"/>
                <w:w w:val="88"/>
              </w:rPr>
              <w:t>0.40%</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52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20"/>
                <w:szCs w:val="20"/>
                <w:color w:val="auto"/>
                <w:w w:val="90"/>
              </w:rPr>
              <w:t>&lt; 3.00x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2.625%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1.625%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3.125%</w:t>
            </w:r>
          </w:p>
        </w:tc>
        <w:tc>
          <w:tcPr>
            <w:tcW w:w="2640" w:type="dxa"/>
            <w:vAlign w:val="bottom"/>
          </w:tcPr>
          <w:p>
            <w:pPr>
              <w:jc w:val="center"/>
              <w:spacing w:after="0"/>
              <w:rPr>
                <w:sz w:val="20"/>
                <w:szCs w:val="20"/>
                <w:color w:val="auto"/>
              </w:rPr>
            </w:pPr>
            <w:r>
              <w:rPr>
                <w:rFonts w:ascii="Arial" w:cs="Arial" w:eastAsia="Arial" w:hAnsi="Arial"/>
                <w:sz w:val="20"/>
                <w:szCs w:val="20"/>
                <w:color w:val="auto"/>
                <w:w w:val="88"/>
              </w:rPr>
              <w:t>0.45%</w:t>
            </w: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52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20"/>
                <w:szCs w:val="20"/>
                <w:color w:val="auto"/>
                <w:w w:val="90"/>
              </w:rPr>
              <w:t>&gt; 3.00x</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2.875%</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1.875%</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3.375%</w:t>
            </w:r>
          </w:p>
        </w:tc>
        <w:tc>
          <w:tcPr>
            <w:tcW w:w="2640" w:type="dxa"/>
            <w:vAlign w:val="bottom"/>
            <w:vMerge w:val="restart"/>
          </w:tcPr>
          <w:p>
            <w:pPr>
              <w:jc w:val="center"/>
              <w:spacing w:after="0"/>
              <w:rPr>
                <w:sz w:val="20"/>
                <w:szCs w:val="20"/>
                <w:color w:val="auto"/>
              </w:rPr>
            </w:pPr>
            <w:r>
              <w:rPr>
                <w:rFonts w:ascii="Arial" w:cs="Arial" w:eastAsia="Arial" w:hAnsi="Arial"/>
                <w:sz w:val="20"/>
                <w:szCs w:val="20"/>
                <w:color w:val="auto"/>
                <w:w w:val="88"/>
              </w:rPr>
              <w:t>0.50%</w:t>
            </w:r>
          </w:p>
        </w:tc>
        <w:tc>
          <w:tcPr>
            <w:tcW w:w="0" w:type="dxa"/>
            <w:vAlign w:val="bottom"/>
          </w:tcPr>
          <w:p>
            <w:pPr>
              <w:spacing w:after="0"/>
              <w:rPr>
                <w:sz w:val="1"/>
                <w:szCs w:val="1"/>
                <w:color w:val="auto"/>
              </w:rPr>
            </w:pPr>
          </w:p>
        </w:tc>
      </w:tr>
      <w:tr>
        <w:trPr>
          <w:trHeight w:val="133"/>
        </w:trPr>
        <w:tc>
          <w:tcPr>
            <w:tcW w:w="152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15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 each fiscal quarter ending after the Covenant Relief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234315</wp:posOffset>
            </wp:positionV>
            <wp:extent cx="6723380" cy="2058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23380" cy="205803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APPLICABLE MARGIN</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Actual Results: Leverage Ratio: __________</w:t>
      </w:r>
    </w:p>
    <w:p>
      <w:pPr>
        <w:ind w:left="3200"/>
        <w:spacing w:after="0"/>
        <w:rPr>
          <w:sz w:val="20"/>
          <w:szCs w:val="20"/>
          <w:color w:val="auto"/>
        </w:rPr>
      </w:pPr>
      <w:r>
        <w:rPr>
          <w:rFonts w:ascii="Arial" w:cs="Arial" w:eastAsia="Arial" w:hAnsi="Arial"/>
          <w:sz w:val="20"/>
          <w:szCs w:val="20"/>
          <w:b w:val="1"/>
          <w:bCs w:val="1"/>
          <w:color w:val="auto"/>
        </w:rPr>
        <w:t>For Fiscal Quarter Ending ___________________</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520" w:type="dxa"/>
            <w:vAlign w:val="bottom"/>
            <w:tcBorders>
              <w:top w:val="single" w:sz="8" w:color="auto"/>
              <w:right w:val="single" w:sz="8" w:color="auto"/>
            </w:tcBorders>
          </w:tcPr>
          <w:p>
            <w:pPr>
              <w:spacing w:after="0"/>
              <w:rPr>
                <w:sz w:val="21"/>
                <w:szCs w:val="21"/>
                <w:color w:val="auto"/>
              </w:rPr>
            </w:pPr>
          </w:p>
        </w:tc>
        <w:tc>
          <w:tcPr>
            <w:tcW w:w="12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Applicable Margin for</w:t>
            </w:r>
          </w:p>
        </w:tc>
        <w:tc>
          <w:tcPr>
            <w:tcW w:w="1480" w:type="dxa"/>
            <w:vAlign w:val="bottom"/>
            <w:tcBorders>
              <w:top w:val="single" w:sz="8" w:color="auto"/>
              <w:right w:val="single" w:sz="8" w:color="auto"/>
            </w:tcBorders>
          </w:tcPr>
          <w:p>
            <w:pPr>
              <w:spacing w:after="0"/>
              <w:rPr>
                <w:sz w:val="21"/>
                <w:szCs w:val="21"/>
                <w:color w:val="auto"/>
              </w:rPr>
            </w:pPr>
          </w:p>
        </w:tc>
        <w:tc>
          <w:tcPr>
            <w:tcW w:w="1680" w:type="dxa"/>
            <w:vAlign w:val="bottom"/>
            <w:tcBorders>
              <w:top w:val="single" w:sz="8" w:color="auto"/>
              <w:right w:val="single" w:sz="8" w:color="auto"/>
            </w:tcBorders>
          </w:tcPr>
          <w:p>
            <w:pPr>
              <w:spacing w:after="0"/>
              <w:rPr>
                <w:sz w:val="21"/>
                <w:szCs w:val="21"/>
                <w:color w:val="auto"/>
              </w:rPr>
            </w:pPr>
          </w:p>
        </w:tc>
        <w:tc>
          <w:tcPr>
            <w:tcW w:w="2640" w:type="dxa"/>
            <w:vAlign w:val="bottom"/>
            <w:tcBorders>
              <w:top w:val="single" w:sz="8" w:color="auto"/>
            </w:tcBorders>
          </w:tcPr>
          <w:p>
            <w:pPr>
              <w:spacing w:after="0"/>
              <w:rPr>
                <w:sz w:val="21"/>
                <w:szCs w:val="21"/>
                <w:color w:val="auto"/>
              </w:rPr>
            </w:pPr>
          </w:p>
        </w:tc>
      </w:tr>
      <w:tr>
        <w:trPr>
          <w:trHeight w:val="230"/>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Mark As</w:t>
            </w:r>
          </w:p>
        </w:tc>
        <w:tc>
          <w:tcPr>
            <w:tcW w:w="126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Eurocurrency,</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Applicable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Applicable Margin</w:t>
            </w:r>
          </w:p>
        </w:tc>
        <w:tc>
          <w:tcPr>
            <w:tcW w:w="2640" w:type="dxa"/>
            <w:vAlign w:val="bottom"/>
          </w:tcPr>
          <w:p>
            <w:pPr>
              <w:spacing w:after="0"/>
              <w:rPr>
                <w:sz w:val="19"/>
                <w:szCs w:val="19"/>
                <w:color w:val="auto"/>
              </w:rPr>
            </w:pPr>
          </w:p>
        </w:tc>
      </w:tr>
      <w:tr>
        <w:trPr>
          <w:trHeight w:val="230"/>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Applicable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Leverage</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EURIBOR and CDOR</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Margin for ABR</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for Canadian</w:t>
            </w:r>
          </w:p>
        </w:tc>
        <w:tc>
          <w:tcPr>
            <w:tcW w:w="2640" w:type="dxa"/>
            <w:vAlign w:val="bottom"/>
          </w:tcPr>
          <w:p>
            <w:pPr>
              <w:jc w:val="center"/>
              <w:spacing w:after="0"/>
              <w:rPr>
                <w:sz w:val="20"/>
                <w:szCs w:val="20"/>
                <w:color w:val="auto"/>
              </w:rPr>
            </w:pPr>
            <w:r>
              <w:rPr>
                <w:rFonts w:ascii="Arial" w:cs="Arial" w:eastAsia="Arial" w:hAnsi="Arial"/>
                <w:sz w:val="20"/>
                <w:szCs w:val="20"/>
                <w:b w:val="1"/>
                <w:bCs w:val="1"/>
                <w:color w:val="auto"/>
                <w:w w:val="92"/>
              </w:rPr>
              <w:t>Applicable Margin for</w:t>
            </w:r>
          </w:p>
        </w:tc>
      </w:tr>
      <w:tr>
        <w:trPr>
          <w:trHeight w:val="256"/>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with “X”</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Ratio</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Loans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Loans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Prime Rate Loans</w:t>
            </w:r>
          </w:p>
        </w:tc>
        <w:tc>
          <w:tcPr>
            <w:tcW w:w="2640" w:type="dxa"/>
            <w:vAlign w:val="bottom"/>
          </w:tcPr>
          <w:p>
            <w:pPr>
              <w:jc w:val="center"/>
              <w:spacing w:after="0"/>
              <w:rPr>
                <w:sz w:val="20"/>
                <w:szCs w:val="20"/>
                <w:color w:val="auto"/>
              </w:rPr>
            </w:pPr>
            <w:r>
              <w:rPr>
                <w:rFonts w:ascii="Arial" w:cs="Arial" w:eastAsia="Arial" w:hAnsi="Arial"/>
                <w:sz w:val="20"/>
                <w:szCs w:val="20"/>
                <w:b w:val="1"/>
                <w:bCs w:val="1"/>
                <w:color w:val="auto"/>
                <w:w w:val="85"/>
              </w:rPr>
              <w:t>Unused Fees</w:t>
            </w:r>
          </w:p>
        </w:tc>
      </w:tr>
      <w:tr>
        <w:trPr>
          <w:trHeight w:val="23"/>
        </w:trPr>
        <w:tc>
          <w:tcPr>
            <w:tcW w:w="15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54"/>
        </w:trPr>
        <w:tc>
          <w:tcPr>
            <w:tcW w:w="152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&lt; 1.00x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1.625%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0.625%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2.125%</w:t>
            </w:r>
          </w:p>
        </w:tc>
        <w:tc>
          <w:tcPr>
            <w:tcW w:w="2640" w:type="dxa"/>
            <w:vAlign w:val="bottom"/>
          </w:tcPr>
          <w:p>
            <w:pPr>
              <w:jc w:val="center"/>
              <w:spacing w:after="0"/>
              <w:rPr>
                <w:sz w:val="20"/>
                <w:szCs w:val="20"/>
                <w:color w:val="auto"/>
              </w:rPr>
            </w:pPr>
            <w:r>
              <w:rPr>
                <w:rFonts w:ascii="Arial" w:cs="Arial" w:eastAsia="Arial" w:hAnsi="Arial"/>
                <w:sz w:val="20"/>
                <w:szCs w:val="20"/>
                <w:color w:val="auto"/>
                <w:w w:val="88"/>
              </w:rPr>
              <w:t>0.25%</w:t>
            </w:r>
          </w:p>
        </w:tc>
      </w:tr>
      <w:tr>
        <w:trPr>
          <w:trHeight w:val="23"/>
        </w:trPr>
        <w:tc>
          <w:tcPr>
            <w:tcW w:w="15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54"/>
        </w:trPr>
        <w:tc>
          <w:tcPr>
            <w:tcW w:w="152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&lt; 1.50x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1.875%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0.875%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2.375%</w:t>
            </w:r>
          </w:p>
        </w:tc>
        <w:tc>
          <w:tcPr>
            <w:tcW w:w="2640" w:type="dxa"/>
            <w:vAlign w:val="bottom"/>
          </w:tcPr>
          <w:p>
            <w:pPr>
              <w:jc w:val="center"/>
              <w:spacing w:after="0"/>
              <w:rPr>
                <w:sz w:val="20"/>
                <w:szCs w:val="20"/>
                <w:color w:val="auto"/>
              </w:rPr>
            </w:pPr>
            <w:r>
              <w:rPr>
                <w:rFonts w:ascii="Arial" w:cs="Arial" w:eastAsia="Arial" w:hAnsi="Arial"/>
                <w:sz w:val="20"/>
                <w:szCs w:val="20"/>
                <w:color w:val="auto"/>
                <w:w w:val="88"/>
              </w:rPr>
              <w:t>0.30%</w:t>
            </w:r>
          </w:p>
        </w:tc>
      </w:tr>
      <w:tr>
        <w:trPr>
          <w:trHeight w:val="23"/>
        </w:trPr>
        <w:tc>
          <w:tcPr>
            <w:tcW w:w="15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54"/>
        </w:trPr>
        <w:tc>
          <w:tcPr>
            <w:tcW w:w="152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&lt; 2.00x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2.125%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1.125%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2.625%</w:t>
            </w:r>
          </w:p>
        </w:tc>
        <w:tc>
          <w:tcPr>
            <w:tcW w:w="2640" w:type="dxa"/>
            <w:vAlign w:val="bottom"/>
          </w:tcPr>
          <w:p>
            <w:pPr>
              <w:jc w:val="center"/>
              <w:spacing w:after="0"/>
              <w:rPr>
                <w:sz w:val="20"/>
                <w:szCs w:val="20"/>
                <w:color w:val="auto"/>
              </w:rPr>
            </w:pPr>
            <w:r>
              <w:rPr>
                <w:rFonts w:ascii="Arial" w:cs="Arial" w:eastAsia="Arial" w:hAnsi="Arial"/>
                <w:sz w:val="20"/>
                <w:szCs w:val="20"/>
                <w:color w:val="auto"/>
                <w:w w:val="88"/>
              </w:rPr>
              <w:t>0.35%</w:t>
            </w:r>
          </w:p>
        </w:tc>
      </w:tr>
      <w:tr>
        <w:trPr>
          <w:trHeight w:val="23"/>
        </w:trPr>
        <w:tc>
          <w:tcPr>
            <w:tcW w:w="15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54"/>
        </w:trPr>
        <w:tc>
          <w:tcPr>
            <w:tcW w:w="152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&lt; 2.50x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2.375%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1.375%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2.875%</w:t>
            </w:r>
          </w:p>
        </w:tc>
        <w:tc>
          <w:tcPr>
            <w:tcW w:w="2640" w:type="dxa"/>
            <w:vAlign w:val="bottom"/>
          </w:tcPr>
          <w:p>
            <w:pPr>
              <w:jc w:val="center"/>
              <w:spacing w:after="0"/>
              <w:rPr>
                <w:sz w:val="20"/>
                <w:szCs w:val="20"/>
                <w:color w:val="auto"/>
              </w:rPr>
            </w:pPr>
            <w:r>
              <w:rPr>
                <w:rFonts w:ascii="Arial" w:cs="Arial" w:eastAsia="Arial" w:hAnsi="Arial"/>
                <w:sz w:val="20"/>
                <w:szCs w:val="20"/>
                <w:color w:val="auto"/>
                <w:w w:val="88"/>
              </w:rPr>
              <w:t>0.40%</w:t>
            </w:r>
          </w:p>
        </w:tc>
      </w:tr>
      <w:tr>
        <w:trPr>
          <w:trHeight w:val="23"/>
        </w:trPr>
        <w:tc>
          <w:tcPr>
            <w:tcW w:w="15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54"/>
        </w:trPr>
        <w:tc>
          <w:tcPr>
            <w:tcW w:w="152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 2.50x</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2.625%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1.625%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3.125%</w:t>
            </w:r>
          </w:p>
        </w:tc>
        <w:tc>
          <w:tcPr>
            <w:tcW w:w="2640" w:type="dxa"/>
            <w:vAlign w:val="bottom"/>
          </w:tcPr>
          <w:p>
            <w:pPr>
              <w:jc w:val="center"/>
              <w:spacing w:after="0"/>
              <w:rPr>
                <w:sz w:val="20"/>
                <w:szCs w:val="20"/>
                <w:color w:val="auto"/>
              </w:rPr>
            </w:pPr>
            <w:r>
              <w:rPr>
                <w:rFonts w:ascii="Arial" w:cs="Arial" w:eastAsia="Arial" w:hAnsi="Arial"/>
                <w:sz w:val="20"/>
                <w:szCs w:val="20"/>
                <w:color w:val="auto"/>
                <w:w w:val="88"/>
              </w:rPr>
              <w:t>0.45%</w:t>
            </w:r>
          </w:p>
        </w:tc>
      </w:tr>
      <w:tr>
        <w:trPr>
          <w:trHeight w:val="23"/>
        </w:trPr>
        <w:tc>
          <w:tcPr>
            <w:tcW w:w="15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669"/>
        </w:trPr>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80" w:type="dxa"/>
            <w:vAlign w:val="bottom"/>
          </w:tcPr>
          <w:p>
            <w:pPr>
              <w:jc w:val="right"/>
              <w:ind w:right="802"/>
              <w:spacing w:after="0"/>
              <w:rPr>
                <w:sz w:val="20"/>
                <w:szCs w:val="20"/>
                <w:color w:val="auto"/>
              </w:rPr>
            </w:pPr>
            <w:r>
              <w:rPr>
                <w:rFonts w:ascii="Arial" w:cs="Arial" w:eastAsia="Arial" w:hAnsi="Arial"/>
                <w:sz w:val="18"/>
                <w:szCs w:val="18"/>
                <w:color w:val="auto"/>
              </w:rPr>
              <w:t>19</w:t>
            </w:r>
          </w:p>
        </w:tc>
        <w:tc>
          <w:tcPr>
            <w:tcW w:w="168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0600"/>
          </w:cols>
          <w:pgMar w:left="660" w:top="585" w:right="639" w:bottom="1440" w:gutter="0" w:footer="0" w:header="0"/>
        </w:sectPr>
      </w:pPr>
    </w:p>
    <w:bookmarkStart w:id="55" w:name="page56"/>
    <w:bookmarkEnd w:id="55"/>
    <w:p>
      <w:pPr>
        <w:ind w:left="2840"/>
        <w:spacing w:after="0"/>
        <w:rPr>
          <w:sz w:val="20"/>
          <w:szCs w:val="20"/>
          <w:color w:val="auto"/>
        </w:rPr>
      </w:pPr>
      <w:r>
        <w:rPr>
          <w:rFonts w:ascii="Arial" w:cs="Arial" w:eastAsia="Arial" w:hAnsi="Arial"/>
          <w:sz w:val="22"/>
          <w:szCs w:val="22"/>
          <w:b w:val="1"/>
          <w:bCs w:val="1"/>
          <w:color w:val="auto"/>
        </w:rPr>
        <w:t>SCHEDULE III TO COMPLIANCE CERTIFICATE</w:t>
      </w:r>
    </w:p>
    <w:p>
      <w:pPr>
        <w:spacing w:after="0" w:line="220"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List of Reports and Deliveries Due at this Time</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and Status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5340" w:type="dxa"/>
            <w:vAlign w:val="bottom"/>
            <w:tcBorders>
              <w:top w:val="single" w:sz="8" w:color="auto"/>
              <w:left w:val="single" w:sz="8" w:color="auto"/>
              <w:bottom w:val="single" w:sz="8" w:color="BFBFBF"/>
              <w:right w:val="single" w:sz="8" w:color="auto"/>
            </w:tcBorders>
            <w:shd w:val="clear" w:color="auto" w:fill="BFBFBF"/>
          </w:tcPr>
          <w:p>
            <w:pPr>
              <w:ind w:left="1560"/>
              <w:spacing w:after="0"/>
              <w:rPr>
                <w:sz w:val="20"/>
                <w:szCs w:val="20"/>
                <w:color w:val="auto"/>
              </w:rPr>
            </w:pPr>
            <w:r>
              <w:rPr>
                <w:rFonts w:ascii="Arial" w:cs="Arial" w:eastAsia="Arial" w:hAnsi="Arial"/>
                <w:sz w:val="18"/>
                <w:szCs w:val="18"/>
                <w:b w:val="1"/>
                <w:bCs w:val="1"/>
                <w:color w:val="auto"/>
              </w:rPr>
              <w:t>Report or Delivery Due Date</w:t>
            </w:r>
          </w:p>
        </w:tc>
        <w:tc>
          <w:tcPr>
            <w:tcW w:w="5320" w:type="dxa"/>
            <w:vAlign w:val="bottom"/>
            <w:tcBorders>
              <w:top w:val="single" w:sz="8" w:color="auto"/>
              <w:bottom w:val="single" w:sz="8" w:color="BFBFBF"/>
              <w:right w:val="single" w:sz="8" w:color="auto"/>
            </w:tcBorders>
            <w:shd w:val="clear" w:color="auto" w:fill="BFBFBF"/>
          </w:tcPr>
          <w:p>
            <w:pPr>
              <w:ind w:left="2400"/>
              <w:spacing w:after="0"/>
              <w:rPr>
                <w:sz w:val="20"/>
                <w:szCs w:val="20"/>
                <w:color w:val="auto"/>
              </w:rPr>
            </w:pPr>
            <w:r>
              <w:rPr>
                <w:rFonts w:ascii="Arial" w:cs="Arial" w:eastAsia="Arial" w:hAnsi="Arial"/>
                <w:sz w:val="18"/>
                <w:szCs w:val="18"/>
                <w:b w:val="1"/>
                <w:bCs w:val="1"/>
                <w:color w:val="auto"/>
              </w:rPr>
              <w:t>Status</w:t>
            </w:r>
          </w:p>
        </w:tc>
      </w:tr>
      <w:tr>
        <w:trPr>
          <w:trHeight w:val="318"/>
        </w:trPr>
        <w:tc>
          <w:tcPr>
            <w:tcW w:w="53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5320" w:type="dxa"/>
            <w:vAlign w:val="bottom"/>
            <w:tcBorders>
              <w:top w:val="single" w:sz="8" w:color="auto"/>
              <w:bottom w:val="single" w:sz="8" w:color="auto"/>
              <w:right w:val="single" w:sz="8" w:color="auto"/>
            </w:tcBorders>
          </w:tcPr>
          <w:p>
            <w:pPr>
              <w:spacing w:after="0"/>
              <w:rPr>
                <w:sz w:val="24"/>
                <w:szCs w:val="24"/>
                <w:color w:val="auto"/>
              </w:rPr>
            </w:pPr>
          </w:p>
        </w:tc>
      </w:tr>
      <w:tr>
        <w:trPr>
          <w:trHeight w:val="318"/>
        </w:trPr>
        <w:tc>
          <w:tcPr>
            <w:tcW w:w="534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4"/>
                <w:szCs w:val="24"/>
                <w:color w:val="auto"/>
              </w:rPr>
            </w:pPr>
          </w:p>
        </w:tc>
      </w:tr>
      <w:tr>
        <w:trPr>
          <w:trHeight w:val="318"/>
        </w:trPr>
        <w:tc>
          <w:tcPr>
            <w:tcW w:w="534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4"/>
                <w:szCs w:val="24"/>
                <w:color w:val="auto"/>
              </w:rPr>
            </w:pPr>
          </w:p>
        </w:tc>
      </w:tr>
      <w:tr>
        <w:trPr>
          <w:trHeight w:val="318"/>
        </w:trPr>
        <w:tc>
          <w:tcPr>
            <w:tcW w:w="534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4"/>
                <w:szCs w:val="24"/>
                <w:color w:val="auto"/>
              </w:rPr>
            </w:pPr>
          </w:p>
        </w:tc>
      </w:tr>
      <w:tr>
        <w:trPr>
          <w:trHeight w:val="318"/>
        </w:trPr>
        <w:tc>
          <w:tcPr>
            <w:tcW w:w="534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4"/>
                <w:szCs w:val="24"/>
                <w:color w:val="auto"/>
              </w:rPr>
            </w:pPr>
          </w:p>
        </w:tc>
      </w:tr>
      <w:tr>
        <w:trPr>
          <w:trHeight w:val="318"/>
        </w:trPr>
        <w:tc>
          <w:tcPr>
            <w:tcW w:w="534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4"/>
                <w:szCs w:val="24"/>
                <w:color w:val="auto"/>
              </w:rPr>
            </w:pPr>
          </w:p>
        </w:tc>
      </w:tr>
      <w:tr>
        <w:trPr>
          <w:trHeight w:val="318"/>
        </w:trPr>
        <w:tc>
          <w:tcPr>
            <w:tcW w:w="534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4"/>
                <w:szCs w:val="24"/>
                <w:color w:val="auto"/>
              </w:rPr>
            </w:pPr>
          </w:p>
        </w:tc>
      </w:tr>
      <w:tr>
        <w:trPr>
          <w:trHeight w:val="318"/>
        </w:trPr>
        <w:tc>
          <w:tcPr>
            <w:tcW w:w="534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4"/>
                <w:szCs w:val="24"/>
                <w:color w:val="auto"/>
              </w:rPr>
            </w:pPr>
          </w:p>
        </w:tc>
      </w:tr>
      <w:tr>
        <w:trPr>
          <w:trHeight w:val="318"/>
        </w:trPr>
        <w:tc>
          <w:tcPr>
            <w:tcW w:w="534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4"/>
                <w:szCs w:val="24"/>
                <w:color w:val="auto"/>
              </w:rPr>
            </w:pPr>
          </w:p>
        </w:tc>
      </w:tr>
      <w:tr>
        <w:trPr>
          <w:trHeight w:val="318"/>
        </w:trPr>
        <w:tc>
          <w:tcPr>
            <w:tcW w:w="5340" w:type="dxa"/>
            <w:vAlign w:val="bottom"/>
            <w:tcBorders>
              <w:left w:val="single" w:sz="8" w:color="auto"/>
              <w:bottom w:val="single" w:sz="8" w:color="auto"/>
              <w:right w:val="single" w:sz="8" w:color="auto"/>
            </w:tcBorders>
          </w:tcPr>
          <w:p>
            <w:pPr>
              <w:spacing w:after="0"/>
              <w:rPr>
                <w:sz w:val="24"/>
                <w:szCs w:val="24"/>
                <w:color w:val="auto"/>
              </w:rPr>
            </w:pPr>
          </w:p>
        </w:tc>
        <w:tc>
          <w:tcPr>
            <w:tcW w:w="53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660"/>
          </w:cols>
          <w:pgMar w:left="640" w:top="585" w:right="59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November 7, 2017</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November 7, 2017</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2017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November 7, 2017</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2017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November 7, 2017</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60" w:name="page61"/>
    <w:bookmarkEnd w:id="60"/>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September 30, 2017:</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140" w:type="dxa"/>
            <w:vAlign w:val="bottom"/>
            <w:tcBorders>
              <w:top w:val="single" w:sz="8" w:color="auto"/>
              <w:left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Total Number</w:t>
            </w: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Received Notice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of Potential to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of Legal</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Total Number</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of Pattern of</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Have Pattern of</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0"/>
              </w:rPr>
              <w:t>Mine or Operating</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104(d)</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110(b)</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Section</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of Mining</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Pending as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3"/>
              </w:rPr>
              <w:t>Name/MSHA</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Section 104 S&amp;S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104(b)</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7"/>
              </w:rPr>
              <w:t>Citations and</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(2)</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107(a)</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Related</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Section 104(e)</w:t>
            </w:r>
            <w:r>
              <w:rPr>
                <w:rFonts w:ascii="Arial" w:cs="Arial" w:eastAsia="Arial" w:hAnsi="Arial"/>
                <w:sz w:val="8"/>
                <w:szCs w:val="8"/>
                <w:color w:val="auto"/>
                <w:w w:val="90"/>
              </w:rPr>
              <w:t>(7)</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Last Day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Initiated During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Resolved During</w:t>
            </w:r>
          </w:p>
        </w:tc>
        <w:tc>
          <w:tcPr>
            <w:tcW w:w="0" w:type="dxa"/>
            <w:vAlign w:val="bottom"/>
          </w:tcPr>
          <w:p>
            <w:pPr>
              <w:spacing w:after="0"/>
              <w:rPr>
                <w:sz w:val="1"/>
                <w:szCs w:val="1"/>
                <w:color w:val="auto"/>
              </w:rPr>
            </w:pPr>
          </w:p>
        </w:tc>
      </w:tr>
      <w:tr>
        <w:trPr>
          <w:trHeight w:val="136"/>
        </w:trPr>
        <w:tc>
          <w:tcPr>
            <w:tcW w:w="1140" w:type="dxa"/>
            <w:vAlign w:val="bottom"/>
            <w:tcBorders>
              <w:left w:val="single" w:sz="8" w:color="auto"/>
              <w:right w:val="single" w:sz="8" w:color="auto"/>
            </w:tcBorders>
          </w:tcPr>
          <w:p>
            <w:pPr>
              <w:jc w:val="center"/>
              <w:ind w:left="6"/>
              <w:spacing w:after="0"/>
              <w:rPr>
                <w:sz w:val="20"/>
                <w:szCs w:val="20"/>
                <w:color w:val="auto"/>
              </w:rPr>
            </w:pPr>
            <w:r>
              <w:rPr>
                <w:rFonts w:ascii="Arial" w:cs="Arial" w:eastAsia="Arial" w:hAnsi="Arial"/>
                <w:sz w:val="11"/>
                <w:szCs w:val="11"/>
                <w:color w:val="auto"/>
                <w:w w:val="92"/>
              </w:rPr>
              <w:t>Identification Number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Citations</w:t>
            </w:r>
            <w:r>
              <w:rPr>
                <w:rFonts w:ascii="Arial" w:cs="Arial" w:eastAsia="Arial" w:hAnsi="Arial"/>
                <w:sz w:val="8"/>
                <w:szCs w:val="8"/>
                <w:color w:val="auto"/>
                <w:w w:val="91"/>
              </w:rPr>
              <w:t>(1)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Violations</w:t>
            </w:r>
            <w:r>
              <w:rPr>
                <w:rFonts w:ascii="Arial" w:cs="Arial" w:eastAsia="Arial" w:hAnsi="Arial"/>
                <w:sz w:val="8"/>
                <w:szCs w:val="8"/>
                <w:color w:val="auto"/>
                <w:w w:val="93"/>
              </w:rPr>
              <w:t>(4)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Orders</w:t>
            </w:r>
            <w:r>
              <w:rPr>
                <w:rFonts w:ascii="Arial" w:cs="Arial" w:eastAsia="Arial" w:hAnsi="Arial"/>
                <w:sz w:val="8"/>
                <w:szCs w:val="8"/>
                <w:color w:val="auto"/>
                <w:w w:val="87"/>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6"/>
              </w:rPr>
              <w:t xml:space="preserve">(6) </w:t>
            </w:r>
            <w:r>
              <w:rPr>
                <w:rFonts w:ascii="Arial" w:cs="Arial" w:eastAsia="Arial" w:hAnsi="Arial"/>
                <w:sz w:val="10"/>
                <w:szCs w:val="10"/>
                <w:color w:val="auto"/>
                <w:w w:val="96"/>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Freeport McMoran</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1"/>
              </w:rPr>
              <w:t>Morenci Inc. 02-</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140" w:type="dxa"/>
            <w:vAlign w:val="bottom"/>
            <w:tcBorders>
              <w:left w:val="single" w:sz="8" w:color="auto"/>
              <w:right w:val="single" w:sz="8" w:color="auto"/>
            </w:tcBorders>
          </w:tcPr>
          <w:p>
            <w:pPr>
              <w:jc w:val="right"/>
              <w:ind w:right="346"/>
              <w:spacing w:after="0"/>
              <w:rPr>
                <w:sz w:val="20"/>
                <w:szCs w:val="20"/>
                <w:color w:val="auto"/>
              </w:rPr>
            </w:pPr>
            <w:r>
              <w:rPr>
                <w:rFonts w:ascii="Arial" w:cs="Arial" w:eastAsia="Arial" w:hAnsi="Arial"/>
                <w:sz w:val="11"/>
                <w:szCs w:val="11"/>
                <w:color w:val="auto"/>
              </w:rPr>
              <w:t>00024</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Freeport McMoran</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9"/>
        </w:trPr>
        <w:tc>
          <w:tcPr>
            <w:tcW w:w="1140" w:type="dxa"/>
            <w:vAlign w:val="bottom"/>
            <w:tcBorders>
              <w:left w:val="single" w:sz="8" w:color="auto"/>
              <w:right w:val="single" w:sz="8" w:color="auto"/>
            </w:tcBorders>
            <w:vMerge w:val="restart"/>
          </w:tcPr>
          <w:p>
            <w:pPr>
              <w:jc w:val="center"/>
              <w:ind w:left="6"/>
              <w:spacing w:after="0"/>
              <w:rPr>
                <w:sz w:val="20"/>
                <w:szCs w:val="20"/>
                <w:color w:val="auto"/>
              </w:rPr>
            </w:pPr>
            <w:r>
              <w:rPr>
                <w:rFonts w:ascii="Arial" w:cs="Arial" w:eastAsia="Arial" w:hAnsi="Arial"/>
                <w:sz w:val="11"/>
                <w:szCs w:val="11"/>
                <w:color w:val="auto"/>
                <w:w w:val="90"/>
              </w:rPr>
              <w:t>Safford Inc. 02-03131</w:t>
            </w: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auto"/>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Big Island Mine &amp;</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9"/>
        </w:trPr>
        <w:tc>
          <w:tcPr>
            <w:tcW w:w="11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Refinery 48-00154</w:t>
            </w: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auto"/>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Solvay Chemicals Inc.</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9"/>
        </w:trPr>
        <w:tc>
          <w:tcPr>
            <w:tcW w:w="1140" w:type="dxa"/>
            <w:vAlign w:val="bottom"/>
            <w:tcBorders>
              <w:left w:val="single" w:sz="8" w:color="auto"/>
              <w:right w:val="single" w:sz="8" w:color="auto"/>
            </w:tcBorders>
            <w:vMerge w:val="restart"/>
          </w:tcPr>
          <w:p>
            <w:pPr>
              <w:jc w:val="right"/>
              <w:ind w:right="286"/>
              <w:spacing w:after="0"/>
              <w:rPr>
                <w:sz w:val="20"/>
                <w:szCs w:val="20"/>
                <w:color w:val="auto"/>
              </w:rPr>
            </w:pPr>
            <w:r>
              <w:rPr>
                <w:rFonts w:ascii="Arial" w:cs="Arial" w:eastAsia="Arial" w:hAnsi="Arial"/>
                <w:sz w:val="11"/>
                <w:szCs w:val="11"/>
                <w:color w:val="auto"/>
              </w:rPr>
              <w:t>48-01295</w:t>
            </w: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auto"/>
              <w:right w:val="single" w:sz="8" w:color="auto"/>
            </w:tcBorders>
            <w:vMerge w:val="continue"/>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Permanente Cement</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Plan &amp; Quarry 04-</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1"/>
              </w:rPr>
              <w:t>$129</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7"/>
              </w:rPr>
              <w:t>1</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04075</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60" w:right="360" w:hanging="252"/>
        <w:spacing w:after="0" w:line="273" w:lineRule="auto"/>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46"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201" w:lineRule="exact"/>
        <w:rPr>
          <w:rFonts w:ascii="Arial" w:cs="Arial" w:eastAsia="Arial" w:hAnsi="Arial"/>
          <w:sz w:val="13"/>
          <w:szCs w:val="13"/>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74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lvl w:ilvl="1">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
      <w:numFmt w:val="bullet"/>
      <w:start w:val="1"/>
    </w:lvl>
    <w:lvl w:ilvl="1">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lvl w:ilvl="1">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upperLetter"/>
      <w:start w:val="1"/>
    </w:lvl>
    <w:lvl w:ilvl="1">
      <w:lvlJc w:val="left"/>
      <w:lvlText w:val="-"/>
      <w:numFmt w:val="bullet"/>
      <w:start w:val="1"/>
    </w:lvl>
  </w:abstractNum>
  <w:abstractNum w:abstractNumId="21">
    <w:nsid w:val="6CEAF087"/>
    <w:multiLevelType w:val="hybridMultilevel"/>
    <w:lvl w:ilvl="0">
      <w:lvlJc w:val="left"/>
      <w:lvlText w:val="%1."/>
      <w:numFmt w:val="decimal"/>
      <w:start w:val="1"/>
    </w:lvl>
    <w:lvl w:ilvl="1">
      <w:lvlJc w:val="left"/>
      <w:lvlText w:val="(%2)"/>
      <w:numFmt w:val="lowerLetter"/>
      <w:start w:val="1"/>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lowerLetter"/>
      <w:start w:val="2"/>
    </w:lvl>
  </w:abstractNum>
  <w:abstractNum w:abstractNumId="24">
    <w:nsid w:val="3006C83E"/>
    <w:multiLevelType w:val="hybridMultilevel"/>
    <w:lvl w:ilvl="0">
      <w:lvlJc w:val="left"/>
      <w:lvlText w:val="(%1)"/>
      <w:numFmt w:val="lowerLetter"/>
      <w:start w:val="2"/>
    </w:lvl>
  </w:abstractNum>
  <w:abstractNum w:abstractNumId="25">
    <w:nsid w:val="614FD4A1"/>
    <w:multiLevelType w:val="hybridMultilevel"/>
    <w:lvl w:ilvl="0">
      <w:lvlJc w:val="left"/>
      <w:lvlText w:val="(%1)"/>
      <w:numFmt w:val="lowerLetter"/>
      <w:start w:val="3"/>
    </w:lvl>
  </w:abstractNum>
  <w:abstractNum w:abstractNumId="26">
    <w:nsid w:val="419AC241"/>
    <w:multiLevelType w:val="hybridMultilevel"/>
    <w:lvl w:ilvl="0">
      <w:lvlJc w:val="left"/>
      <w:lvlText w:val="(%1)"/>
      <w:numFmt w:val="lowerLetter"/>
      <w:start w:val="4"/>
    </w:lvl>
  </w:abstractNum>
  <w:abstractNum w:abstractNumId="27">
    <w:nsid w:val="5577F8E1"/>
    <w:multiLevelType w:val="hybridMultilevel"/>
    <w:lvl w:ilvl="0">
      <w:lvlJc w:val="left"/>
      <w:lvlText w:val="(%1)"/>
      <w:numFmt w:val="lowerLetter"/>
      <w:start w:val="6"/>
    </w:lvl>
  </w:abstractNum>
  <w:abstractNum w:abstractNumId="28">
    <w:nsid w:val="440BADFC"/>
    <w:multiLevelType w:val="hybridMultilevel"/>
    <w:lvl w:ilvl="0">
      <w:lvlJc w:val="left"/>
      <w:lvlText w:val="%1"/>
      <w:numFmt w:val="decimal"/>
      <w:start w:val="1"/>
    </w:lvl>
    <w:lvl w:ilvl="1">
      <w:lvlJc w:val="left"/>
      <w:lvlText w:val="(%2)"/>
      <w:numFmt w:val="lowerLetter"/>
      <w:start w:val="7"/>
    </w:lvl>
  </w:abstractNum>
  <w:abstractNum w:abstractNumId="29">
    <w:nsid w:val="5072367"/>
    <w:multiLevelType w:val="hybridMultilevel"/>
    <w:lvl w:ilvl="0">
      <w:lvlJc w:val="left"/>
      <w:lvlText w:val="%1."/>
      <w:numFmt w:val="decimal"/>
      <w:start w:val="3"/>
    </w:lvl>
    <w:lvl w:ilvl="1">
      <w:lvlJc w:val="left"/>
      <w:lvlText w:val="(%2)"/>
      <w:numFmt w:val="lowerLetter"/>
      <w:start w:val="1"/>
    </w:lvl>
  </w:abstractNum>
  <w:abstractNum w:abstractNumId="30">
    <w:nsid w:val="3804823E"/>
    <w:multiLevelType w:val="hybridMultilevel"/>
    <w:lvl w:ilvl="0">
      <w:lvlJc w:val="left"/>
      <w:lvlText w:val="%1"/>
      <w:numFmt w:val="decimal"/>
      <w:start w:val="1"/>
    </w:lvl>
    <w:lvl w:ilvl="1">
      <w:lvlJc w:val="left"/>
      <w:lvlText w:val="(%2)"/>
      <w:numFmt w:val="lowerLetter"/>
      <w:start w:val="3"/>
    </w:lvl>
  </w:abstractNum>
  <w:abstractNum w:abstractNumId="31">
    <w:nsid w:val="77465F01"/>
    <w:multiLevelType w:val="hybridMultilevel"/>
    <w:lvl w:ilvl="0">
      <w:lvlJc w:val="left"/>
      <w:lvlText w:val="%1."/>
      <w:numFmt w:val="decimal"/>
      <w:start w:val="4"/>
    </w:lvl>
    <w:lvl w:ilvl="1">
      <w:lvlJc w:val="left"/>
      <w:lvlText w:val="%2"/>
      <w:numFmt w:val="lowerLetter"/>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decimal"/>
      <w:start w:val="7"/>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36">
    <w:nsid w:val="51EAD36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2019-12-29T03:03:21Z</dcterms:created>
  <dcterms:modified xsi:type="dcterms:W3CDTF">2019-12-29T03:03:21Z</dcterms:modified>
</cp:coreProperties>
</file>