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_______________________________________</w:t>
      </w:r>
    </w:p>
    <w:p>
      <w:pPr>
        <w:pStyle w:val="TextBody"/>
        <w:bidi w:val="0"/>
        <w:spacing w:lineRule="auto" w:line="288" w:before="0" w:after="0"/>
        <w:jc w:val="center"/>
        <w:rPr/>
      </w:pPr>
      <w:r>
        <w:rPr>
          <w:rFonts w:ascii="Times New Roman;serif" w:hAnsi="Times New Roman;serif"/>
          <w:b/>
          <w:color w:val="000000"/>
          <w:sz w:val="36"/>
        </w:rPr>
        <w:t>FORM 10-Q</w:t>
      </w: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(Mark One)</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4"/>
        <w:gridCol w:w="2664"/>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9567" w:type="dxa"/>
        <w:jc w:val="center"/>
        <w:tblInd w:w="0" w:type="dxa"/>
        <w:tblLayout w:type="fixed"/>
        <w:tblCellMar>
          <w:top w:w="28" w:type="dxa"/>
          <w:left w:w="28" w:type="dxa"/>
          <w:bottom w:w="28" w:type="dxa"/>
          <w:right w:w="28" w:type="dxa"/>
        </w:tblCellMar>
      </w:tblPr>
      <w:tblGrid>
        <w:gridCol w:w="124"/>
        <w:gridCol w:w="109"/>
        <w:gridCol w:w="109"/>
        <w:gridCol w:w="2701"/>
        <w:gridCol w:w="2701"/>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 (d)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transition period from </w:t>
      </w:r>
      <w:r>
        <w:rPr>
          <w:color w:val="000000"/>
          <w:u w:val="single"/>
        </w:rPr>
        <w:t>            </w:t>
      </w:r>
      <w:r>
        <w:rPr>
          <w:rFonts w:ascii="Times New Roman;serif" w:hAnsi="Times New Roman;serif"/>
          <w:b/>
          <w:color w:val="000000"/>
          <w:sz w:val="20"/>
        </w:rPr>
        <w:t>to</w:t>
      </w:r>
      <w:r>
        <w:rPr>
          <w:color w:val="000000"/>
          <w:u w:val="single"/>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No. 1-15461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__________________________________________</w:t>
      </w:r>
    </w:p>
    <w:p>
      <w:pPr>
        <w:pStyle w:val="TextBody"/>
        <w:bidi w:val="0"/>
        <w:spacing w:lineRule="auto" w:line="288" w:before="60" w:after="283"/>
        <w:jc w:val="center"/>
        <w:rPr>
          <w:rFonts w:ascii="Times New Roman;serif" w:hAnsi="Times New Roman;serif"/>
          <w:b/>
          <w:color w:val="000000"/>
          <w:sz w:val="44"/>
        </w:rPr>
      </w:pPr>
      <w:r>
        <w:rPr>
          <w:rFonts w:ascii="Times New Roman;serif" w:hAnsi="Times New Roman;serif"/>
          <w:b/>
          <w:color w:val="000000"/>
          <w:sz w:val="44"/>
        </w:rPr>
        <w:t xml:space="preserve">MATRIX SERVICE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__________________________________________</w:t>
      </w:r>
    </w:p>
    <w:tbl>
      <w:tblPr>
        <w:tblW w:w="4931" w:type="dxa"/>
        <w:jc w:val="center"/>
        <w:tblInd w:w="0" w:type="dxa"/>
        <w:tblLayout w:type="fixed"/>
        <w:tblCellMar>
          <w:top w:w="28" w:type="dxa"/>
          <w:left w:w="28" w:type="dxa"/>
          <w:bottom w:w="28" w:type="dxa"/>
          <w:right w:w="28" w:type="dxa"/>
        </w:tblCellMar>
      </w:tblPr>
      <w:tblGrid>
        <w:gridCol w:w="672"/>
        <w:gridCol w:w="590"/>
        <w:gridCol w:w="598"/>
        <w:gridCol w:w="109"/>
        <w:gridCol w:w="109"/>
        <w:gridCol w:w="109"/>
        <w:gridCol w:w="801"/>
        <w:gridCol w:w="801"/>
        <w:gridCol w:w="1142"/>
      </w:tblGrid>
      <w:tr>
        <w:trPr/>
        <w:tc>
          <w:tcPr>
            <w:tcW w:w="6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73-1352174</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15 East 5th Street, Suite 1100, Tulsa, Oklahoma 74103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(918) 838-8822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 </w:t>
      </w:r>
    </w:p>
    <w:p>
      <w:pPr>
        <w:pStyle w:val="TextBody"/>
        <w:bidi w:val="0"/>
        <w:spacing w:lineRule="auto" w:line="288" w:before="100" w:after="12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73" w:type="dxa"/>
        <w:jc w:val="center"/>
        <w:tblInd w:w="0" w:type="dxa"/>
        <w:tblLayout w:type="fixed"/>
        <w:tblCellMar>
          <w:top w:w="28" w:type="dxa"/>
          <w:left w:w="28" w:type="dxa"/>
          <w:bottom w:w="28" w:type="dxa"/>
          <w:right w:w="28" w:type="dxa"/>
        </w:tblCellMar>
      </w:tblPr>
      <w:tblGrid>
        <w:gridCol w:w="1263"/>
        <w:gridCol w:w="1109"/>
        <w:gridCol w:w="1122"/>
        <w:gridCol w:w="584"/>
        <w:gridCol w:w="584"/>
        <w:gridCol w:w="58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u w:val="single"/>
              </w:rPr>
            </w:pPr>
            <w:r>
              <w:rPr>
                <w:color w:val="000000"/>
                <w:u w:val="single"/>
              </w:rPr>
              <w:t> </w:t>
            </w: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MTRX</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6184" w:type="dxa"/>
        <w:jc w:val="left"/>
        <w:tblInd w:w="0" w:type="dxa"/>
        <w:tblLayout w:type="fixed"/>
        <w:tblCellMar>
          <w:top w:w="28" w:type="dxa"/>
          <w:left w:w="28" w:type="dxa"/>
          <w:bottom w:w="28" w:type="dxa"/>
          <w:right w:w="28" w:type="dxa"/>
        </w:tblCellMar>
      </w:tblPr>
      <w:tblGrid>
        <w:gridCol w:w="870"/>
        <w:gridCol w:w="764"/>
        <w:gridCol w:w="766"/>
        <w:gridCol w:w="109"/>
        <w:gridCol w:w="109"/>
        <w:gridCol w:w="109"/>
        <w:gridCol w:w="109"/>
        <w:gridCol w:w="109"/>
        <w:gridCol w:w="109"/>
        <w:gridCol w:w="809"/>
        <w:gridCol w:w="809"/>
        <w:gridCol w:w="813"/>
        <w:gridCol w:w="109"/>
        <w:gridCol w:w="109"/>
        <w:gridCol w:w="109"/>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May 6, 2026 there were 28,133,850 shares of the Company's common stock, $0.01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6"/>
        <w:gridCol w:w="285"/>
        <w:gridCol w:w="290"/>
        <w:gridCol w:w="2894"/>
        <w:gridCol w:w="2894"/>
        <w:gridCol w:w="2899"/>
        <w:gridCol w:w="180"/>
        <w:gridCol w:w="180"/>
        <w:gridCol w:w="257"/>
      </w:tblGrid>
      <w:tr>
        <w:trPr/>
        <w:tc>
          <w:tcPr>
            <w:tcW w:w="3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10">
              <w:r>
                <w:rPr>
                  <w:rStyle w:val="InternetLink"/>
                  <w:rFonts w:ascii="Times New Roman;serif" w:hAnsi="Times New Roman;serif"/>
                  <w:b/>
                  <w:color w:val="0000FF"/>
                  <w:sz w:val="20"/>
                  <w:u w:val="single"/>
                </w:rPr>
                <w:t>PART I</w:t>
              </w:r>
            </w:hyperlink>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 INFORMATION</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13">
              <w:r>
                <w:rPr>
                  <w:rStyle w:val="InternetLink"/>
                  <w:rFonts w:ascii="Times New Roman;serif" w:hAnsi="Times New Roman;serif"/>
                  <w:b w:val="false"/>
                  <w:color w:val="0000FF"/>
                  <w:sz w:val="20"/>
                  <w:u w:val="single"/>
                </w:rPr>
                <w:t>Financial Statements (Unaudited)</w:t>
              </w:r>
            </w:hyperlink>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16">
              <w:r>
                <w:rPr>
                  <w:rStyle w:val="InternetLink"/>
                  <w:rFonts w:ascii="Times New Roman;serif" w:hAnsi="Times New Roman;serif"/>
                  <w:b w:val="false"/>
                  <w:color w:val="000080"/>
                  <w:sz w:val="20"/>
                  <w:u w:val="single"/>
                </w:rPr>
                <w:t xml:space="preserve">Condensed Consolidated Statements of Income for the Three and </w:t>
              </w:r>
            </w:hyperlink>
            <w:hyperlink w:anchor="ie3cdce0098d24415932c71a1a801d042_16">
              <w:r>
                <w:rPr>
                  <w:rStyle w:val="InternetLink"/>
                  <w:rFonts w:ascii="Times New Roman;serif" w:hAnsi="Times New Roman;serif"/>
                  <w:b w:val="false"/>
                  <w:color w:val="000080"/>
                  <w:sz w:val="20"/>
                  <w:u w:val="single"/>
                </w:rPr>
                <w:t>Nine</w:t>
              </w:r>
            </w:hyperlink>
            <w:hyperlink w:anchor="ie3cdce0098d24415932c71a1a801d042_16">
              <w:r>
                <w:rPr>
                  <w:rStyle w:val="InternetLink"/>
                  <w:rFonts w:ascii="Times New Roman;serif" w:hAnsi="Times New Roman;serif"/>
                  <w:b w:val="false"/>
                  <w:color w:val="000080"/>
                  <w:sz w:val="20"/>
                  <w:u w:val="single"/>
                </w:rPr>
                <w:t xml:space="preserve"> Months Ended </w:t>
              </w:r>
            </w:hyperlink>
            <w:hyperlink w:anchor="ie3cdce0098d24415932c71a1a801d042_16">
              <w:r>
                <w:rPr>
                  <w:rStyle w:val="InternetLink"/>
                  <w:rFonts w:ascii="Times New Roman;serif" w:hAnsi="Times New Roman;serif"/>
                  <w:b w:val="false"/>
                  <w:color w:val="000080"/>
                  <w:sz w:val="20"/>
                  <w:u w:val="single"/>
                </w:rPr>
                <w:t>March</w:t>
              </w:r>
            </w:hyperlink>
            <w:hyperlink w:anchor="ie3cdce0098d24415932c71a1a801d042_16">
              <w:r>
                <w:rPr>
                  <w:rStyle w:val="InternetLink"/>
                  <w:rFonts w:ascii="Times New Roman;serif" w:hAnsi="Times New Roman;serif"/>
                  <w:b w:val="false"/>
                  <w:color w:val="000080"/>
                  <w:sz w:val="20"/>
                  <w:u w:val="single"/>
                </w:rPr>
                <w:t xml:space="preserve"> 31, 202</w:t>
              </w:r>
            </w:hyperlink>
            <w:hyperlink w:anchor="ie3cdce0098d24415932c71a1a801d042_16">
              <w:r>
                <w:rPr>
                  <w:rStyle w:val="InternetLink"/>
                  <w:rFonts w:ascii="Times New Roman;serif" w:hAnsi="Times New Roman;serif"/>
                  <w:b w:val="false"/>
                  <w:color w:val="000080"/>
                  <w:sz w:val="20"/>
                  <w:u w:val="single"/>
                </w:rPr>
                <w:t>6</w:t>
              </w:r>
            </w:hyperlink>
            <w:hyperlink w:anchor="ie3cdce0098d24415932c71a1a801d042_16">
              <w:r>
                <w:rPr>
                  <w:rStyle w:val="InternetLink"/>
                  <w:rFonts w:ascii="Times New Roman;serif" w:hAnsi="Times New Roman;serif"/>
                  <w:b w:val="false"/>
                  <w:color w:val="000080"/>
                  <w:sz w:val="20"/>
                  <w:u w:val="single"/>
                </w:rPr>
                <w:t xml:space="preserve"> and 202</w:t>
              </w:r>
            </w:hyperlink>
            <w:r>
              <w:rPr>
                <w:rFonts w:ascii="Times New Roman;serif" w:hAnsi="Times New Roman;serif"/>
                <w:b w:val="false"/>
                <w:color w:val="0000FF"/>
                <w:sz w:val="20"/>
                <w:u w:val="single"/>
              </w:rPr>
              <w:t>5</w:t>
            </w:r>
            <w:r>
              <w:rPr>
                <w:color w:val="0000FF"/>
              </w:rPr>
              <w:t xml:space="preserve">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cdce0098d24415932c71a1a801d042_16">
              <w:r>
                <w:rPr>
                  <w:rStyle w:val="InternetLink"/>
                  <w:rFonts w:ascii="Times New Roman;serif" w:hAnsi="Times New Roman;serif"/>
                  <w:b w:val="false"/>
                  <w:color w:val="0000FF"/>
                  <w:sz w:val="20"/>
                  <w:u w:val="single"/>
                </w:rPr>
                <w:t>1</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19">
              <w:r>
                <w:rPr>
                  <w:rStyle w:val="InternetLink"/>
                  <w:rFonts w:ascii="Times New Roman;serif" w:hAnsi="Times New Roman;serif"/>
                  <w:b w:val="false"/>
                  <w:color w:val="000080"/>
                  <w:sz w:val="20"/>
                  <w:u w:val="single"/>
                </w:rPr>
                <w:t xml:space="preserve">Condensed Consolidated Statements of Comprehensive Income for the Three and </w:t>
              </w:r>
            </w:hyperlink>
            <w:hyperlink w:anchor="ie3cdce0098d24415932c71a1a801d042_19">
              <w:r>
                <w:rPr>
                  <w:rStyle w:val="InternetLink"/>
                  <w:rFonts w:ascii="Times New Roman;serif" w:hAnsi="Times New Roman;serif"/>
                  <w:b w:val="false"/>
                  <w:color w:val="000080"/>
                  <w:sz w:val="20"/>
                  <w:u w:val="single"/>
                </w:rPr>
                <w:t>Nine</w:t>
              </w:r>
            </w:hyperlink>
            <w:hyperlink w:anchor="ie3cdce0098d24415932c71a1a801d042_19">
              <w:r>
                <w:rPr>
                  <w:rStyle w:val="InternetLink"/>
                  <w:rFonts w:ascii="Times New Roman;serif" w:hAnsi="Times New Roman;serif"/>
                  <w:b w:val="false"/>
                  <w:color w:val="000080"/>
                  <w:sz w:val="20"/>
                  <w:u w:val="single"/>
                </w:rPr>
                <w:t xml:space="preserve"> Months Ended </w:t>
              </w:r>
            </w:hyperlink>
            <w:hyperlink w:anchor="ie3cdce0098d24415932c71a1a801d042_19">
              <w:r>
                <w:rPr>
                  <w:rStyle w:val="InternetLink"/>
                  <w:rFonts w:ascii="Times New Roman;serif" w:hAnsi="Times New Roman;serif"/>
                  <w:b w:val="false"/>
                  <w:color w:val="000080"/>
                  <w:sz w:val="20"/>
                  <w:u w:val="single"/>
                </w:rPr>
                <w:t>March</w:t>
              </w:r>
            </w:hyperlink>
            <w:hyperlink w:anchor="ie3cdce0098d24415932c71a1a801d042_19">
              <w:r>
                <w:rPr>
                  <w:rStyle w:val="InternetLink"/>
                  <w:rFonts w:ascii="Times New Roman;serif" w:hAnsi="Times New Roman;serif"/>
                  <w:b w:val="false"/>
                  <w:color w:val="000080"/>
                  <w:sz w:val="20"/>
                  <w:u w:val="single"/>
                </w:rPr>
                <w:t xml:space="preserve"> 31, 202</w:t>
              </w:r>
            </w:hyperlink>
            <w:hyperlink w:anchor="ie3cdce0098d24415932c71a1a801d042_19">
              <w:r>
                <w:rPr>
                  <w:rStyle w:val="InternetLink"/>
                  <w:rFonts w:ascii="Times New Roman;serif" w:hAnsi="Times New Roman;serif"/>
                  <w:b w:val="false"/>
                  <w:color w:val="000080"/>
                  <w:sz w:val="20"/>
                  <w:u w:val="single"/>
                </w:rPr>
                <w:t>6</w:t>
              </w:r>
            </w:hyperlink>
            <w:hyperlink w:anchor="ie3cdce0098d24415932c71a1a801d042_19">
              <w:r>
                <w:rPr>
                  <w:rStyle w:val="InternetLink"/>
                  <w:rFonts w:ascii="Times New Roman;serif" w:hAnsi="Times New Roman;serif"/>
                  <w:b w:val="false"/>
                  <w:color w:val="000080"/>
                  <w:sz w:val="20"/>
                  <w:u w:val="single"/>
                </w:rPr>
                <w:t xml:space="preserve"> and 202</w:t>
              </w:r>
            </w:hyperlink>
            <w:r>
              <w:rPr>
                <w:rFonts w:ascii="Times New Roman;serif" w:hAnsi="Times New Roman;serif"/>
                <w:b w:val="false"/>
                <w:color w:val="0000FF"/>
                <w:sz w:val="20"/>
                <w:u w:val="single"/>
              </w:rPr>
              <w:t>5</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cdce0098d24415932c71a1a801d042_19">
              <w:r>
                <w:rPr>
                  <w:rStyle w:val="InternetLink"/>
                  <w:rFonts w:ascii="Times New Roman;serif" w:hAnsi="Times New Roman;serif"/>
                  <w:b w:val="false"/>
                  <w:color w:val="0000FF"/>
                  <w:sz w:val="20"/>
                  <w:u w:val="single"/>
                </w:rPr>
                <w:t>2</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22">
              <w:r>
                <w:rPr>
                  <w:rStyle w:val="InternetLink"/>
                  <w:rFonts w:ascii="Times New Roman;serif" w:hAnsi="Times New Roman;serif"/>
                  <w:b w:val="false"/>
                  <w:color w:val="000080"/>
                  <w:sz w:val="20"/>
                  <w:u w:val="single"/>
                </w:rPr>
                <w:t xml:space="preserve">Condensed Consolidated Balance Sheets as of </w:t>
              </w:r>
            </w:hyperlink>
            <w:hyperlink w:anchor="ie3cdce0098d24415932c71a1a801d042_22">
              <w:r>
                <w:rPr>
                  <w:rStyle w:val="InternetLink"/>
                  <w:rFonts w:ascii="Times New Roman;serif" w:hAnsi="Times New Roman;serif"/>
                  <w:b w:val="false"/>
                  <w:color w:val="000080"/>
                  <w:sz w:val="20"/>
                  <w:u w:val="single"/>
                </w:rPr>
                <w:t>March</w:t>
              </w:r>
            </w:hyperlink>
            <w:hyperlink w:anchor="ie3cdce0098d24415932c71a1a801d042_22">
              <w:r>
                <w:rPr>
                  <w:rStyle w:val="InternetLink"/>
                  <w:rFonts w:ascii="Times New Roman;serif" w:hAnsi="Times New Roman;serif"/>
                  <w:b w:val="false"/>
                  <w:color w:val="000080"/>
                  <w:sz w:val="20"/>
                  <w:u w:val="single"/>
                </w:rPr>
                <w:t xml:space="preserve"> 31, 202</w:t>
              </w:r>
            </w:hyperlink>
            <w:hyperlink w:anchor="ie3cdce0098d24415932c71a1a801d042_22">
              <w:r>
                <w:rPr>
                  <w:rStyle w:val="InternetLink"/>
                  <w:rFonts w:ascii="Times New Roman;serif" w:hAnsi="Times New Roman;serif"/>
                  <w:b w:val="false"/>
                  <w:color w:val="000080"/>
                  <w:sz w:val="20"/>
                  <w:u w:val="single"/>
                </w:rPr>
                <w:t>6</w:t>
              </w:r>
            </w:hyperlink>
            <w:hyperlink w:anchor="ie3cdce0098d24415932c71a1a801d042_22">
              <w:r>
                <w:rPr>
                  <w:rStyle w:val="InternetLink"/>
                  <w:rFonts w:ascii="Times New Roman;serif" w:hAnsi="Times New Roman;serif"/>
                  <w:b w:val="false"/>
                  <w:color w:val="000080"/>
                  <w:sz w:val="20"/>
                  <w:u w:val="single"/>
                </w:rPr>
                <w:t xml:space="preserve"> and June 30, 2025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cdce0098d24415932c71a1a801d042_22">
              <w:r>
                <w:rPr>
                  <w:rStyle w:val="InternetLink"/>
                  <w:rFonts w:ascii="Times New Roman;serif" w:hAnsi="Times New Roman;serif"/>
                  <w:b w:val="false"/>
                  <w:color w:val="0000FF"/>
                  <w:sz w:val="20"/>
                  <w:u w:val="single"/>
                </w:rPr>
                <w:t>3</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25">
              <w:r>
                <w:rPr>
                  <w:rStyle w:val="InternetLink"/>
                  <w:rFonts w:ascii="Times New Roman;serif" w:hAnsi="Times New Roman;serif"/>
                  <w:b w:val="false"/>
                  <w:color w:val="000080"/>
                  <w:sz w:val="20"/>
                  <w:u w:val="single"/>
                </w:rPr>
                <w:t xml:space="preserve">Condensed Consolidated Statements of Cash Flows for the </w:t>
              </w:r>
            </w:hyperlink>
            <w:hyperlink w:anchor="ie3cdce0098d24415932c71a1a801d042_25">
              <w:r>
                <w:rPr>
                  <w:rStyle w:val="InternetLink"/>
                  <w:rFonts w:ascii="Times New Roman;serif" w:hAnsi="Times New Roman;serif"/>
                  <w:b w:val="false"/>
                  <w:color w:val="000080"/>
                  <w:sz w:val="20"/>
                  <w:u w:val="single"/>
                </w:rPr>
                <w:t>Nine</w:t>
              </w:r>
            </w:hyperlink>
            <w:hyperlink w:anchor="ie3cdce0098d24415932c71a1a801d042_25">
              <w:r>
                <w:rPr>
                  <w:rStyle w:val="InternetLink"/>
                  <w:rFonts w:ascii="Times New Roman;serif" w:hAnsi="Times New Roman;serif"/>
                  <w:b w:val="false"/>
                  <w:color w:val="000080"/>
                  <w:sz w:val="20"/>
                  <w:u w:val="single"/>
                </w:rPr>
                <w:t xml:space="preserve"> Months Ended </w:t>
              </w:r>
            </w:hyperlink>
            <w:hyperlink w:anchor="ie3cdce0098d24415932c71a1a801d042_25">
              <w:r>
                <w:rPr>
                  <w:rStyle w:val="InternetLink"/>
                  <w:rFonts w:ascii="Times New Roman;serif" w:hAnsi="Times New Roman;serif"/>
                  <w:b w:val="false"/>
                  <w:color w:val="000080"/>
                  <w:sz w:val="20"/>
                  <w:u w:val="single"/>
                </w:rPr>
                <w:t>March</w:t>
              </w:r>
            </w:hyperlink>
            <w:hyperlink w:anchor="ie3cdce0098d24415932c71a1a801d042_25">
              <w:r>
                <w:rPr>
                  <w:rStyle w:val="InternetLink"/>
                  <w:rFonts w:ascii="Times New Roman;serif" w:hAnsi="Times New Roman;serif"/>
                  <w:b w:val="false"/>
                  <w:color w:val="000080"/>
                  <w:sz w:val="20"/>
                  <w:u w:val="single"/>
                </w:rPr>
                <w:t xml:space="preserve"> 31, 202</w:t>
              </w:r>
            </w:hyperlink>
            <w:hyperlink w:anchor="ie3cdce0098d24415932c71a1a801d042_25">
              <w:r>
                <w:rPr>
                  <w:rStyle w:val="InternetLink"/>
                  <w:rFonts w:ascii="Times New Roman;serif" w:hAnsi="Times New Roman;serif"/>
                  <w:b w:val="false"/>
                  <w:color w:val="000080"/>
                  <w:sz w:val="20"/>
                  <w:u w:val="single"/>
                </w:rPr>
                <w:t>6</w:t>
              </w:r>
            </w:hyperlink>
            <w:hyperlink w:anchor="ie3cdce0098d24415932c71a1a801d042_25">
              <w:r>
                <w:rPr>
                  <w:rStyle w:val="InternetLink"/>
                  <w:rFonts w:ascii="Times New Roman;serif" w:hAnsi="Times New Roman;serif"/>
                  <w:b w:val="false"/>
                  <w:color w:val="000080"/>
                  <w:sz w:val="20"/>
                  <w:u w:val="single"/>
                </w:rPr>
                <w:t xml:space="preserve"> and 202</w:t>
              </w:r>
            </w:hyperlink>
            <w:r>
              <w:rPr>
                <w:rFonts w:ascii="Times New Roman;serif" w:hAnsi="Times New Roman;serif"/>
                <w:b w:val="false"/>
                <w:color w:val="0000FF"/>
                <w:sz w:val="20"/>
                <w:u w:val="single"/>
              </w:rPr>
              <w:t>5</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cdce0098d24415932c71a1a801d042_25">
              <w:r>
                <w:rPr>
                  <w:rStyle w:val="InternetLink"/>
                  <w:rFonts w:ascii="Times New Roman;serif" w:hAnsi="Times New Roman;serif"/>
                  <w:b w:val="false"/>
                  <w:color w:val="0000FF"/>
                  <w:sz w:val="20"/>
                  <w:u w:val="single"/>
                </w:rPr>
                <w:t>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28">
              <w:r>
                <w:rPr>
                  <w:rStyle w:val="InternetLink"/>
                  <w:rFonts w:ascii="Times New Roman;serif" w:hAnsi="Times New Roman;serif"/>
                  <w:b w:val="false"/>
                  <w:color w:val="000080"/>
                  <w:sz w:val="20"/>
                  <w:u w:val="single"/>
                </w:rPr>
                <w:t xml:space="preserve">Condensed Consolidated Statements of Changes in Stockholders’ Equity for the Three and </w:t>
              </w:r>
            </w:hyperlink>
            <w:hyperlink w:anchor="ie3cdce0098d24415932c71a1a801d042_28">
              <w:r>
                <w:rPr>
                  <w:rStyle w:val="InternetLink"/>
                  <w:rFonts w:ascii="Times New Roman;serif" w:hAnsi="Times New Roman;serif"/>
                  <w:b w:val="false"/>
                  <w:color w:val="000080"/>
                  <w:sz w:val="20"/>
                  <w:u w:val="single"/>
                </w:rPr>
                <w:t>Nine</w:t>
              </w:r>
            </w:hyperlink>
            <w:hyperlink w:anchor="ie3cdce0098d24415932c71a1a801d042_28">
              <w:r>
                <w:rPr>
                  <w:rStyle w:val="InternetLink"/>
                  <w:rFonts w:ascii="Times New Roman;serif" w:hAnsi="Times New Roman;serif"/>
                  <w:b w:val="false"/>
                  <w:color w:val="000080"/>
                  <w:sz w:val="20"/>
                  <w:u w:val="single"/>
                </w:rPr>
                <w:t xml:space="preserve"> Months Ended </w:t>
              </w:r>
            </w:hyperlink>
            <w:hyperlink w:anchor="ie3cdce0098d24415932c71a1a801d042_28">
              <w:r>
                <w:rPr>
                  <w:rStyle w:val="InternetLink"/>
                  <w:rFonts w:ascii="Times New Roman;serif" w:hAnsi="Times New Roman;serif"/>
                  <w:b w:val="false"/>
                  <w:color w:val="000080"/>
                  <w:sz w:val="20"/>
                  <w:u w:val="single"/>
                </w:rPr>
                <w:t>March</w:t>
              </w:r>
            </w:hyperlink>
            <w:hyperlink w:anchor="ie3cdce0098d24415932c71a1a801d042_28">
              <w:r>
                <w:rPr>
                  <w:rStyle w:val="InternetLink"/>
                  <w:rFonts w:ascii="Times New Roman;serif" w:hAnsi="Times New Roman;serif"/>
                  <w:b w:val="false"/>
                  <w:color w:val="000080"/>
                  <w:sz w:val="20"/>
                  <w:u w:val="single"/>
                </w:rPr>
                <w:t xml:space="preserve"> 31, 202</w:t>
              </w:r>
            </w:hyperlink>
            <w:hyperlink w:anchor="ie3cdce0098d24415932c71a1a801d042_28">
              <w:r>
                <w:rPr>
                  <w:rStyle w:val="InternetLink"/>
                  <w:rFonts w:ascii="Times New Roman;serif" w:hAnsi="Times New Roman;serif"/>
                  <w:b w:val="false"/>
                  <w:color w:val="000080"/>
                  <w:sz w:val="20"/>
                  <w:u w:val="single"/>
                </w:rPr>
                <w:t>6</w:t>
              </w:r>
            </w:hyperlink>
            <w:hyperlink w:anchor="ie3cdce0098d24415932c71a1a801d042_28">
              <w:r>
                <w:rPr>
                  <w:rStyle w:val="InternetLink"/>
                  <w:rFonts w:ascii="Times New Roman;serif" w:hAnsi="Times New Roman;serif"/>
                  <w:b w:val="false"/>
                  <w:color w:val="000080"/>
                  <w:sz w:val="20"/>
                  <w:u w:val="single"/>
                </w:rPr>
                <w:t xml:space="preserve"> and 202</w:t>
              </w:r>
            </w:hyperlink>
            <w:r>
              <w:rPr>
                <w:rFonts w:ascii="Times New Roman;serif" w:hAnsi="Times New Roman;serif"/>
                <w:b w:val="false"/>
                <w:color w:val="0000FF"/>
                <w:sz w:val="20"/>
                <w:u w:val="single"/>
              </w:rPr>
              <w:t>5</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cdce0098d24415932c71a1a801d042_28">
              <w:r>
                <w:rPr>
                  <w:rStyle w:val="InternetLink"/>
                  <w:rFonts w:ascii="Times New Roman;serif" w:hAnsi="Times New Roman;serif"/>
                  <w:b w:val="false"/>
                  <w:color w:val="0000FF"/>
                  <w:sz w:val="20"/>
                  <w:u w:val="single"/>
                </w:rPr>
                <w:t>6</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31">
              <w:r>
                <w:rPr>
                  <w:rStyle w:val="InternetLink"/>
                  <w:rFonts w:ascii="Times New Roman;serif" w:hAnsi="Times New Roman;serif"/>
                  <w:b w:val="false"/>
                  <w:color w:val="0000FF"/>
                  <w:sz w:val="20"/>
                  <w:u w:val="single"/>
                </w:rPr>
                <w:t>Notes to Condensed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cdce0098d24415932c71a1a801d042_31">
              <w:r>
                <w:rPr>
                  <w:rStyle w:val="InternetLink"/>
                  <w:rFonts w:ascii="Times New Roman;serif" w:hAnsi="Times New Roman;serif"/>
                  <w:b w:val="false"/>
                  <w:color w:val="0000FF"/>
                  <w:sz w:val="20"/>
                  <w:u w:val="single"/>
                </w:rPr>
                <w:t>7</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6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cdce0098d24415932c71a1a801d042_64">
              <w:r>
                <w:rPr>
                  <w:rStyle w:val="InternetLink"/>
                  <w:rFonts w:ascii="Times New Roman;serif" w:hAnsi="Times New Roman;serif"/>
                  <w:b w:val="false"/>
                  <w:color w:val="0000FF"/>
                  <w:sz w:val="20"/>
                  <w:u w:val="single"/>
                </w:rPr>
                <w:t>16</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88">
              <w:r>
                <w:rPr>
                  <w:rStyle w:val="InternetLink"/>
                  <w:rFonts w:ascii="Times New Roman;serif" w:hAnsi="Times New Roman;serif"/>
                  <w:b w:val="false"/>
                  <w:color w:val="0000FF"/>
                  <w:sz w:val="20"/>
                  <w:u w:val="single"/>
                </w:rPr>
                <w:t>Quantitative and Qualitative Disclosures About Market Risk</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cdce0098d24415932c71a1a801d042_88">
              <w:r>
                <w:rPr>
                  <w:rStyle w:val="InternetLink"/>
                  <w:rFonts w:ascii="Times New Roman;serif" w:hAnsi="Times New Roman;serif"/>
                  <w:b w:val="false"/>
                  <w:color w:val="0000FF"/>
                  <w:sz w:val="20"/>
                  <w:u w:val="single"/>
                </w:rPr>
                <w:t>34</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91">
              <w:r>
                <w:rPr>
                  <w:rStyle w:val="InternetLink"/>
                  <w:rFonts w:ascii="Times New Roman;serif" w:hAnsi="Times New Roman;serif"/>
                  <w:b w:val="false"/>
                  <w:color w:val="0000FF"/>
                  <w:sz w:val="20"/>
                  <w:u w:val="single"/>
                </w:rPr>
                <w:t>Controls and Procedures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cdce0098d24415932c71a1a801d042_91">
              <w:r>
                <w:rPr>
                  <w:rStyle w:val="InternetLink"/>
                  <w:rFonts w:ascii="Times New Roman;serif" w:hAnsi="Times New Roman;serif"/>
                  <w:b w:val="false"/>
                  <w:color w:val="0000FF"/>
                  <w:sz w:val="20"/>
                  <w:u w:val="single"/>
                </w:rPr>
                <w:t>34</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94">
              <w:r>
                <w:rPr>
                  <w:rStyle w:val="InternetLink"/>
                  <w:rFonts w:ascii="Times New Roman;serif" w:hAnsi="Times New Roman;serif"/>
                  <w:b/>
                  <w:color w:val="0000FF"/>
                  <w:sz w:val="20"/>
                  <w:u w:val="single"/>
                </w:rPr>
                <w:t>PART II</w:t>
              </w:r>
            </w:hyperlink>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INFORMATION</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97">
              <w:r>
                <w:rPr>
                  <w:rStyle w:val="InternetLink"/>
                  <w:rFonts w:ascii="Times New Roman;serif" w:hAnsi="Times New Roman;serif"/>
                  <w:b w:val="false"/>
                  <w:color w:val="0000FF"/>
                  <w:sz w:val="20"/>
                  <w:u w:val="single"/>
                </w:rPr>
                <w:t>Legal Proceedings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cdce0098d24415932c71a1a801d042_97">
              <w:r>
                <w:rPr>
                  <w:rStyle w:val="InternetLink"/>
                  <w:rFonts w:ascii="Times New Roman;serif" w:hAnsi="Times New Roman;serif"/>
                  <w:b w:val="false"/>
                  <w:color w:val="0000FF"/>
                  <w:sz w:val="20"/>
                  <w:u w:val="single"/>
                </w:rPr>
                <w:t>35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100">
              <w:r>
                <w:rPr>
                  <w:rStyle w:val="InternetLink"/>
                  <w:rFonts w:ascii="Times New Roman;serif" w:hAnsi="Times New Roman;serif"/>
                  <w:b w:val="false"/>
                  <w:color w:val="0000FF"/>
                  <w:sz w:val="20"/>
                  <w:u w:val="single"/>
                </w:rPr>
                <w:t>Risk Factors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cdce0098d24415932c71a1a801d042_100">
              <w:r>
                <w:rPr>
                  <w:rStyle w:val="InternetLink"/>
                  <w:rFonts w:ascii="Times New Roman;serif" w:hAnsi="Times New Roman;serif"/>
                  <w:b w:val="false"/>
                  <w:color w:val="0000FF"/>
                  <w:sz w:val="20"/>
                  <w:u w:val="single"/>
                </w:rPr>
                <w:t>35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103">
              <w:r>
                <w:rPr>
                  <w:rStyle w:val="InternetLink"/>
                  <w:rFonts w:ascii="Times New Roman;serif" w:hAnsi="Times New Roman;serif"/>
                  <w:b w:val="false"/>
                  <w:color w:val="0000FF"/>
                  <w:sz w:val="20"/>
                  <w:u w:val="single"/>
                </w:rPr>
                <w:t>Unregistered Sales of Equity Securities and Use of Proceeds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cdce0098d24415932c71a1a801d042_103">
              <w:r>
                <w:rPr>
                  <w:rStyle w:val="InternetLink"/>
                  <w:rFonts w:ascii="Times New Roman;serif" w:hAnsi="Times New Roman;serif"/>
                  <w:b w:val="false"/>
                  <w:color w:val="0000FF"/>
                  <w:sz w:val="20"/>
                  <w:u w:val="single"/>
                </w:rPr>
                <w:t>35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106">
              <w:r>
                <w:rPr>
                  <w:rStyle w:val="InternetLink"/>
                  <w:rFonts w:ascii="Times New Roman;serif" w:hAnsi="Times New Roman;serif"/>
                  <w:b w:val="false"/>
                  <w:color w:val="0000FF"/>
                  <w:sz w:val="20"/>
                  <w:u w:val="single"/>
                </w:rPr>
                <w:t>Defaults Upon Senior Securities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cdce0098d24415932c71a1a801d042_106">
              <w:r>
                <w:rPr>
                  <w:rStyle w:val="InternetLink"/>
                  <w:rFonts w:ascii="Times New Roman;serif" w:hAnsi="Times New Roman;serif"/>
                  <w:b w:val="false"/>
                  <w:color w:val="0000FF"/>
                  <w:sz w:val="20"/>
                  <w:u w:val="single"/>
                </w:rPr>
                <w:t>35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109">
              <w:r>
                <w:rPr>
                  <w:rStyle w:val="InternetLink"/>
                  <w:rFonts w:ascii="Times New Roman;serif" w:hAnsi="Times New Roman;serif"/>
                  <w:b w:val="false"/>
                  <w:color w:val="0000FF"/>
                  <w:sz w:val="20"/>
                  <w:u w:val="single"/>
                </w:rPr>
                <w:t>Mine Safety Disclosures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cdce0098d24415932c71a1a801d042_109">
              <w:r>
                <w:rPr>
                  <w:rStyle w:val="InternetLink"/>
                  <w:rFonts w:ascii="Times New Roman;serif" w:hAnsi="Times New Roman;serif"/>
                  <w:b w:val="false"/>
                  <w:color w:val="0000FF"/>
                  <w:sz w:val="20"/>
                  <w:u w:val="single"/>
                </w:rPr>
                <w:t>35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112">
              <w:r>
                <w:rPr>
                  <w:rStyle w:val="InternetLink"/>
                  <w:rFonts w:ascii="Times New Roman;serif" w:hAnsi="Times New Roman;serif"/>
                  <w:b w:val="false"/>
                  <w:color w:val="0000FF"/>
                  <w:sz w:val="20"/>
                  <w:u w:val="single"/>
                </w:rPr>
                <w:t>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cdce0098d24415932c71a1a801d042_112">
              <w:r>
                <w:rPr>
                  <w:rStyle w:val="InternetLink"/>
                  <w:rFonts w:ascii="Times New Roman;serif" w:hAnsi="Times New Roman;serif"/>
                  <w:b w:val="false"/>
                  <w:color w:val="0000FF"/>
                  <w:sz w:val="20"/>
                  <w:u w:val="single"/>
                </w:rPr>
                <w:t>35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115">
              <w:r>
                <w:rPr>
                  <w:rStyle w:val="InternetLink"/>
                  <w:rFonts w:ascii="Times New Roman;serif" w:hAnsi="Times New Roman;serif"/>
                  <w:b w:val="false"/>
                  <w:color w:val="0000FF"/>
                  <w:sz w:val="20"/>
                  <w:u w:val="single"/>
                </w:rPr>
                <w:t>Exhibits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cdce0098d24415932c71a1a801d042_115">
              <w:r>
                <w:rPr>
                  <w:rStyle w:val="InternetLink"/>
                  <w:rFonts w:ascii="Times New Roman;serif" w:hAnsi="Times New Roman;serif"/>
                  <w:b w:val="false"/>
                  <w:color w:val="0000FF"/>
                  <w:sz w:val="20"/>
                  <w:u w:val="single"/>
                </w:rPr>
                <w:t>36</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cdce0098d24415932c71a1a801d042_118">
              <w:r>
                <w:rPr>
                  <w:rStyle w:val="InternetLink"/>
                  <w:rFonts w:ascii="Times New Roman;serif" w:hAnsi="Times New Roman;serif"/>
                  <w:b w:val="false"/>
                  <w:color w:val="0000FF"/>
                  <w:sz w:val="20"/>
                  <w:u w:val="single"/>
                </w:rPr>
                <w:t>Signature</w:t>
              </w:r>
            </w:hyperlink>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cdce0098d24415932c71a1a801d042_118">
              <w:r>
                <w:rPr>
                  <w:rStyle w:val="InternetLink"/>
                  <w:rFonts w:ascii="Times New Roman;serif" w:hAnsi="Times New Roman;serif"/>
                  <w:b w:val="false"/>
                  <w:color w:val="0000FF"/>
                  <w:sz w:val="20"/>
                  <w:u w:val="singl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08"/>
        <w:gridCol w:w="1327"/>
        <w:gridCol w:w="1329"/>
        <w:gridCol w:w="230"/>
        <w:gridCol w:w="903"/>
        <w:gridCol w:w="118"/>
        <w:gridCol w:w="109"/>
        <w:gridCol w:w="109"/>
        <w:gridCol w:w="109"/>
        <w:gridCol w:w="230"/>
        <w:gridCol w:w="903"/>
        <w:gridCol w:w="118"/>
        <w:gridCol w:w="109"/>
        <w:gridCol w:w="109"/>
        <w:gridCol w:w="109"/>
        <w:gridCol w:w="230"/>
        <w:gridCol w:w="903"/>
        <w:gridCol w:w="118"/>
        <w:gridCol w:w="109"/>
        <w:gridCol w:w="109"/>
        <w:gridCol w:w="109"/>
        <w:gridCol w:w="229"/>
        <w:gridCol w:w="901"/>
        <w:gridCol w:w="177"/>
      </w:tblGrid>
      <w:tr>
        <w:trPr/>
        <w:tc>
          <w:tcPr>
            <w:tcW w:w="150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206,709 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200,161 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629,101 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552,909 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521,354 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and other</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(22,161)</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federal, state and foreign income taxes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(18,190)</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(loss) per common share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(loss) per common share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8664" w:type="dxa"/>
        <w:jc w:val="center"/>
        <w:tblInd w:w="0" w:type="dxa"/>
        <w:tblLayout w:type="fixed"/>
        <w:tblCellMar>
          <w:top w:w="28" w:type="dxa"/>
          <w:left w:w="28" w:type="dxa"/>
          <w:bottom w:w="28" w:type="dxa"/>
          <w:right w:w="28" w:type="dxa"/>
        </w:tblCellMar>
      </w:tblPr>
      <w:tblGrid>
        <w:gridCol w:w="1407"/>
        <w:gridCol w:w="1234"/>
        <w:gridCol w:w="1244"/>
        <w:gridCol w:w="231"/>
        <w:gridCol w:w="496"/>
        <w:gridCol w:w="128"/>
        <w:gridCol w:w="109"/>
        <w:gridCol w:w="109"/>
        <w:gridCol w:w="109"/>
        <w:gridCol w:w="196"/>
        <w:gridCol w:w="631"/>
        <w:gridCol w:w="109"/>
        <w:gridCol w:w="109"/>
        <w:gridCol w:w="109"/>
        <w:gridCol w:w="109"/>
        <w:gridCol w:w="196"/>
        <w:gridCol w:w="631"/>
        <w:gridCol w:w="109"/>
        <w:gridCol w:w="109"/>
        <w:gridCol w:w="109"/>
        <w:gridCol w:w="109"/>
        <w:gridCol w:w="196"/>
        <w:gridCol w:w="721"/>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48" w:type="dxa"/>
        <w:jc w:val="center"/>
        <w:tblInd w:w="0" w:type="dxa"/>
        <w:tblLayout w:type="fixed"/>
        <w:tblCellMar>
          <w:top w:w="28" w:type="dxa"/>
          <w:left w:w="28" w:type="dxa"/>
          <w:bottom w:w="28" w:type="dxa"/>
          <w:right w:w="28" w:type="dxa"/>
        </w:tblCellMar>
      </w:tblPr>
      <w:tblGrid>
        <w:gridCol w:w="2264"/>
        <w:gridCol w:w="1997"/>
        <w:gridCol w:w="2023"/>
        <w:gridCol w:w="211"/>
        <w:gridCol w:w="826"/>
        <w:gridCol w:w="109"/>
        <w:gridCol w:w="109"/>
        <w:gridCol w:w="109"/>
        <w:gridCol w:w="109"/>
        <w:gridCol w:w="211"/>
        <w:gridCol w:w="826"/>
        <w:gridCol w:w="154"/>
      </w:tblGrid>
      <w:tr>
        <w:trPr/>
        <w:tc>
          <w:tcPr>
            <w:tcW w:w="2264"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 on uncompleted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 (Note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 of accumulated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 (Note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24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71"/>
        <w:gridCol w:w="2381"/>
        <w:gridCol w:w="2388"/>
        <w:gridCol w:w="211"/>
        <w:gridCol w:w="826"/>
        <w:gridCol w:w="109"/>
        <w:gridCol w:w="109"/>
        <w:gridCol w:w="109"/>
        <w:gridCol w:w="109"/>
        <w:gridCol w:w="211"/>
        <w:gridCol w:w="826"/>
        <w:gridCol w:w="155"/>
      </w:tblGrid>
      <w:tr>
        <w:trPr/>
        <w:tc>
          <w:tcPr>
            <w:tcW w:w="2771"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on uncompleted contracts in excess of costs and estimated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wages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 $0.01 par value; 60,000,000 shares authorized; 28,128,405 shares issued and outstanding at March 31, 2026; 27,888,217 shares issued and 27,610,486 shares outstanding as of June 30, 2025, respectively;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 0 shares as of March 31, 2026 and 277,731 shares as of June 30,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600,256 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638" w:type="dxa"/>
        <w:jc w:val="center"/>
        <w:tblInd w:w="0" w:type="dxa"/>
        <w:tblLayout w:type="fixed"/>
        <w:tblCellMar>
          <w:top w:w="28" w:type="dxa"/>
          <w:left w:w="28" w:type="dxa"/>
          <w:bottom w:w="28" w:type="dxa"/>
          <w:right w:w="28" w:type="dxa"/>
        </w:tblCellMar>
      </w:tblPr>
      <w:tblGrid>
        <w:gridCol w:w="2527"/>
        <w:gridCol w:w="2216"/>
        <w:gridCol w:w="2231"/>
        <w:gridCol w:w="211"/>
        <w:gridCol w:w="826"/>
        <w:gridCol w:w="109"/>
        <w:gridCol w:w="109"/>
        <w:gridCol w:w="109"/>
        <w:gridCol w:w="109"/>
        <w:gridCol w:w="211"/>
        <w:gridCol w:w="826"/>
        <w:gridCol w:w="154"/>
      </w:tblGrid>
      <w:tr>
        <w:trPr/>
        <w:tc>
          <w:tcPr>
            <w:tcW w:w="2527"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(used)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impairment due to restructuring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Gain on disposal of property, plant and equipment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increasing (decreasing)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 on uncompleted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on uncompleted contracts in excess of costs and estimated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by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amendment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purchase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tax withholding for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restricted cash, beginning of period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restricted cash, end of period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on account</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pPr>
      <w:r>
        <w:rPr>
          <w:color w:val="000000"/>
        </w:rPr>
        <w:t> </w:t>
      </w:r>
      <w:r>
        <w:rPr>
          <w:rFonts w:ascii="Times New Roman;serif" w:hAnsi="Times New Roman;serif"/>
          <w:b w:val="false"/>
          <w:i/>
          <w:color w:val="000000"/>
          <w:sz w:val="20"/>
        </w:rPr>
        <w:t>See accompanying notes.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1071" w:type="dxa"/>
        <w:jc w:val="center"/>
        <w:tblInd w:w="0" w:type="dxa"/>
        <w:tblLayout w:type="fixed"/>
        <w:tblCellMar>
          <w:top w:w="28" w:type="dxa"/>
          <w:left w:w="28" w:type="dxa"/>
          <w:bottom w:w="28" w:type="dxa"/>
          <w:right w:w="28" w:type="dxa"/>
        </w:tblCellMar>
      </w:tblPr>
      <w:tblGrid>
        <w:gridCol w:w="774"/>
        <w:gridCol w:w="205"/>
        <w:gridCol w:w="207"/>
        <w:gridCol w:w="109"/>
        <w:gridCol w:w="480"/>
        <w:gridCol w:w="481"/>
        <w:gridCol w:w="308"/>
        <w:gridCol w:w="196"/>
        <w:gridCol w:w="421"/>
        <w:gridCol w:w="109"/>
        <w:gridCol w:w="109"/>
        <w:gridCol w:w="109"/>
        <w:gridCol w:w="109"/>
        <w:gridCol w:w="196"/>
        <w:gridCol w:w="736"/>
        <w:gridCol w:w="109"/>
        <w:gridCol w:w="109"/>
        <w:gridCol w:w="109"/>
        <w:gridCol w:w="109"/>
        <w:gridCol w:w="196"/>
        <w:gridCol w:w="646"/>
        <w:gridCol w:w="109"/>
        <w:gridCol w:w="109"/>
        <w:gridCol w:w="109"/>
        <w:gridCol w:w="109"/>
        <w:gridCol w:w="246"/>
        <w:gridCol w:w="832"/>
        <w:gridCol w:w="138"/>
        <w:gridCol w:w="109"/>
        <w:gridCol w:w="109"/>
        <w:gridCol w:w="109"/>
        <w:gridCol w:w="374"/>
        <w:gridCol w:w="377"/>
        <w:gridCol w:w="225"/>
        <w:gridCol w:w="196"/>
        <w:gridCol w:w="571"/>
        <w:gridCol w:w="109"/>
        <w:gridCol w:w="109"/>
        <w:gridCol w:w="109"/>
        <w:gridCol w:w="109"/>
        <w:gridCol w:w="196"/>
        <w:gridCol w:w="736"/>
        <w:gridCol w:w="154"/>
      </w:tblGrid>
      <w:tr>
        <w:trPr/>
        <w:tc>
          <w:tcPr>
            <w:tcW w:w="77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28,124,527</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related to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28,128,405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27,888,217</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285,392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shares sold to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27,888,217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281,365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Nine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27,888,217</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277,731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restricted stock </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231,950 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(274,578)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related to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28,128,405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(10,374)</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Nine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27,888,217 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579,422 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(408,406)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shares sold to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shares purchased to satisfy tax withholding obligations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123,850 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27,888,217 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(10,485)</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281,365 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1 – Basis of Presentation and Significant Accounting Policies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consolidated financial statements should be read in conjunction with the audited financial statements for the year ended June 30, 2025, included in our Annual Report on Form 10-K. The results of operations for the three and nine month periods ended March 31, 2026 may not necessarily be indicative of the results of operations for the full year ending June 30, 2026.</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significant accounting policies are detailed in “Note 1 - Basis of Presentation and Significant Accounting Policies” of our Annual Report on Form 10-K for the year ended June 30,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Accounting Standards Not Yet Adopted</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which expands disclosures in an entity’s income tax rate reconciliation table and regarding cash taxes paid both in the U.S. and foreign jurisdictions. The update will be effective for annual periods beginning after December 15, 2024 (fiscal 2026). Adoption of this ASU will result in additional disclosure, but will not impact the Company's consolidated financial position, results of operations or cash flows.</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 Reporting Comprehensive Income Expense Disaggregation Disclosures (Subtopic 220-40): Disaggregation of Income Statement Expenses, requiring companies to provide more detailed and organized disclosures of their expenses. Disclosures will include disaggregation of expense captions presented on the face of the income statement into specific categories, such as purchases of inventory, employee compensation, and costs related to depreciation and amortization. The new requirements will take effect for annual reporting periods beginning after December 15, 2026 (fiscal 2028) and for interim periods within fiscal years beginning after December 15, 2027 (fiscal 2029), with early adoption permitted. Adoption of this ASU will result in additional disclosure, but will not impact the Company's consolidated financial position, results of operations or cash flows.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Other accounting pronouncements issued but not effective until after March 31, 2026 are not expected to have a material impact on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2 – Revenue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Remaining Performance Obligations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had $932.9 million of remaining performance obligations yet to be satisfied as of March 31, 2026. We expect to recognize $665.5 million of our remaining performance obligations as revenue within the next twelve months.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Contract terms with customers include the timing of billing and payments, which usually differs from the timing of revenue recognition. As a result, we carry contract assets and liabilities in our balance sheet. These contract assets and liabilities are calculated on a contract-by-contract basis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Costs and Estimated Earnings ("BIE"). BIE consists of billings in excess of revenue recognized. The following table provides information about CIE and BIE:</w:t>
      </w:r>
    </w:p>
    <w:tbl>
      <w:tblPr>
        <w:tblW w:w="10205" w:type="dxa"/>
        <w:jc w:val="center"/>
        <w:tblInd w:w="0" w:type="dxa"/>
        <w:tblLayout w:type="fixed"/>
        <w:tblCellMar>
          <w:top w:w="28" w:type="dxa"/>
          <w:left w:w="28" w:type="dxa"/>
          <w:bottom w:w="28" w:type="dxa"/>
          <w:right w:w="28" w:type="dxa"/>
        </w:tblCellMar>
      </w:tblPr>
      <w:tblGrid>
        <w:gridCol w:w="2160"/>
        <w:gridCol w:w="1894"/>
        <w:gridCol w:w="1904"/>
        <w:gridCol w:w="211"/>
        <w:gridCol w:w="897"/>
        <w:gridCol w:w="109"/>
        <w:gridCol w:w="109"/>
        <w:gridCol w:w="109"/>
        <w:gridCol w:w="109"/>
        <w:gridCol w:w="211"/>
        <w:gridCol w:w="897"/>
        <w:gridCol w:w="109"/>
        <w:gridCol w:w="109"/>
        <w:gridCol w:w="109"/>
        <w:gridCol w:w="109"/>
        <w:gridCol w:w="211"/>
        <w:gridCol w:w="792"/>
        <w:gridCol w:w="156"/>
      </w:tblGrid>
      <w:tr>
        <w:trPr/>
        <w:tc>
          <w:tcPr>
            <w:tcW w:w="2160"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9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 on uncompleted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on uncompleted contracts in excess of costs and estimated earnings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(21,958)</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difference between the beginning and ending balances of our CIE and BIE primarily results from the timing of revenue recognized relative to our billings. The amount of revenue recognized during the nine months ended March 31, 2026 that was included in the June 30, 2025 BIE balance was $309.8 million.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Progress billings in accounts receivable at March 31, 2026 and June 30, 2025 included retentions to be collected within one year of $26.8 million and $29.0 million, respectively. Contract retentions collectible beyond one year are included in Other assets, non-current in the Condensed Consolidated Balance Sheets and totaled $93.4 million as of March 31, 2026 and $61.5 million as of June 30, 2025, respectively.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Unpriced Change Orders and Claims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 on uncompleted contracts included revenues for unpriced change orders and claims of $6.8 million at March 31, 2026 and $11.4 million at June 30, 2025. The amounts ultimately realized may be different than the recorded amounts resulting in adjustments to future earnings. Generally, we expect collection of amounts related to unpriced change orders and claims within twelve months. However, customers may not pay these amounts until final resolution of related claims, which may extend beyond one year.</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Revenue disaggregated by reportable segment is presented in Note 8 - Segment Information. The following series of tables presents revenue disaggregated by geographic area where the work was performed and by contract type: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Geographic Disaggregation:</w:t>
      </w:r>
    </w:p>
    <w:tbl>
      <w:tblPr>
        <w:tblW w:w="10205" w:type="dxa"/>
        <w:jc w:val="left"/>
        <w:tblInd w:w="0" w:type="dxa"/>
        <w:tblLayout w:type="fixed"/>
        <w:tblCellMar>
          <w:top w:w="28" w:type="dxa"/>
          <w:left w:w="28" w:type="dxa"/>
          <w:bottom w:w="28" w:type="dxa"/>
          <w:right w:w="28" w:type="dxa"/>
        </w:tblCellMar>
      </w:tblPr>
      <w:tblGrid>
        <w:gridCol w:w="597"/>
        <w:gridCol w:w="523"/>
        <w:gridCol w:w="525"/>
        <w:gridCol w:w="211"/>
        <w:gridCol w:w="826"/>
        <w:gridCol w:w="109"/>
        <w:gridCol w:w="232"/>
        <w:gridCol w:w="234"/>
        <w:gridCol w:w="271"/>
        <w:gridCol w:w="109"/>
        <w:gridCol w:w="109"/>
        <w:gridCol w:w="109"/>
        <w:gridCol w:w="211"/>
        <w:gridCol w:w="826"/>
        <w:gridCol w:w="109"/>
        <w:gridCol w:w="232"/>
        <w:gridCol w:w="234"/>
        <w:gridCol w:w="271"/>
        <w:gridCol w:w="109"/>
        <w:gridCol w:w="109"/>
        <w:gridCol w:w="109"/>
        <w:gridCol w:w="211"/>
        <w:gridCol w:w="826"/>
        <w:gridCol w:w="109"/>
        <w:gridCol w:w="231"/>
        <w:gridCol w:w="235"/>
        <w:gridCol w:w="271"/>
        <w:gridCol w:w="109"/>
        <w:gridCol w:w="109"/>
        <w:gridCol w:w="109"/>
        <w:gridCol w:w="211"/>
        <w:gridCol w:w="826"/>
        <w:gridCol w:w="109"/>
        <w:gridCol w:w="232"/>
        <w:gridCol w:w="234"/>
        <w:gridCol w:w="318"/>
      </w:tblGrid>
      <w:tr>
        <w:trPr/>
        <w:tc>
          <w:tcPr>
            <w:tcW w:w="59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8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Type Disaggregation:                                                                </w:t>
      </w:r>
    </w:p>
    <w:tbl>
      <w:tblPr>
        <w:tblW w:w="10205" w:type="dxa"/>
        <w:jc w:val="left"/>
        <w:tblInd w:w="0" w:type="dxa"/>
        <w:tblLayout w:type="fixed"/>
        <w:tblCellMar>
          <w:top w:w="28" w:type="dxa"/>
          <w:left w:w="28" w:type="dxa"/>
          <w:bottom w:w="28" w:type="dxa"/>
          <w:right w:w="28" w:type="dxa"/>
        </w:tblCellMar>
      </w:tblPr>
      <w:tblGrid>
        <w:gridCol w:w="663"/>
        <w:gridCol w:w="490"/>
        <w:gridCol w:w="493"/>
        <w:gridCol w:w="211"/>
        <w:gridCol w:w="826"/>
        <w:gridCol w:w="109"/>
        <w:gridCol w:w="232"/>
        <w:gridCol w:w="234"/>
        <w:gridCol w:w="271"/>
        <w:gridCol w:w="109"/>
        <w:gridCol w:w="109"/>
        <w:gridCol w:w="109"/>
        <w:gridCol w:w="211"/>
        <w:gridCol w:w="826"/>
        <w:gridCol w:w="109"/>
        <w:gridCol w:w="232"/>
        <w:gridCol w:w="234"/>
        <w:gridCol w:w="271"/>
        <w:gridCol w:w="109"/>
        <w:gridCol w:w="109"/>
        <w:gridCol w:w="109"/>
        <w:gridCol w:w="211"/>
        <w:gridCol w:w="826"/>
        <w:gridCol w:w="109"/>
        <w:gridCol w:w="232"/>
        <w:gridCol w:w="234"/>
        <w:gridCol w:w="271"/>
        <w:gridCol w:w="109"/>
        <w:gridCol w:w="109"/>
        <w:gridCol w:w="109"/>
        <w:gridCol w:w="211"/>
        <w:gridCol w:w="826"/>
        <w:gridCol w:w="109"/>
        <w:gridCol w:w="232"/>
        <w:gridCol w:w="234"/>
        <w:gridCol w:w="317"/>
      </w:tblGrid>
      <w:tr>
        <w:trPr/>
        <w:tc>
          <w:tcPr>
            <w:tcW w:w="66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8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and materials and other cost reimbursable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Revisions in Estimates</w:t>
      </w:r>
    </w:p>
    <w:p>
      <w:pPr>
        <w:pStyle w:val="TextBody"/>
        <w:bidi w:val="0"/>
        <w:spacing w:lineRule="auto" w:line="288" w:before="280" w:after="283"/>
        <w:jc w:val="both"/>
        <w:rPr>
          <w:rFonts w:ascii="Times New Roman;serif" w:hAnsi="Times New Roman;serif"/>
          <w:b w:val="false"/>
          <w:color w:val="000000"/>
          <w:sz w:val="20"/>
        </w:rPr>
      </w:pPr>
      <w:r>
        <w:rPr>
          <w:rFonts w:ascii="Times New Roman;serif" w:hAnsi="Times New Roman;serif"/>
          <w:b w:val="false"/>
          <w:color w:val="000000"/>
          <w:sz w:val="20"/>
        </w:rPr>
        <w:t>We recognize changes in contract estimates on a cumulative catch-up basis in the period in which the changes are identified. Such changes in contract estimates can result in the recognition of revenue in a current period for performance obligations which were satisfied or partially satisfied in a prior period. Changes in contract estimates may also result in the reversal of previously recognized revenue if the current estimate differs from the previous estimate. If at any time the estimate of contract profitability indicates an anticipated loss on the contract, we recognize the total loss in the period it is identified.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fiscal 2026, costs associated with warranty-type items and third-party commercial matters arising during commissioning of specialty tank work in the Storage and Terminal Solutions segment resulted in a $3.6 million reduction of gross profit. We anticipate completing this work during fiscal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3 – Assets Held for Sale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we classified $1.1 million of property, plant and equipment as held for sale. The assets include primarily transportation equipment associated with our transmission and distribution service line in the Utility and Power Infrastructure segment. We began winding down this service line in the fourth quarter of fiscal 2025. We expect to sell this equipment during the remainder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4 –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September 9, 2021, the Company and our primary U.S. and Canada operating subsidiaries entered into an asset-based credit agreement, which was most recently amended on August 22, 2025 (as amended, the "ABL Facility"), with Bank of Montreal, as Administrative Agent, Swing Line Lender and a Letter of Credit Issuer.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under the ABL Facility. The ABL Facility matures, and any outstanding amounts become due and payable, on September 9, 2029.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borrowing base is recalculated on a monthly basis and at March 31, 2026, our borrowing base was $68.6 million. The Company had $4.4 million in letters of credit outstanding as of March 31, 2026, which resulted in availability of $64.2 million under the ABL Facility.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ABL Facility bear interest through maturity at a variable rate based upon, at our option, an annual rate of either a base rate (“Base Rate”), a Term Secured Overnight Financing Rate ("Term SOFR"), or at the Canadian Prime Rate, plus an applicable margin. The Term SOFR rate, whether for one-month or three-month tenor, is provided by a third party defined in the ABL Facility ("Term SOFR Administrator"). The Term SOFR Administrator publishes a daily set of forward-looking interest rates for various tenors, provided that the Term SOFR cannot be below zero. The Base Rate is defined as a fluctuating interest rate equal to the greater of: (i) rate of interest announced by Bank of Montreal from time to time as its prime rate; (ii) the U.S. federal funds rate plus 0.50%; (iii) Term SOFR for one month period plus 1.00%; or (iv) 1.00%. Depending on the amount of average availability, the applicable margin is between 1.00% to 1.50% for Base Rate and Canadian Prime Rate borrowings, which includes either U.S. or Canadian prime rate, and between 2.00% and 2.50% for Term SOFR borrowings. Interest is payable either (i) monthly for Base Rate or Canadian Prime Rate borrowings or (ii) the last day of the interest period for Term SOFR borrowings, as set forth in the ABL Facility. The fee for undrawn amounts is 0.25% per annum and is due quarterly.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ABL Facility contains customary conditions to borrowings, events of default and covenants, including, but not limited to, covenants that limit our ability to sell assets; engage in mergers and acquisitions; make investments, including investments in certain international subsidiaries; incur, assume or permit to exist additional indebtedness and guarantees; create or permit to exist liens; pay cash dividends or make distributions; issue equity instruments; or redeem or repurchase capital stock. In the event that our availability is less than the greater of (i) $13.5 million and (ii) 15.00% of the commitments under the ABL Facility then in effect, a consolidated Fixed Charge Coverage Ratio of at least 1.00 to 1.00 must be maintained. We were in compliance with all covenants of the ABL Facility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5 – Income Taxes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Effective Tax Rate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March 31, 2026, our effective tax rates were 4.0% and (7.7)%. The effective tax rates during both periods were impacted by valuation allowances of $0.2 million and $0.8 million, respectively, placed on deferred tax assets generated during the period. During the three and nine months ended March 31, 2025, our effective tax rates were zero and (0.1)%, respectively. The effective tax rates during both periods were impacted by valuation allowances of $1.2 million and $4.3 million, respectively, placed on deferred tax assets generated during the period.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Valuation Allowance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recorded a valuation allowance on our deferred tax assets due to the existence of a cumulative loss over a three-year period. We will continue to place valuation allowances on newly generated deferred tax assets. We will realize the benefit associated with the deferred tax assets for which the valuation allowance has been provided as we generate taxable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 – Commitments and Contingencies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party to various legal actions, claims and other contingencies that arise in the ordinary course of business. These actions typically seek, among other things, compensation for alleged workers’ compensation claims, personal injury claims, and contract disputes, some of which may be subject to certain insurance coverage. With respect to all such matters, we record a loss when it is probable that a liability has been incurred and the amount of loss can be reasonably estimated. In addition, we disclose matters for which management believes a material loss is at least reasonably possible.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Litigation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January 2021, we achieved mechanical completion on a crude oil storage project. On April 1, 2022, we filed an arbitration demand against Keyera Energy, Inc. in an effort to collect outstanding balances related to the project. In response, on June 2, 2022, the customer filed counterclaims seeking liquidated damages and damages with respect to miscellaneous warranty items. As part of the arbitration process, our claim amount was specified at $24.5 million and Keyera's counterclaim was specified at $72.9 million, with both claim amounts including interest. Arbitration proceedings were held in August 2025. We received an interim award in January 2026 and a final award in April 2026 resolving all claims and awarding attorneys' fees to us as the prevailing party. After application of insurance coverages, we will collect $15.1 million for amounts owed on the project and reimbursement of attorneys' fees incurred. As a result, we recorded an increase in our accounts receivable and gross profit of $1.2 million during the third quarter of fiscal 2026. We expect to collect our outstanding receivable in the fourth quarter of fiscal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2023, we completed construction services on a time and materials basis at a mining and minerals facility. In late fiscal 2023, after numerous attempts to collect outstanding receivables, we filed a notice of default for lack of payment of outstanding balances, and in early fiscal 2024, we filed a lien on the facility. The customer, 5E Boron Americas, LLC, responded by commencing litigation against us on July 17, 2023 in the United States District Court for the Central District of California, Eastern Division (5E Boron Americas, LLC v. Matrix Service Inc., Case No. 5:23-cv-01396-CV(DTBx)), alleging breach of contract and breach of express warranty. We denied all claims and filed a countersuit against the customer for failure to pay amounts due. In the third quarter of fiscal 2026, to avoid future legal costs associated with this matter, we entered into a settlement, resulting in a reduction of our gross profit of $1.1 million. We received payment of $4.3 million in the third quarter of fiscal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believe we have set appropriate accruals for legal matters, including the matters described above, based on our evaluation of possible outcomes. However, the results of litigation are inherently unpredictable, and the possibility exists that the ultimate resolution of one or more of these matters could result in a material adverse effect on our financial position, results of operations or liquidity. We and our subsidiaries are participants in various other legal actions; however, assessing the eventual outcome of litigation involves forward-looking speculation as to judgment being made by arbitrators, judges, juries and appellate courts in the future. Based upon information presently available, and in light of legal and other factual defenses available to the Company, management does not believe that such other known legal actions will have a material adverse effect on our financial position, results of operations or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Insurance Reserves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maintain insurance coverage for various aspects of our operations. However, we retain exposure to potential losses through the use of deductibles, self-insured retentions and coverage limits.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our insurance and the additional insurance coverage provided by our subcontractors will fully protect us against a valid claim or loss under the contracts with our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7 – Earnings per Common Share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is calculated based on the weighted average shares outstanding during the period. Diluted EPS includes the dilutive effect of employee and director nonvested restricted stock units. Nonvested restricted stock units are considered dilutive (antidilutive) to our EPS whenever the average market value of the shares during the period exceeds (is less than) the sum of the related average unamortized compensation expense during the period. Nonvested restricted stock units are considered antidilutive to our EPS in the event we report a net loss.</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The computation of basic and diluted earnings per share is as follows:</w:t>
      </w:r>
    </w:p>
    <w:tbl>
      <w:tblPr>
        <w:tblW w:w="8784" w:type="dxa"/>
        <w:jc w:val="center"/>
        <w:tblInd w:w="0" w:type="dxa"/>
        <w:tblLayout w:type="fixed"/>
        <w:tblCellMar>
          <w:top w:w="28" w:type="dxa"/>
          <w:left w:w="28" w:type="dxa"/>
          <w:bottom w:w="28" w:type="dxa"/>
          <w:right w:w="28" w:type="dxa"/>
        </w:tblCellMar>
      </w:tblPr>
      <w:tblGrid>
        <w:gridCol w:w="1363"/>
        <w:gridCol w:w="1193"/>
        <w:gridCol w:w="1209"/>
        <w:gridCol w:w="217"/>
        <w:gridCol w:w="526"/>
        <w:gridCol w:w="112"/>
        <w:gridCol w:w="109"/>
        <w:gridCol w:w="109"/>
        <w:gridCol w:w="109"/>
        <w:gridCol w:w="211"/>
        <w:gridCol w:w="691"/>
        <w:gridCol w:w="109"/>
        <w:gridCol w:w="109"/>
        <w:gridCol w:w="109"/>
        <w:gridCol w:w="109"/>
        <w:gridCol w:w="211"/>
        <w:gridCol w:w="691"/>
        <w:gridCol w:w="109"/>
        <w:gridCol w:w="109"/>
        <w:gridCol w:w="109"/>
        <w:gridCol w:w="109"/>
        <w:gridCol w:w="211"/>
        <w:gridCol w:w="79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per share data)</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7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28,380 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8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7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28,380 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nonvested deferred shares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2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The following securities are considered antidilutive and have been excluded from the calculation of Diluted EPS:</w:t>
      </w:r>
    </w:p>
    <w:p>
      <w:pPr>
        <w:pStyle w:val="TextBody"/>
        <w:bidi w:val="0"/>
        <w:spacing w:before="0" w:after="20"/>
        <w:jc w:val="left"/>
        <w:rPr/>
      </w:pPr>
      <w:r>
        <w:rPr/>
      </w:r>
    </w:p>
    <w:tbl>
      <w:tblPr>
        <w:tblW w:w="7320" w:type="dxa"/>
        <w:jc w:val="center"/>
        <w:tblInd w:w="0" w:type="dxa"/>
        <w:tblLayout w:type="fixed"/>
        <w:tblCellMar>
          <w:top w:w="28" w:type="dxa"/>
          <w:left w:w="28" w:type="dxa"/>
          <w:bottom w:w="28" w:type="dxa"/>
          <w:right w:w="28" w:type="dxa"/>
        </w:tblCellMar>
      </w:tblPr>
      <w:tblGrid>
        <w:gridCol w:w="983"/>
        <w:gridCol w:w="863"/>
        <w:gridCol w:w="868"/>
        <w:gridCol w:w="229"/>
        <w:gridCol w:w="507"/>
        <w:gridCol w:w="118"/>
        <w:gridCol w:w="109"/>
        <w:gridCol w:w="109"/>
        <w:gridCol w:w="109"/>
        <w:gridCol w:w="211"/>
        <w:gridCol w:w="616"/>
        <w:gridCol w:w="109"/>
        <w:gridCol w:w="109"/>
        <w:gridCol w:w="109"/>
        <w:gridCol w:w="109"/>
        <w:gridCol w:w="229"/>
        <w:gridCol w:w="507"/>
        <w:gridCol w:w="118"/>
        <w:gridCol w:w="109"/>
        <w:gridCol w:w="109"/>
        <w:gridCol w:w="109"/>
        <w:gridCol w:w="211"/>
        <w:gridCol w:w="61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restricted stock units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8 – Segment Information</w:t>
      </w:r>
    </w:p>
    <w:p>
      <w:pPr>
        <w:pStyle w:val="TextBody"/>
        <w:bidi w:val="0"/>
        <w:spacing w:lineRule="auto" w:line="288" w:before="300" w:after="283"/>
        <w:jc w:val="both"/>
        <w:rPr>
          <w:rFonts w:ascii="Times New Roman;serif" w:hAnsi="Times New Roman;serif"/>
          <w:b w:val="false"/>
          <w:color w:val="000000"/>
          <w:sz w:val="20"/>
        </w:rPr>
      </w:pPr>
      <w:r>
        <w:rPr>
          <w:rFonts w:ascii="Times New Roman;serif" w:hAnsi="Times New Roman;serif"/>
          <w:b w:val="false"/>
          <w:color w:val="000000"/>
          <w:sz w:val="20"/>
        </w:rPr>
        <w:t>We operate our business through a number of different operating subsidiaries, which are organized into three reportable segments based on the type of work performed and the markets serviced:</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Storage and Terminal Solutions</w:t>
      </w:r>
      <w:r>
        <w:rPr>
          <w:rFonts w:ascii="Times New Roman;serif" w:hAnsi="Times New Roman;serif"/>
          <w:b w:val="false"/>
          <w:color w:val="000000"/>
          <w:sz w:val="20"/>
        </w:rPr>
        <w:t>: primarily consists of engineering, procurement, fabrication, and construction services related to cryogenic and other specialty tanks and terminals for LNG, NGLs such as butane, propane, ethane, ethylene, and other liquid petroleum products, as well as hydrogen and ammonia. We also perform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Utility and Power Infrastructure</w:t>
      </w:r>
      <w:r>
        <w:rPr>
          <w:rFonts w:ascii="Times New Roman;serif" w:hAnsi="Times New Roman;serif"/>
          <w:b w:val="false"/>
          <w:color w:val="000000"/>
          <w:sz w:val="20"/>
        </w:rPr>
        <w:t>: primarily consists of engineering, procurement, fabrication, and construction services to support growing demand for LNG utility peak shaving facilities. We also perform power delivery work for public and private utilities, including construction of new substations, upgrades of existing substations, and maintenance. We also provide construction services to a variety of power generation facilities, including natural gas fired facilities in simple or combined cycle configurations for base load, peaking, and backup power supply.</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Process and Industrial Facilities</w:t>
      </w:r>
      <w:r>
        <w:rPr>
          <w:rFonts w:ascii="Times New Roman;serif" w:hAnsi="Times New Roman;serif"/>
          <w:b w:val="false"/>
          <w:color w:val="000000"/>
          <w:sz w:val="20"/>
        </w:rPr>
        <w:t>: primarily consists of plant maintenance, repair, and turnarounds in the downstream and midstream markets for energy clients including refining and processing of crude oil, fractionating, and marketing of natural gas and NGLs. We also perform engineering, procurement, fabrication, and construction for refinery upgrades and retrofits for renewable fuels, including hydrogen processing, production, loading and distribution facilities. We also engineer and construct thermal vacuum test chambers for aerospace and defense industries and other infrastructure for industries including chemicals, petrochemical, sulfur, mining and minerals, cement, agriculture, wastewater treatment facilities and other industrial customers.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is our President and Chief Executive Officer, who regularly reviews operating and financial performance based on our segments. The Company's CODM uses segment operating income as the key metric in evaluating segment performance. The CODM uses this metric in the budget and forecasting processes. The CODM considers budget-to-actual and forecast-to-actual variances when making decisions about allocating resources, including capital and personnel, to the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incur certain expenses at the corporate level that relate to our business as a whole. A portion of these expenses are allocated to our business segments. The balance of the corporate level expenses are reported in the Corporate "Selling, general and administrative expenses" line, which is primarily comprised of corporate facility expense, the cost of the executive management team, and other expenses pertaining to certain centralized functions that benefit the entire Company but are not directly attributable to any specific business segment, such as corporate human resources, legal, governance, compliance and finance functions. The accounting policies of the segments are the same as those described in the Summary of Significant Accounting Policies (see Note 1). We eliminate intersegment sales; therefore, no intercompany profit or loss is recognized. Segment assets consist primarily of accounts receivable, costs and estimated earnings in excess of billings on uncompleted contracts, property, plant and equipment, right-of-use lease assets, goodwill and other intangible assets. Corporate assets consist primarily of centrally managed cash, restricted cash, prepaid expenses, corporate fixed assets, and corporate operating lease right-of-use assets.</w:t>
      </w:r>
    </w:p>
    <w:p>
      <w:pPr>
        <w:pStyle w:val="TextBody"/>
        <w:bidi w:val="0"/>
        <w:spacing w:before="3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Segment Information</w:t>
      </w:r>
      <w:r>
        <w:rPr>
          <w:color w:val="000000"/>
        </w:rPr>
        <w:t> </w:t>
      </w:r>
      <w:r>
        <w:rPr>
          <w:rFonts w:ascii="Times New Roman;serif" w:hAnsi="Times New Roman;serif"/>
          <w:b w:val="false"/>
          <w:color w:val="000000"/>
          <w:sz w:val="20"/>
        </w:rPr>
        <w:t>- The following tables set forth certain selected financial information for our segments for the periods indicated: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663"/>
        <w:gridCol w:w="663"/>
        <w:gridCol w:w="564"/>
        <w:gridCol w:w="291"/>
        <w:gridCol w:w="1094"/>
        <w:gridCol w:w="162"/>
        <w:gridCol w:w="109"/>
        <w:gridCol w:w="109"/>
        <w:gridCol w:w="109"/>
        <w:gridCol w:w="337"/>
        <w:gridCol w:w="1113"/>
        <w:gridCol w:w="188"/>
        <w:gridCol w:w="109"/>
        <w:gridCol w:w="109"/>
        <w:gridCol w:w="109"/>
        <w:gridCol w:w="307"/>
        <w:gridCol w:w="1013"/>
        <w:gridCol w:w="170"/>
        <w:gridCol w:w="109"/>
        <w:gridCol w:w="109"/>
        <w:gridCol w:w="109"/>
        <w:gridCol w:w="196"/>
        <w:gridCol w:w="593"/>
        <w:gridCol w:w="109"/>
        <w:gridCol w:w="109"/>
        <w:gridCol w:w="109"/>
        <w:gridCol w:w="109"/>
        <w:gridCol w:w="196"/>
        <w:gridCol w:w="736"/>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revenue </w:t>
            </w:r>
            <w:r>
              <w:rPr>
                <w:rFonts w:ascii="Times New Roman;serif" w:hAnsi="Times New Roman;serif"/>
                <w:b w:val="false"/>
                <w:color w:val="000000"/>
                <w:sz w:val="12"/>
              </w:rPr>
              <w:t>(1)</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111,621 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59,963 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206,709 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(103,849)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(51,801)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(189,556)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Gross profit </w:t>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 and other</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2,456</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5,186</w:t>
            </w: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(710)</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(7,980)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(1,048)</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0"/>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Total revenues are net of inter-segment revenues which are primarily Storage and Terminal Solutions and were $1.4 million for the three months ended March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revenue </w:t>
            </w:r>
            <w:r>
              <w:rPr>
                <w:rFonts w:ascii="Times New Roman;serif" w:hAnsi="Times New Roman;serif"/>
                <w:b w:val="false"/>
                <w:color w:val="000000"/>
                <w:sz w:val="12"/>
              </w:rPr>
              <w:t>(1)</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96,054 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58,676 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45,431 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200,161 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(92,323)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(53,139)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(41,672)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(187,311)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 and other</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(2,613)</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2,877</w:t>
            </w: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1,617</w:t>
            </w: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(5,000)</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0"/>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(1) Total revenues are net of inter-segment revenues which are primarily Process and Industrial Facilities and were $1.1 million for the three months ended March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784"/>
        <w:gridCol w:w="637"/>
        <w:gridCol w:w="545"/>
        <w:gridCol w:w="299"/>
        <w:gridCol w:w="1122"/>
        <w:gridCol w:w="166"/>
        <w:gridCol w:w="109"/>
        <w:gridCol w:w="109"/>
        <w:gridCol w:w="109"/>
        <w:gridCol w:w="314"/>
        <w:gridCol w:w="1185"/>
        <w:gridCol w:w="177"/>
        <w:gridCol w:w="109"/>
        <w:gridCol w:w="109"/>
        <w:gridCol w:w="109"/>
        <w:gridCol w:w="299"/>
        <w:gridCol w:w="1122"/>
        <w:gridCol w:w="166"/>
        <w:gridCol w:w="109"/>
        <w:gridCol w:w="109"/>
        <w:gridCol w:w="109"/>
        <w:gridCol w:w="196"/>
        <w:gridCol w:w="685"/>
        <w:gridCol w:w="109"/>
        <w:gridCol w:w="109"/>
        <w:gridCol w:w="109"/>
        <w:gridCol w:w="109"/>
        <w:gridCol w:w="196"/>
        <w:gridCol w:w="736"/>
        <w:gridCol w:w="159"/>
      </w:tblGrid>
      <w:tr>
        <w:trPr/>
        <w:tc>
          <w:tcPr>
            <w:tcW w:w="78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March 31, 2026</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revenue </w:t>
            </w:r>
            <w:r>
              <w:rPr>
                <w:rFonts w:ascii="Times New Roman;serif" w:hAnsi="Times New Roman;serif"/>
                <w:b w:val="false"/>
                <w:color w:val="000000"/>
                <w:sz w:val="12"/>
              </w:rPr>
              <w:t>(1)</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320,932 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209,870 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98,299 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629,101 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(187,696)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(584,631)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44,470 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 and other</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858</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13,305</w:t>
            </w:r>
            <w:r>
              <w:rPr>
                <w:color w:val="000000"/>
              </w:rPr>
              <w:t>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(1,718)</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(21,172)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(8,727)</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Total revenues are net of inter-segment revenues which are primarily Storage and Terminal Solutions and were $3.0 million for the nine months ended March 31, 2026.</w:t>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March 31, 2025</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revenue </w:t>
            </w:r>
            <w:r>
              <w:rPr>
                <w:rFonts w:ascii="Times New Roman;serif" w:hAnsi="Times New Roman;serif"/>
                <w:b w:val="false"/>
                <w:color w:val="000000"/>
                <w:sz w:val="12"/>
              </w:rPr>
              <w:t>(1)</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175,664 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107,445 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552,909 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(165,411)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(521,354)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 and other</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(1,780)</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w:t>
            </w:r>
            <w:r>
              <w:rPr>
                <w:color w:val="000000"/>
              </w:rPr>
              <w:t>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541</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(20,978)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(22,161)</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Total revenues are net of inter-segment revenues which are primarily Process and Industrial Facilities and were $2.8 million for the nine months ended March 31, 2025. </w:t>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499" w:type="dxa"/>
        <w:jc w:val="center"/>
        <w:tblInd w:w="0" w:type="dxa"/>
        <w:tblLayout w:type="fixed"/>
        <w:tblCellMar>
          <w:top w:w="28" w:type="dxa"/>
          <w:left w:w="28" w:type="dxa"/>
          <w:bottom w:w="28" w:type="dxa"/>
          <w:right w:w="28" w:type="dxa"/>
        </w:tblCellMar>
      </w:tblPr>
      <w:tblGrid>
        <w:gridCol w:w="973"/>
        <w:gridCol w:w="854"/>
        <w:gridCol w:w="857"/>
        <w:gridCol w:w="237"/>
        <w:gridCol w:w="930"/>
        <w:gridCol w:w="122"/>
        <w:gridCol w:w="109"/>
        <w:gridCol w:w="109"/>
        <w:gridCol w:w="109"/>
        <w:gridCol w:w="212"/>
        <w:gridCol w:w="832"/>
        <w:gridCol w:w="155"/>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by segment</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220,011 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39,490</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Assets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616,550 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600,256 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9 – Restructuring Costs and other</w:t>
      </w:r>
    </w:p>
    <w:p>
      <w:pPr>
        <w:pStyle w:val="TextBody"/>
        <w:bidi w:val="0"/>
        <w:spacing w:lineRule="auto" w:line="288" w:before="300" w:after="283"/>
        <w:jc w:val="both"/>
        <w:rPr>
          <w:rFonts w:ascii="Times New Roman;serif" w:hAnsi="Times New Roman;serif"/>
          <w:b w:val="false"/>
          <w:color w:val="000000"/>
          <w:sz w:val="20"/>
        </w:rPr>
      </w:pPr>
      <w:r>
        <w:rPr>
          <w:rFonts w:ascii="Times New Roman;serif" w:hAnsi="Times New Roman;serif"/>
          <w:b w:val="false"/>
          <w:color w:val="000000"/>
          <w:sz w:val="20"/>
        </w:rPr>
        <w:t>Restructuring costs and other include the following:</w:t>
      </w:r>
    </w:p>
    <w:tbl>
      <w:tblPr>
        <w:tblW w:w="6822" w:type="dxa"/>
        <w:jc w:val="left"/>
        <w:tblInd w:w="0" w:type="dxa"/>
        <w:tblLayout w:type="fixed"/>
        <w:tblCellMar>
          <w:top w:w="28" w:type="dxa"/>
          <w:left w:w="28" w:type="dxa"/>
          <w:bottom w:w="28" w:type="dxa"/>
          <w:right w:w="28" w:type="dxa"/>
        </w:tblCellMar>
      </w:tblPr>
      <w:tblGrid>
        <w:gridCol w:w="1324"/>
        <w:gridCol w:w="1164"/>
        <w:gridCol w:w="1171"/>
        <w:gridCol w:w="268"/>
        <w:gridCol w:w="783"/>
        <w:gridCol w:w="138"/>
        <w:gridCol w:w="138"/>
        <w:gridCol w:w="138"/>
        <w:gridCol w:w="138"/>
        <w:gridCol w:w="335"/>
        <w:gridCol w:w="980"/>
        <w:gridCol w:w="245"/>
      </w:tblGrid>
      <w:tr>
        <w:trPr/>
        <w:tc>
          <w:tcPr>
            <w:tcW w:w="132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 transition</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impairment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other personnel-related costs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costs and other</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fiscal 2025, we commenced an organizational restructuring plan to create a flatter, leaner organization by eliminating certain senior-level positions, streamlining our engineering and construction services, and decentralizing elements of our business development organization.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fiscal 2026, we continued the organizational restructuring plan to further integrate our engineering and construction services, consolidate service lines, and close an under-performing office, among other changes. We incurred $2.1 million of severance and other costs during the nine months ended March 31, 2026 associated with these actions.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Additionally, during the first quarter of fiscal 2026, we recorded $1.5 million of operating lease and fixed asset impairments associated with certain real estate leases that we exited as part of our organizational restructuring plan. The fair values of the assets associated with these leases were determined based on Level 3 fair value measurements, utilizing a discounted cash flow method based in part on projected sublease income. During the three months ended March 31, 2026, unfavorable market conditions for an exited office lease negatively impacted our ability to sublease the space. As a result, we recorded an additional $0.9 million of expense, representing a full impairment of the remaining Operating lease right-of-use asset and leasehold improvements, and an accrual of the remaining common area maintenance payments due under the lease.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Board’s succession planning, on February 2, 2026, John R. Hewitt and the Company entered into a Transition Agreement providing for Mr. Hewitt to transition from his role as President and Chief Executive Officer and step down effective June 30, 2026. Restructuring costs and other include $1.6 million in expense associated with cash severance payable in the first quarter of fiscal 2027, as well as $0.4 million in expense associated with stock-based compensation that will continue to settle after Mr. Hewitt’s separation. We expect to incur an additional $0.5 million in stock-based compensation expense in the fourth quarter of fiscal 2026 associated with his equity awards.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fiscal 2026, we took further action aimed at reducing our cost structure, which included eliminating multiple positions, including the Chief Administrative Officer position. We also announced a transition and separation agreement with Kevin Cavanah, our Chief Financial Officer, and have commenced a search for a new Chief Financial Officer. We expect to incur approximately $2 million in cost in the fourth quarter associated with these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 Although we believe that our expectations regarding future events are based on reasonable assumptions, we can give no assurance that such expectations or assumptions will be achieved. Important factors that could cause actual results to differ materially from those in the forward-looking statements are described under Item 1A of Part I of our Annual Report on Form 10-K for the fiscal year ended June 30, 2025.</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include, among others, such things as: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amounts and nature of future project awards, revenue and margins from each of our segments;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generate sufficient cash from operations, access our credit facility, or raise cash in order to meet our short and long-term capital requirements;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comply with the covenants in the ABL Facility;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impact to our business from economic, market or business conditions in general and in the natural gas, oil, petrochemical, industrial and power industries in particular;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impact of interest rates and inflation on our operating expenses and our business operations;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likely impact of new or existing regulations or market forces on the demand for our services;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impact to our business from disruptions to supply chains, inflation and availability of materials and labor;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with respect to the likelihood of a future impairment;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regarding pending litigation;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expansion and other trends of the industries we serve.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risks discussed in this Form 10-Q, our Form 10-K for the fiscal year ended June 30, 2025, and in our other filings with the Securities and Exchange Commission;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economic, market or business conditions in general, disruptions in the global supply chain, and in the natural gas, power, oil, petrochemical, industrial and power industries in particular;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transition to renewable energy sources and its impact on our current customer base;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under- or over-utilization of our work force;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unexpected adjustments to our remaining performance obligations or backlog;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delays in the commencement or progression of major projects, whether due to permitting issues or other factors;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reduced creditworthiness of our customer base and the higher risk of non-payment of receivables;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inherently uncertain outcome of current and future litigation;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adequacy of our reserves for claims and contingencies;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changes in laws or regulations, including the imposition, cancellation or delay of tariffs on imported goods.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except as required by law, any such forward-looking statements, whether as a result of new information, future events or otherwise.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Investors should note that we announce material financial information in SEC filings, press releases, presentations and public conference calls. Based on guidance from the SEC, we may use the Investors section of our website (www.matrixservicecompany.com) to communicate with investors and we intend to post presentations and other materials there. It is possible that the financial and other information posted to our website could be deemed to be material information.</w:t>
      </w:r>
      <w:r>
        <w:rPr>
          <w:color w:val="0000FF"/>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on our website is not part of, and is not incorporated into,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operate our business through a number of different operating subsidiaries, which are organized into three reportable segments based on the type of work performed and the markets serviced:</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Storage and Terminal Solutions</w:t>
      </w:r>
      <w:r>
        <w:rPr>
          <w:rFonts w:ascii="Times New Roman;serif" w:hAnsi="Times New Roman;serif"/>
          <w:b w:val="false"/>
          <w:color w:val="000000"/>
          <w:sz w:val="20"/>
        </w:rPr>
        <w:t>: primarily consists of engineering, procurement, fabrication, and construction services related to cryogenic and other specialty tanks and terminals for LNG, NGLs such as butane, propane, ethane, ethylene, and other liquid petroleum products, as well as hydrogen and ammonia. We also perform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Utility and Power Infrastructure</w:t>
      </w:r>
      <w:r>
        <w:rPr>
          <w:rFonts w:ascii="Times New Roman;serif" w:hAnsi="Times New Roman;serif"/>
          <w:b w:val="false"/>
          <w:color w:val="000000"/>
          <w:sz w:val="20"/>
        </w:rPr>
        <w:t>: primarily consists of engineering, procurement, fabrication, and construction services to support growing demand for LNG utility peak shaving facilities. We also perform power delivery work for public and private utilities, including construction of new substations, upgrades of existing substations, and maintenance. We also provide construction services to a variety of power generation facilities, including natural gas fired facilities in simple or combined cycle configurations for base load, peaking, and backup power supply.</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Process and Industrial Facilities</w:t>
      </w:r>
      <w:r>
        <w:rPr>
          <w:rFonts w:ascii="Times New Roman;serif" w:hAnsi="Times New Roman;serif"/>
          <w:b w:val="false"/>
          <w:color w:val="000000"/>
          <w:sz w:val="20"/>
        </w:rPr>
        <w:t>: primarily consists of plant maintenance, repair, and turnarounds in the downstream and midstream markets for energy clients including refining and processing of crude oil, fractionating, and marketing of natural gas and NGLs. We also perform engineering, procurement, fabrication, and construction for refinery upgrades and retrofits for renewable fuels, including hydrogen processing, production, loading and distribution facilities. We also engineer and construct thermal vacuum test chambers for aerospace and defense industries and other infrastructure for industries including chemicals, petrochemical, sulfur, mining and minerals, cement, agriculture, wastewater treatment facilities and other industrial customers.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Operational Update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third quarter of fiscal 2026 marked a significant inflection point for our business, as we returned to profitability. For the three months ended March 31, 2026, we reported net income of $0.8 million, compared to a net loss of $3.4 million in the same period last year. This improvement reflects the successful execution of our strategic initiatives, including disciplined project management and targeted restructuring 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gross margin increased to 8.3% in the third quarter of fiscal 2026, up from 6.4% in the same period last year, driven by improved project execution in our Storage and Terminal Solutions and Utility and Power Infrastructure segments. These results demonstrate the positive impact of our efforts to enhance operational efficiency and optimize our project portfolio. Additionally, the reduction in selling, general and administrative (SG&amp;A) expenses, which are down 14% year-over-year, reflects the benefits of our organizational restructuring and ongoing cost discipline.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our return to profitability is an important milestone, we recognize that further work is required to achieve our long-term financial objectives. Overhead cost absorption remains an area of focus. We continue to pursue opportunities to better align our cost structure with current and anticipated business volumes, including the reallocation of resources and the streamlining of support functions. Moreover, although SG&amp;A leverage improved this quarter, we are committed to driving additional efficiencies to ensure that our overhead costs scale appropriately as revenue grows. To that end, in the fourth quarter of fiscal 2026, we have taken a number of actions aimed at further reducing our cost structure by reducing our workforce, including the elimination of our Chief Administrative Officer 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these actions, during the fourth quarter of fiscal 2026, we announced the planned departure of our Chief Financial Officer, Kevin Cavanah, which is expected to occur in September 2026. We have retained a leading executive search firm to conduct a comprehensive search for our next Chief Financial Officer who will work alongside our incoming President and Chief Executive Officer Shawn Payne to lead the organization in fiscal 2027 and beyond.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Looking ahead, we will maintain our focus on revenue and profitability growth through disciplined project selection, operational execution, and cost management. These priorities are essential to sustaining profitability, improving returns on invested capital, and positioning the company for long-term growth. We believe that the actions we are taking will further strengthen our competitive position and enhance value for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Backlog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define backlog as the total dollar amount of revenue that we expect to recognize as a result of performing work that has been awarded to us through a signed contract, limited notice to proceed ("LNTP") or other type of assurance that we consider firm. The following arrangements are considered firm: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fixed-price awards;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minimum customer commitments on cost plus arrangements;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certain time and material arrangements in which the estimated value is firm or can be estimated with a reasonable amount of certainty in both timing and amounts.</w:t>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long-term maintenance contracts with no minimum commitments and other established customer agreements, we include only the amounts that we expect to recognize as revenue over the next 12 months. For arrangements in which we have received a LNTP, we include the entire scope of work in our backlog if we conclude that the likelihood of the full project proceeding is probable. For all other arrangements, we calculate backlog as the estimated contract amount less revenue recognized as of the reporting date. Backlog differs from the amount of our remaining performance obligations, which are described in Note 2 - Revenue in the notes to the unaudited consolidated financial statements. Differences are due primarily to the inclusion within our backlog of estimates of future revenue under long-term maintenance contracts; future revenue for the full scope of work for certain arrangements where we have received an LNTP; and future revenue for arrangements where we have received assurance that we consider firm, but the associated contract has not been fully executed.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changes in our backlog for the three months ended March 31,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52"/>
        <w:gridCol w:w="681"/>
        <w:gridCol w:w="685"/>
        <w:gridCol w:w="357"/>
        <w:gridCol w:w="1343"/>
        <w:gridCol w:w="198"/>
        <w:gridCol w:w="109"/>
        <w:gridCol w:w="109"/>
        <w:gridCol w:w="109"/>
        <w:gridCol w:w="371"/>
        <w:gridCol w:w="1401"/>
        <w:gridCol w:w="210"/>
        <w:gridCol w:w="109"/>
        <w:gridCol w:w="109"/>
        <w:gridCol w:w="109"/>
        <w:gridCol w:w="357"/>
        <w:gridCol w:w="1343"/>
        <w:gridCol w:w="198"/>
        <w:gridCol w:w="109"/>
        <w:gridCol w:w="109"/>
        <w:gridCol w:w="109"/>
        <w:gridCol w:w="196"/>
        <w:gridCol w:w="871"/>
        <w:gridCol w:w="161"/>
      </w:tblGrid>
      <w:tr>
        <w:trPr/>
        <w:tc>
          <w:tcPr>
            <w:tcW w:w="85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as of December 31, 2025</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821,408 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202,777 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102,888 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1,127,073 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awards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37,535 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46,633 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(111,621)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(59,963)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as of March 31, 2026</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747,322 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189,447 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91,898 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1,028,667 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Book-to-bill ratio</w:t>
            </w:r>
            <w:r>
              <w:rPr>
                <w:rFonts w:ascii="Times New Roman;serif" w:hAnsi="Times New Roman;serif"/>
                <w:b w:val="false"/>
                <w:color w:val="000000"/>
                <w:sz w:val="13"/>
              </w:rPr>
              <w:t>(1)</w:t>
            </w:r>
          </w:p>
        </w:tc>
        <w:tc>
          <w:tcPr>
            <w:tcW w:w="189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0.5x</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(1)Calculated by dividing project awards by revenue recognized.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changes in our backlog for the nine months ended March 31,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27"/>
        <w:gridCol w:w="628"/>
        <w:gridCol w:w="631"/>
        <w:gridCol w:w="366"/>
        <w:gridCol w:w="1374"/>
        <w:gridCol w:w="203"/>
        <w:gridCol w:w="109"/>
        <w:gridCol w:w="109"/>
        <w:gridCol w:w="109"/>
        <w:gridCol w:w="380"/>
        <w:gridCol w:w="1432"/>
        <w:gridCol w:w="214"/>
        <w:gridCol w:w="109"/>
        <w:gridCol w:w="109"/>
        <w:gridCol w:w="109"/>
        <w:gridCol w:w="366"/>
        <w:gridCol w:w="1374"/>
        <w:gridCol w:w="203"/>
        <w:gridCol w:w="109"/>
        <w:gridCol w:w="109"/>
        <w:gridCol w:w="109"/>
        <w:gridCol w:w="196"/>
        <w:gridCol w:w="871"/>
        <w:gridCol w:w="159"/>
      </w:tblGrid>
      <w:tr>
        <w:trPr/>
        <w:tc>
          <w:tcPr>
            <w:tcW w:w="82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as of June 30, 2025</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770,095 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346,384 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265,629 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1,382,108 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awards</w:t>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298,159 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97,172 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adjustments</w:t>
            </w:r>
            <w:r>
              <w:rPr>
                <w:color w:val="000000"/>
              </w:rPr>
              <w:t xml:space="preserve"> </w:t>
            </w:r>
            <w:r>
              <w:rPr>
                <w:rFonts w:ascii="Times New Roman;serif" w:hAnsi="Times New Roman;serif"/>
                <w:b w:val="false"/>
                <w:color w:val="000000"/>
                <w:sz w:val="13"/>
              </w:rPr>
              <w:t>(2)</w:t>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(44,239)</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(152,720)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(320,932)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(209,870)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(98,299)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(629,101)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as of March 31, 2026</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747,322 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189,447 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91,898 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1,028,667 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Book-to-bill ratio</w:t>
            </w:r>
            <w:r>
              <w:rPr>
                <w:rFonts w:ascii="Times New Roman;serif" w:hAnsi="Times New Roman;serif"/>
                <w:b w:val="false"/>
                <w:color w:val="000000"/>
                <w:sz w:val="13"/>
              </w:rPr>
              <w:t>(1)</w:t>
            </w:r>
          </w:p>
        </w:tc>
        <w:tc>
          <w:tcPr>
            <w:tcW w:w="19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0.8x</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(1)Calculated by dividing project awards by revenue recognized.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(2)Previous project awards removed from backlog.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Storage and Terminal Solutions segment, we booked $37.5 million of project awards during the third quarter of fiscal 2026. During the nine months ended March 31, 2026, we booked $298.2 million of project awards. This segment includes significant opportunities for storage infrastructure projects related to natural gas, LNG, ammonia, NGLs and other forms of low carbon energy. We believe LNG, NGLS and ammonia projects in particular will be key growth drivers for this segment. Bidding activity in these markets has been strong and we expect that to continue.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Utility and Power Infrastructure segment, we booked $46.6 million of project awards during the third quarter of fiscal 2026. During the nine months ended March 31, 2026, we booked $97.2 million of project awards. Our opportunity pipeline for LNG peak shaving projects continues to be promising, with both greenfield facility projects as well as the projects for the upgrade, maintenance, and repair to existing infrastructure. The timing between the major greenfield awards can be extended due to the client activity and bidding diligence, but their addition to backlog is significant and will drive long-term sustainable growth in the segment. The smaller upgrade projects are key measures of our brand power and strength in the market, keeping key resources active while creating opportunities to strengthen execution and engineering teams. Power generation and delivery infrastructure opportunities are expected to be driven over the long-term by increasing electrical demand and the related electrical grid requirements. Project opportunities and bidding activity are strong across the segment.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Process and Industrial Facilities segment, we booked $24.1 million of project awards during the third quarter of fiscal 2026. During the nine months ended March 31, 2026, we booked $77.3 million of project awards. We continue to see increasing opportunities in chemicals, renewable fuels, and refinery maintenance and turnarounds. Additionally, after an extended period of limited investment, activity in the U.S. non-ferrous mining sector has begun to improve, supported by demand growth in copper and higher gold prices, as well as policy initiatives related to critical minerals.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fiscal 2026, backlog was adjusted to reflect the removal of two projects. Backlog in the Utility and Power Infrastructure segment was impacted by the removal of an award originally added to backlog in the fourth quarter of fiscal 2025. Our unwillingness to accept an increased risk profile caused the client to change their award decision. Our backlog in the Process and Industrial Facilities segment was impacted by the removal of an award originally added to backlog in the third quarter of fiscal 2023. The project was removed from backlog as the ultimate customer is now planning to change the project execution and sourcing strategy for the project. While we ultimately may perform some of this work, we determined inclusion of the award in backlog was no longer appropriate.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There is an inherent lag between the time a project is awarded and when it begins to have a material impact on revenue. This lag can vary and can extend up to six months or longer in unique circumstances, depending on finalization of scopes, contracts, permits, and facility process requirements. Additionally, awards for larger construction projects may be recognized as revenue over a multi-year period as the projects may take a few years to complete.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Three months ended March 31, 2026 Compared to the Three months ended March 31, 2025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below is an analysis of our consolidated results for the three months ended March 31, 2026, compared to the three months ended March 31, 2025. See Results of Operations by Business Segment below for additional information describing the performance of each of our reportable segments.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Consolidated Results of Operations</w:t>
      </w:r>
    </w:p>
    <w:tbl>
      <w:tblPr>
        <w:tblW w:w="9902" w:type="dxa"/>
        <w:jc w:val="left"/>
        <w:tblInd w:w="0" w:type="dxa"/>
        <w:tblLayout w:type="fixed"/>
        <w:tblCellMar>
          <w:top w:w="28" w:type="dxa"/>
          <w:left w:w="28" w:type="dxa"/>
          <w:bottom w:w="28" w:type="dxa"/>
          <w:right w:w="28" w:type="dxa"/>
        </w:tblCellMar>
      </w:tblPr>
      <w:tblGrid>
        <w:gridCol w:w="1565"/>
        <w:gridCol w:w="1376"/>
        <w:gridCol w:w="1379"/>
        <w:gridCol w:w="211"/>
        <w:gridCol w:w="826"/>
        <w:gridCol w:w="271"/>
        <w:gridCol w:w="109"/>
        <w:gridCol w:w="109"/>
        <w:gridCol w:w="109"/>
        <w:gridCol w:w="211"/>
        <w:gridCol w:w="826"/>
        <w:gridCol w:w="271"/>
        <w:gridCol w:w="109"/>
        <w:gridCol w:w="109"/>
        <w:gridCol w:w="109"/>
        <w:gridCol w:w="211"/>
        <w:gridCol w:w="616"/>
        <w:gridCol w:w="271"/>
        <w:gridCol w:w="109"/>
        <w:gridCol w:w="109"/>
        <w:gridCol w:w="109"/>
        <w:gridCol w:w="283"/>
        <w:gridCol w:w="288"/>
        <w:gridCol w:w="316"/>
      </w:tblGrid>
      <w:tr>
        <w:trPr/>
        <w:tc>
          <w:tcPr>
            <w:tcW w:w="156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v 2025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Dollars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federal, state and foreign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i/>
          <w:color w:val="000000"/>
          <w:sz w:val="20"/>
        </w:rPr>
        <w:t>Revenue</w:t>
      </w:r>
      <w:r>
        <w:rPr>
          <w:color w:val="000000"/>
        </w:rPr>
        <w:t xml:space="preserve"> </w:t>
      </w:r>
      <w:r>
        <w:rPr>
          <w:rFonts w:ascii="Times New Roman;serif" w:hAnsi="Times New Roman;serif"/>
          <w:b w:val="false"/>
          <w:color w:val="000000"/>
          <w:sz w:val="20"/>
        </w:rPr>
        <w:t>- The increase in consolidated revenue of $6.5 million, or 3%, was attributable to higher revenue volumes in our Storage and Terminal Solutions segment, partially offset by lower revenue volumes in our Processing and Industrial Facilities segment.</w:t>
      </w:r>
    </w:p>
    <w:p>
      <w:pPr>
        <w:pStyle w:val="TextBody"/>
        <w:bidi w:val="0"/>
        <w:spacing w:lineRule="auto" w:line="288" w:before="180" w:after="283"/>
        <w:jc w:val="both"/>
        <w:rPr/>
      </w:pPr>
      <w:r>
        <w:rPr>
          <w:rFonts w:ascii="Times New Roman;serif" w:hAnsi="Times New Roman;serif"/>
          <w:b/>
          <w:i/>
          <w:color w:val="000000"/>
          <w:sz w:val="20"/>
        </w:rPr>
        <w:t>Gross profit</w:t>
      </w:r>
      <w:r>
        <w:rPr>
          <w:color w:val="000000"/>
        </w:rPr>
        <w:t xml:space="preserve"> </w:t>
      </w:r>
      <w:r>
        <w:rPr>
          <w:rFonts w:ascii="Times New Roman;serif" w:hAnsi="Times New Roman;serif"/>
          <w:b w:val="false"/>
          <w:color w:val="000000"/>
          <w:sz w:val="20"/>
        </w:rPr>
        <w:t>- Gross profit in the third quarter of fiscal 2026 increased $4.3 million, or 33%, compared to the third quarter of fiscal 2025. Gross margin was 8.3% for the third quarter of fiscal 2026 compared to gross margin of 6.4% for the third quarter of fiscal 2025. The increase in gross margin was due to higher gross margins in the Storage and Terminal Solutions and Utility and Power Infrastructure segments, partially offset by lower gross margins in the Process and Industrial Facility segment. Overall, gross margins during the period benefited from strong project execution and improved overhead recovery.</w:t>
      </w:r>
    </w:p>
    <w:p>
      <w:pPr>
        <w:pStyle w:val="TextBody"/>
        <w:bidi w:val="0"/>
        <w:spacing w:lineRule="auto" w:line="288" w:before="180" w:after="283"/>
        <w:jc w:val="both"/>
        <w:rPr/>
      </w:pPr>
      <w:r>
        <w:rPr>
          <w:rFonts w:ascii="Times New Roman;serif" w:hAnsi="Times New Roman;serif"/>
          <w:b/>
          <w:i/>
          <w:color w:val="000000"/>
          <w:sz w:val="20"/>
        </w:rPr>
        <w:t>Selling, general and administrative expenses</w:t>
      </w:r>
      <w:r>
        <w:rPr>
          <w:color w:val="000000"/>
        </w:rPr>
        <w:t xml:space="preserve"> </w:t>
      </w:r>
      <w:r>
        <w:rPr>
          <w:rFonts w:ascii="Times New Roman;serif" w:hAnsi="Times New Roman;serif"/>
          <w:b w:val="false"/>
          <w:color w:val="000000"/>
          <w:sz w:val="20"/>
        </w:rPr>
        <w:t>- The decrease in selling, general and administrative expenses ("SG&amp;A") of $2.5 million, or 14%, primarily due to cost reductions resulting from our organizational restructuring plan. Additionally, stock compensation expense decreased by $1.0 million primarily as a result of executive separations during the period.</w:t>
      </w:r>
    </w:p>
    <w:p>
      <w:pPr>
        <w:pStyle w:val="TextBody"/>
        <w:bidi w:val="0"/>
        <w:spacing w:lineRule="auto" w:line="288" w:before="180" w:after="283"/>
        <w:jc w:val="both"/>
        <w:rPr/>
      </w:pPr>
      <w:r>
        <w:rPr>
          <w:rFonts w:ascii="Times New Roman;serif" w:hAnsi="Times New Roman;serif"/>
          <w:b/>
          <w:i/>
          <w:color w:val="000000"/>
          <w:sz w:val="20"/>
        </w:rPr>
        <w:t xml:space="preserve">Restructuring costs and other </w:t>
      </w:r>
      <w:r>
        <w:rPr>
          <w:rFonts w:ascii="Times New Roman;serif" w:hAnsi="Times New Roman;serif"/>
          <w:b w:val="false"/>
          <w:color w:val="000000"/>
          <w:sz w:val="20"/>
        </w:rPr>
        <w:t>- The Company incurred $3.0 million of restructuring and other costs during the third quarter of fiscal 2026. Costs included $2.0 million related to the CEO transition and $0.9 million associated with a lease impairment. See Part I, Item 1. Financial Statements (Unaudited), Note 9 - Restructuring Costs, for further details.</w:t>
      </w:r>
    </w:p>
    <w:p>
      <w:pPr>
        <w:pStyle w:val="TextBody"/>
        <w:bidi w:val="0"/>
        <w:spacing w:lineRule="auto" w:line="288" w:before="180" w:after="283"/>
        <w:jc w:val="both"/>
        <w:rPr/>
      </w:pPr>
      <w:r>
        <w:rPr>
          <w:rFonts w:ascii="Times New Roman;serif" w:hAnsi="Times New Roman;serif"/>
          <w:b/>
          <w:i/>
          <w:color w:val="000000"/>
          <w:sz w:val="20"/>
        </w:rPr>
        <w:t>Interest income</w:t>
      </w:r>
      <w:r>
        <w:rPr>
          <w:color w:val="000000"/>
        </w:rPr>
        <w:t xml:space="preserve"> </w:t>
      </w:r>
      <w:r>
        <w:rPr>
          <w:rFonts w:ascii="Times New Roman;serif" w:hAnsi="Times New Roman;serif"/>
          <w:b w:val="false"/>
          <w:color w:val="000000"/>
          <w:sz w:val="20"/>
        </w:rPr>
        <w:t>- Interest income increased $0.7 million during the third quarter of fiscal 2026, compared to the third quarter of fiscal 2025, primarily due to an increase in our cash balance.</w:t>
      </w:r>
    </w:p>
    <w:p>
      <w:pPr>
        <w:pStyle w:val="TextBody"/>
        <w:bidi w:val="0"/>
        <w:spacing w:lineRule="auto" w:line="288" w:before="180" w:after="283"/>
        <w:jc w:val="both"/>
        <w:rPr/>
      </w:pPr>
      <w:r>
        <w:rPr>
          <w:rFonts w:ascii="Times New Roman;serif" w:hAnsi="Times New Roman;serif"/>
          <w:b/>
          <w:i/>
          <w:color w:val="000000"/>
          <w:sz w:val="20"/>
        </w:rPr>
        <w:t>Other income (expense)</w:t>
      </w:r>
      <w:r>
        <w:rPr>
          <w:color w:val="000000"/>
        </w:rPr>
        <w:t xml:space="preserve"> </w:t>
      </w:r>
      <w:r>
        <w:rPr>
          <w:rFonts w:ascii="Times New Roman;serif" w:hAnsi="Times New Roman;serif"/>
          <w:b w:val="false"/>
          <w:color w:val="000000"/>
          <w:sz w:val="20"/>
        </w:rPr>
        <w:t xml:space="preserve">- Other income (expense) decreased $0.4 million due primarily to an increase in foreign currency translation losses associated with our Australian and South Korean subsidiaries. </w:t>
      </w:r>
    </w:p>
    <w:p>
      <w:pPr>
        <w:pStyle w:val="TextBody"/>
        <w:bidi w:val="0"/>
        <w:spacing w:lineRule="auto" w:line="288" w:before="180" w:after="283"/>
        <w:jc w:val="both"/>
        <w:rPr/>
      </w:pPr>
      <w:r>
        <w:rPr>
          <w:rFonts w:ascii="Times New Roman;serif" w:hAnsi="Times New Roman;serif"/>
          <w:b/>
          <w:i/>
          <w:color w:val="000000"/>
          <w:sz w:val="20"/>
        </w:rPr>
        <w:t>Provision for income taxes</w:t>
      </w:r>
      <w:r>
        <w:rPr>
          <w:color w:val="000000"/>
        </w:rPr>
        <w:t xml:space="preserve"> </w:t>
      </w:r>
      <w:r>
        <w:rPr>
          <w:rFonts w:ascii="Times New Roman;serif" w:hAnsi="Times New Roman;serif"/>
          <w:b w:val="false"/>
          <w:color w:val="000000"/>
          <w:sz w:val="20"/>
        </w:rPr>
        <w:t xml:space="preserve">- Income tax expense for both periods was insignificant. The effective tax rates during both periods were impacted by valuation allowances of $0.2 million and $1.2 million, respectively, placed on deferred tax assets generated during the quarters. We placed a valuation allowance on our deferred tax assets due to the existence of a cumulative loss over a three-year period. Currently, we place valuation allowances on newly generated deferred tax assets. We will realize the benefit associated with the deferred tax assets for which the valuation allowance has been provided as we generate taxable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 by Business Segment</w:t>
      </w:r>
    </w:p>
    <w:tbl>
      <w:tblPr>
        <w:tblW w:w="9014" w:type="dxa"/>
        <w:jc w:val="left"/>
        <w:tblInd w:w="0" w:type="dxa"/>
        <w:tblLayout w:type="fixed"/>
        <w:tblCellMar>
          <w:top w:w="28" w:type="dxa"/>
          <w:left w:w="28" w:type="dxa"/>
          <w:bottom w:w="28" w:type="dxa"/>
          <w:right w:w="28" w:type="dxa"/>
        </w:tblCellMar>
      </w:tblPr>
      <w:tblGrid>
        <w:gridCol w:w="973"/>
        <w:gridCol w:w="855"/>
        <w:gridCol w:w="857"/>
        <w:gridCol w:w="247"/>
        <w:gridCol w:w="264"/>
        <w:gridCol w:w="557"/>
        <w:gridCol w:w="109"/>
        <w:gridCol w:w="109"/>
        <w:gridCol w:w="109"/>
        <w:gridCol w:w="211"/>
        <w:gridCol w:w="222"/>
        <w:gridCol w:w="559"/>
        <w:gridCol w:w="109"/>
        <w:gridCol w:w="109"/>
        <w:gridCol w:w="109"/>
        <w:gridCol w:w="347"/>
        <w:gridCol w:w="337"/>
        <w:gridCol w:w="339"/>
        <w:gridCol w:w="109"/>
        <w:gridCol w:w="109"/>
        <w:gridCol w:w="109"/>
        <w:gridCol w:w="462"/>
        <w:gridCol w:w="462"/>
        <w:gridCol w:w="1341"/>
      </w:tblGrid>
      <w:tr>
        <w:trPr/>
        <w:tc>
          <w:tcPr>
            <w:tcW w:w="9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v 2025</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Dollars in thousands</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Favorable (Unfavorable)</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(loss)</w:t>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w:t>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 %</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loss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Storage and Terminal Solutions</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Storage and Terminal Solutions revenues increased by $15.6 million, or 16%, in the three months ended March 31, 2026 compared to the same period last year, driven by an increased volume of work for LNG projects.</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Storage and Terminal Solutions gross profit increased by $4.0 million, or 108%, in the three months ended March 31, 2026 compared to the same period last year. The segment gross margin of 7.0% for the three months ended March 31, 2026 was higher than segment gross margin of 3.9% in the same period last year. Margin improvement was driven by improved project execution overall as well as an improvement in overhead cost absorption.</w:t>
      </w:r>
    </w:p>
    <w:p>
      <w:pPr>
        <w:pStyle w:val="TextBody"/>
        <w:bidi w:val="0"/>
        <w:spacing w:lineRule="auto" w:line="268" w:before="180" w:after="283"/>
        <w:jc w:val="both"/>
        <w:rPr>
          <w:rFonts w:ascii="Times New Roman;serif" w:hAnsi="Times New Roman;serif"/>
          <w:b/>
          <w:i/>
          <w:color w:val="000000"/>
          <w:sz w:val="20"/>
        </w:rPr>
      </w:pPr>
      <w:r>
        <w:rPr>
          <w:rFonts w:ascii="Times New Roman;serif" w:hAnsi="Times New Roman;serif"/>
          <w:b/>
          <w:i/>
          <w:color w:val="000000"/>
          <w:sz w:val="20"/>
        </w:rPr>
        <w:t>Utility and Power Infrastructure</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Utility and Power Infrastructure revenues were largely consistent with prior year, increasing by $1.3 million, or 2%, in the three months ended March 31, 2026 compared to the same period last year. </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Utility and Power Infrastructure gross profit increased by $2.6 million, or 47%, in the three months ended March 31, 2026 compared to the same period last year. The segment gross margin was 13.6% for the three months ended March 31, 2026 compared to 9.4% in the same period last year, an increase of 4.2% due to strong project execution throughout the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68" w:before="180" w:after="283"/>
        <w:jc w:val="both"/>
        <w:rPr>
          <w:rFonts w:ascii="Times New Roman;serif" w:hAnsi="Times New Roman;serif"/>
          <w:b/>
          <w:i/>
          <w:color w:val="000000"/>
          <w:sz w:val="20"/>
        </w:rPr>
      </w:pPr>
      <w:r>
        <w:rPr>
          <w:rFonts w:ascii="Times New Roman;serif" w:hAnsi="Times New Roman;serif"/>
          <w:b/>
          <w:i/>
          <w:color w:val="000000"/>
          <w:sz w:val="20"/>
        </w:rPr>
        <w:t>Process and Industrial Facilities</w:t>
      </w:r>
    </w:p>
    <w:p>
      <w:pPr>
        <w:pStyle w:val="TextBody"/>
        <w:bidi w:val="0"/>
        <w:spacing w:lineRule="auto" w:line="268" w:before="180" w:after="283"/>
        <w:jc w:val="both"/>
        <w:rPr/>
      </w:pPr>
      <w:r>
        <w:rPr>
          <w:rFonts w:ascii="Times New Roman;serif" w:hAnsi="Times New Roman;serif"/>
          <w:b w:val="false"/>
          <w:color w:val="000000"/>
          <w:sz w:val="20"/>
        </w:rPr>
        <w:t xml:space="preserve">Process and Industrial Facilities revenues decreased by $10.3 million, or 23%, in the three months ended March 31, 2026 compared to the same period last year. The </w:t>
      </w:r>
      <w:r>
        <w:rPr>
          <w:rFonts w:ascii="Times New Roman;serif" w:hAnsi="Times New Roman;serif"/>
          <w:b w:val="false"/>
          <w:color w:val="000000"/>
          <w:sz w:val="18"/>
        </w:rPr>
        <w:t>decrease</w:t>
      </w:r>
      <w:r>
        <w:rPr>
          <w:color w:val="000000"/>
        </w:rPr>
        <w:t xml:space="preserve"> </w:t>
      </w:r>
      <w:r>
        <w:rPr>
          <w:rFonts w:ascii="Times New Roman;serif" w:hAnsi="Times New Roman;serif"/>
          <w:b w:val="false"/>
          <w:color w:val="000000"/>
          <w:sz w:val="20"/>
        </w:rPr>
        <w:t>is primarily attributable to lower revenue volumes for thermal vacuum chambers, refinery work, and industrial facilities.</w:t>
      </w:r>
    </w:p>
    <w:p>
      <w:pPr>
        <w:pStyle w:val="TextBody"/>
        <w:bidi w:val="0"/>
        <w:spacing w:lineRule="auto" w:line="268" w:before="180" w:after="283"/>
        <w:jc w:val="both"/>
        <w:rPr/>
      </w:pPr>
      <w:r>
        <w:rPr>
          <w:rFonts w:ascii="Times New Roman;serif" w:hAnsi="Times New Roman;serif"/>
          <w:b w:val="false"/>
          <w:color w:val="000000"/>
          <w:sz w:val="20"/>
        </w:rPr>
        <w:t xml:space="preserve">Process and Industrial Facilities gross profit decreased by $2.9 million, or 76%, in the three months ended March 31, 2026 compared to the same period last year. The segment gross margin was 2.5% for the three months ended March 31, 2026 compared to 8.3% in the same period last year. The </w:t>
      </w:r>
      <w:r>
        <w:rPr>
          <w:rFonts w:ascii="Times New Roman;serif" w:hAnsi="Times New Roman;serif"/>
          <w:b w:val="false"/>
          <w:color w:val="000000"/>
          <w:sz w:val="18"/>
        </w:rPr>
        <w:t>decrease</w:t>
      </w:r>
      <w:r>
        <w:rPr>
          <w:color w:val="000000"/>
        </w:rPr>
        <w:t xml:space="preserve"> </w:t>
      </w:r>
      <w:r>
        <w:rPr>
          <w:rFonts w:ascii="Times New Roman;serif" w:hAnsi="Times New Roman;serif"/>
          <w:b w:val="false"/>
          <w:color w:val="000000"/>
          <w:sz w:val="20"/>
        </w:rPr>
        <w:t>is attributable to mix of work and the settlement of a legal matter, which reduced gross margin by $1.1 million. See Part I, Item 1. Financial Statements (Unaudited), Note 6 - Commitments and Contingencies, for more details.</w:t>
      </w:r>
    </w:p>
    <w:p>
      <w:pPr>
        <w:pStyle w:val="TextBody"/>
        <w:bidi w:val="0"/>
        <w:spacing w:before="180" w:after="283"/>
        <w:jc w:val="both"/>
        <w:rPr/>
      </w:pPr>
      <w:r>
        <w:rPr/>
      </w:r>
    </w:p>
    <w:p>
      <w:pPr>
        <w:pStyle w:val="TextBody"/>
        <w:bidi w:val="0"/>
        <w:spacing w:before="180" w:after="283"/>
        <w:ind w:left="0" w:right="0" w:firstLine="720"/>
        <w:jc w:val="both"/>
        <w:rPr/>
      </w:pPr>
      <w:r>
        <w:rPr/>
      </w:r>
    </w:p>
    <w:p>
      <w:pPr>
        <w:pStyle w:val="TextBody"/>
        <w:bidi w:val="0"/>
        <w:spacing w:before="180" w:after="283"/>
        <w:ind w:left="0" w:right="0" w:firstLine="720"/>
        <w:jc w:val="both"/>
        <w:rPr/>
      </w:pPr>
      <w:r>
        <w:rPr/>
      </w:r>
    </w:p>
    <w:p>
      <w:pPr>
        <w:pStyle w:val="TextBody"/>
        <w:bidi w:val="0"/>
        <w:spacing w:before="180" w:after="283"/>
        <w:ind w:left="0" w:right="0" w:firstLine="720"/>
        <w:jc w:val="both"/>
        <w:rPr/>
      </w:pPr>
      <w:r>
        <w:rPr/>
      </w:r>
    </w:p>
    <w:p>
      <w:pPr>
        <w:pStyle w:val="TextBody"/>
        <w:bidi w:val="0"/>
        <w:spacing w:before="180" w:after="283"/>
        <w:ind w:left="0" w:right="0" w:firstLine="720"/>
        <w:jc w:val="both"/>
        <w:rPr/>
      </w:pPr>
      <w:r>
        <w:rPr/>
      </w:r>
    </w:p>
    <w:p>
      <w:pPr>
        <w:pStyle w:val="TextBody"/>
        <w:bidi w:val="0"/>
        <w:spacing w:before="180" w:after="283"/>
        <w:ind w:left="0" w:right="0" w:firstLine="720"/>
        <w:jc w:val="both"/>
        <w:rPr/>
      </w:pPr>
      <w:r>
        <w:rPr/>
      </w:r>
    </w:p>
    <w:p>
      <w:pPr>
        <w:pStyle w:val="TextBody"/>
        <w:bidi w:val="0"/>
        <w:spacing w:before="180" w:after="283"/>
        <w:ind w:left="0" w:right="0" w:firstLine="720"/>
        <w:jc w:val="both"/>
        <w:rPr/>
      </w:pPr>
      <w:r>
        <w:rPr/>
      </w:r>
    </w:p>
    <w:p>
      <w:pPr>
        <w:pStyle w:val="TextBody"/>
        <w:bidi w:val="0"/>
        <w:spacing w:before="18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Nine months ended March 31, 2026 Compared to the Nine months ended March 31,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below is an analysis of our consolidated results for the nine months ended March 31, 2026, compared to the nine months ended March 31, 2025. See Results of Operations by Business Segment below for additional information describing the performance of each of our reportable segments.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Consolidated Results of Operations</w:t>
      </w:r>
    </w:p>
    <w:tbl>
      <w:tblPr>
        <w:tblW w:w="10007" w:type="dxa"/>
        <w:jc w:val="left"/>
        <w:tblInd w:w="0" w:type="dxa"/>
        <w:tblLayout w:type="fixed"/>
        <w:tblCellMar>
          <w:top w:w="28" w:type="dxa"/>
          <w:left w:w="28" w:type="dxa"/>
          <w:bottom w:w="28" w:type="dxa"/>
          <w:right w:w="28" w:type="dxa"/>
        </w:tblCellMar>
      </w:tblPr>
      <w:tblGrid>
        <w:gridCol w:w="1565"/>
        <w:gridCol w:w="1376"/>
        <w:gridCol w:w="1379"/>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83"/>
        <w:gridCol w:w="288"/>
        <w:gridCol w:w="316"/>
      </w:tblGrid>
      <w:tr>
        <w:trPr/>
        <w:tc>
          <w:tcPr>
            <w:tcW w:w="156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v 2025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Dollars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federal, state and foreign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(18,190)</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pPr>
      <w:r>
        <w:rPr>
          <w:rFonts w:ascii="Times New Roman;serif" w:hAnsi="Times New Roman;serif"/>
          <w:b/>
          <w:i/>
          <w:color w:val="000000"/>
          <w:sz w:val="20"/>
        </w:rPr>
        <w:t>Revenue</w:t>
      </w:r>
      <w:r>
        <w:rPr>
          <w:color w:val="000000"/>
        </w:rPr>
        <w:t xml:space="preserve"> </w:t>
      </w:r>
      <w:r>
        <w:rPr>
          <w:rFonts w:ascii="Times New Roman;serif" w:hAnsi="Times New Roman;serif"/>
          <w:b w:val="false"/>
          <w:color w:val="000000"/>
          <w:sz w:val="20"/>
        </w:rPr>
        <w:t>- The increase in overall revenue of $76.2 million, or 14%, was primarily attributable to increased revenue volumes in our Storage and Terminal Solutions and Utility and Power Infrastructure segments.</w:t>
      </w:r>
    </w:p>
    <w:p>
      <w:pPr>
        <w:pStyle w:val="TextBody"/>
        <w:bidi w:val="0"/>
        <w:spacing w:lineRule="auto" w:line="288" w:before="180" w:after="283"/>
        <w:jc w:val="both"/>
        <w:rPr/>
      </w:pPr>
      <w:r>
        <w:rPr>
          <w:rFonts w:ascii="Times New Roman;serif" w:hAnsi="Times New Roman;serif"/>
          <w:b/>
          <w:i/>
          <w:color w:val="000000"/>
          <w:sz w:val="20"/>
        </w:rPr>
        <w:t>Gross profit</w:t>
      </w:r>
      <w:r>
        <w:rPr>
          <w:color w:val="000000"/>
        </w:rPr>
        <w:t xml:space="preserve"> </w:t>
      </w:r>
      <w:r>
        <w:rPr>
          <w:rFonts w:ascii="Times New Roman;serif" w:hAnsi="Times New Roman;serif"/>
          <w:b w:val="false"/>
          <w:color w:val="000000"/>
          <w:sz w:val="20"/>
        </w:rPr>
        <w:t>- Gross profit in the nine months ended March 31, 2026 increased $12.9 million, or 41%, compared to the same period in the prior year. Gross margin increased to 7.1% for the nine months ended March 31, 2026 compared to 5.7% for the same period prior year. The increase in gross margin for the nine months is attributable to higher gross margins in our Storage and Terminal Solutions and Utility and Power Infrastructure segments, partially offset by lower margins in our Process and Industrial Facilities segment. Overall, gross margins during the period benefited from strong project execution and improved overhead recovery.</w:t>
      </w:r>
    </w:p>
    <w:p>
      <w:pPr>
        <w:pStyle w:val="TextBody"/>
        <w:bidi w:val="0"/>
        <w:spacing w:lineRule="auto" w:line="288" w:before="180" w:after="283"/>
        <w:jc w:val="both"/>
        <w:rPr/>
      </w:pPr>
      <w:r>
        <w:rPr>
          <w:rFonts w:ascii="Times New Roman;serif" w:hAnsi="Times New Roman;serif"/>
          <w:b/>
          <w:i/>
          <w:color w:val="000000"/>
          <w:sz w:val="20"/>
        </w:rPr>
        <w:t>Selling, general and administrative expenses</w:t>
      </w:r>
      <w:r>
        <w:rPr>
          <w:color w:val="000000"/>
        </w:rPr>
        <w:t xml:space="preserve"> </w:t>
      </w:r>
      <w:r>
        <w:rPr>
          <w:rFonts w:ascii="Times New Roman;serif" w:hAnsi="Times New Roman;serif"/>
          <w:b w:val="false"/>
          <w:color w:val="000000"/>
          <w:sz w:val="20"/>
        </w:rPr>
        <w:t>- The decrease in SG&amp;A expenses of $6.9 million, or 13%, is due in part to cost reductions resulting from our organizational restructuring plan. Stock compensation also decreased by $1.5 million, due in part to executive separations occurring during the third quarter of fiscal 2026. Additionally, SG&amp;A decreased $1.7 million associated with the variable accounting for cash-settled stock-based compensation, primarily as a result of fluctuations in our stock price.</w:t>
      </w:r>
    </w:p>
    <w:p>
      <w:pPr>
        <w:pStyle w:val="TextBody"/>
        <w:bidi w:val="0"/>
        <w:spacing w:lineRule="auto" w:line="288" w:before="180" w:after="283"/>
        <w:jc w:val="both"/>
        <w:rPr/>
      </w:pPr>
      <w:r>
        <w:rPr>
          <w:rFonts w:ascii="Times New Roman;serif" w:hAnsi="Times New Roman;serif"/>
          <w:b/>
          <w:i/>
          <w:color w:val="000000"/>
          <w:sz w:val="20"/>
        </w:rPr>
        <w:t xml:space="preserve">Restructuring costs and other </w:t>
      </w:r>
      <w:r>
        <w:rPr>
          <w:rFonts w:ascii="Times New Roman;serif" w:hAnsi="Times New Roman;serif"/>
          <w:b w:val="false"/>
          <w:color w:val="000000"/>
          <w:sz w:val="20"/>
        </w:rPr>
        <w:t>- The Company incurred $6.5 million of costs during the nine months ended March 31, 2026 related to organizational restructuring and other related costs. This included $2.0 million of expense related to the CEO transition, as well as severance for other personnel and lease impairments for exited leases. See Part I, Item 1. Financial Statements (Unaudited), Note 9 - Restructuring Costs, for further details.</w:t>
      </w:r>
    </w:p>
    <w:p>
      <w:pPr>
        <w:pStyle w:val="TextBody"/>
        <w:bidi w:val="0"/>
        <w:spacing w:lineRule="auto" w:line="288" w:before="180" w:after="283"/>
        <w:jc w:val="both"/>
        <w:rPr/>
      </w:pPr>
      <w:r>
        <w:rPr>
          <w:rFonts w:ascii="Times New Roman;serif" w:hAnsi="Times New Roman;serif"/>
          <w:b/>
          <w:i/>
          <w:color w:val="000000"/>
          <w:sz w:val="20"/>
        </w:rPr>
        <w:t>Interest income</w:t>
      </w:r>
      <w:r>
        <w:rPr>
          <w:color w:val="000000"/>
        </w:rPr>
        <w:t xml:space="preserve"> </w:t>
      </w:r>
      <w:r>
        <w:rPr>
          <w:rFonts w:ascii="Times New Roman;serif" w:hAnsi="Times New Roman;serif"/>
          <w:b w:val="false"/>
          <w:color w:val="000000"/>
          <w:sz w:val="20"/>
        </w:rPr>
        <w:t>- The increase in interest income of $0.9 million is primarily due to an increase in our cash balance.</w:t>
      </w:r>
    </w:p>
    <w:p>
      <w:pPr>
        <w:pStyle w:val="TextBody"/>
        <w:bidi w:val="0"/>
        <w:spacing w:lineRule="auto" w:line="288" w:before="180" w:after="283"/>
        <w:jc w:val="both"/>
        <w:rPr/>
      </w:pPr>
      <w:r>
        <w:rPr>
          <w:rFonts w:ascii="Times New Roman;serif" w:hAnsi="Times New Roman;serif"/>
          <w:b/>
          <w:i/>
          <w:color w:val="000000"/>
          <w:sz w:val="20"/>
        </w:rPr>
        <w:t>Other income (expense)</w:t>
      </w:r>
      <w:r>
        <w:rPr>
          <w:color w:val="000000"/>
        </w:rPr>
        <w:t xml:space="preserve"> </w:t>
      </w:r>
      <w:r>
        <w:rPr>
          <w:rFonts w:ascii="Times New Roman;serif" w:hAnsi="Times New Roman;serif"/>
          <w:b w:val="false"/>
          <w:color w:val="000000"/>
          <w:sz w:val="20"/>
        </w:rPr>
        <w:t xml:space="preserve">- Other income increased $0.4 million in the nine months ended March 31, 2026 as compared to the same period prior year due primarily to a reduction in foreign currency transaction losses associated with our Australian and South Korean subsidiaries.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pPr>
      <w:r>
        <w:rPr>
          <w:rFonts w:ascii="Times New Roman;serif" w:hAnsi="Times New Roman;serif"/>
          <w:b/>
          <w:i/>
          <w:color w:val="000000"/>
          <w:sz w:val="20"/>
        </w:rPr>
        <w:t>Provision for income taxes</w:t>
      </w:r>
      <w:r>
        <w:rPr>
          <w:color w:val="000000"/>
        </w:rPr>
        <w:t xml:space="preserve"> </w:t>
      </w:r>
      <w:r>
        <w:rPr>
          <w:rFonts w:ascii="Times New Roman;serif" w:hAnsi="Times New Roman;serif"/>
          <w:b w:val="false"/>
          <w:color w:val="000000"/>
          <w:sz w:val="20"/>
        </w:rPr>
        <w:t>- Income tax expense for both periods was insignificant. The effective tax rates during both periods were impacted by valuation allowances of $0.8 million and $4.3 million, respectively, placed on deferred tax assets generated during the quarters. We placed a valuation allowance on our deferred tax assets due to the existence of a cumulative loss over a three-year period. Currently, we place valuation allowances on newly generated deferred tax assets. We will realize the benefit associated with the deferred tax assets for which the valuation allowance has been provided as we generate taxable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 by Business Segment</w:t>
      </w:r>
    </w:p>
    <w:tbl>
      <w:tblPr>
        <w:tblW w:w="10205" w:type="dxa"/>
        <w:jc w:val="left"/>
        <w:tblInd w:w="0" w:type="dxa"/>
        <w:tblLayout w:type="fixed"/>
        <w:tblCellMar>
          <w:top w:w="28" w:type="dxa"/>
          <w:left w:w="28" w:type="dxa"/>
          <w:bottom w:w="28" w:type="dxa"/>
          <w:right w:w="28" w:type="dxa"/>
        </w:tblCellMar>
      </w:tblPr>
      <w:tblGrid>
        <w:gridCol w:w="1064"/>
        <w:gridCol w:w="860"/>
        <w:gridCol w:w="861"/>
        <w:gridCol w:w="287"/>
        <w:gridCol w:w="276"/>
        <w:gridCol w:w="687"/>
        <w:gridCol w:w="134"/>
        <w:gridCol w:w="134"/>
        <w:gridCol w:w="134"/>
        <w:gridCol w:w="260"/>
        <w:gridCol w:w="276"/>
        <w:gridCol w:w="687"/>
        <w:gridCol w:w="134"/>
        <w:gridCol w:w="134"/>
        <w:gridCol w:w="134"/>
        <w:gridCol w:w="427"/>
        <w:gridCol w:w="415"/>
        <w:gridCol w:w="418"/>
        <w:gridCol w:w="134"/>
        <w:gridCol w:w="134"/>
        <w:gridCol w:w="134"/>
        <w:gridCol w:w="560"/>
        <w:gridCol w:w="490"/>
        <w:gridCol w:w="1431"/>
      </w:tblGrid>
      <w:tr>
        <w:trPr/>
        <w:tc>
          <w:tcPr>
            <w:tcW w:w="106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v 2025</w:t>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Dollars in thousands</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Favorable (Unfavorable)</w:t>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320,932</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269,800</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51,132</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209,870</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175,664</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34,206</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98,299</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107,445</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2481" w:type="dxa"/>
            <w:gridSpan w:val="3"/>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revenue</w:t>
            </w:r>
            <w:r>
              <w:rPr>
                <w:color w:val="000000"/>
              </w:rPr>
              <w:t xml:space="preserve"> </w:t>
            </w:r>
            <w:r>
              <w:rPr>
                <w:rFonts w:ascii="Times New Roman;serif" w:hAnsi="Times New Roman;serif"/>
                <w:b w:val="false"/>
                <w:color w:val="000000"/>
                <w:sz w:val="13"/>
              </w:rPr>
              <w:t>(1)</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629,101</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552,909</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76,192</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Total revenues are net of inter-segment revenues which are primarily Storage and Terminal Solutions and were $3.0 million for the nine months ended March 31, 2026.</w:t>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(loss)</w:t>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19,023</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15,700</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11,921</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6,126</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44,470</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31,555</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12,915</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w:t>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 %</w:t>
            </w:r>
          </w:p>
        </w:tc>
        <w:tc>
          <w:tcPr>
            <w:tcW w:w="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13,249</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23659 </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(21,172)</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(20,978)</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loss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(8,727)</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(22,161)</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13,434</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Storage and Terminal Solutions</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Storage and Terminal Solutions revenues increased by $51.1 million, or 19%, in the nine months ended March 31, 2026 compared to the same period last year, driven by increased volume of work for specialty storage projects. </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Storage and Terminal Solutions gross profit increased by $3.3 million, or 21%, in the nine months ended March 31, 2026 compared to the same period last year. The segment gross margin was 5.9% for the nine months ended March 31, 2026 compared to segment gross margin of 5.8% in the same period last year. During the second and third quarter of fiscal 2026, costs associated with warranty-type items and third-party commercial matters arising during commissioning of specialty tank work resulted in a $3.6 million and a $2.6 million reduction of gross profit, respectively. The impact of this work was offset by strong project execution across the remainder of the segment.</w:t>
      </w:r>
    </w:p>
    <w:p>
      <w:pPr>
        <w:pStyle w:val="TextBody"/>
        <w:bidi w:val="0"/>
        <w:spacing w:lineRule="auto" w:line="268" w:before="180" w:after="283"/>
        <w:jc w:val="both"/>
        <w:rPr>
          <w:rFonts w:ascii="Times New Roman;serif" w:hAnsi="Times New Roman;serif"/>
          <w:b/>
          <w:i/>
          <w:color w:val="000000"/>
          <w:sz w:val="20"/>
        </w:rPr>
      </w:pPr>
      <w:r>
        <w:rPr>
          <w:rFonts w:ascii="Times New Roman;serif" w:hAnsi="Times New Roman;serif"/>
          <w:b/>
          <w:i/>
          <w:color w:val="000000"/>
          <w:sz w:val="20"/>
        </w:rPr>
        <w:t>Utility and Power Infrastructure</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Utility and Power Infrastructure revenues increased by $34.2 million, or 19%, in the nine months ended March 31, 2026 compared to the same period last year. The increase is primarily attributable to higher volumes of work for LNG peak shaving projects and power delivery work.</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Utility and Power Infrastructure gross profit increased by $11.9 million, or 116%, in the nine months ended March 31, 2026 compared to the same period last year. The segment gross margin was 10.6% for the nine months ended March 31, 2026 compared to 5.8% in the same period last year due to strong project execution and improved construction overhead cost absorption as a result of higher revenues.</w:t>
      </w:r>
    </w:p>
    <w:p>
      <w:pPr>
        <w:pStyle w:val="TextBody"/>
        <w:bidi w:val="0"/>
        <w:spacing w:lineRule="auto" w:line="268" w:before="180" w:after="283"/>
        <w:jc w:val="both"/>
        <w:rPr>
          <w:rFonts w:ascii="Times New Roman;serif" w:hAnsi="Times New Roman;serif"/>
          <w:b/>
          <w:i/>
          <w:color w:val="000000"/>
          <w:sz w:val="20"/>
        </w:rPr>
      </w:pPr>
      <w:r>
        <w:rPr>
          <w:rFonts w:ascii="Times New Roman;serif" w:hAnsi="Times New Roman;serif"/>
          <w:b/>
          <w:i/>
          <w:color w:val="000000"/>
          <w:sz w:val="20"/>
        </w:rPr>
        <w:t>Process and Industrial Facilities</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Process and Industrial Facilities revenues decreased by $9.1 million, or 9%, in the nine months ended March 31, 2026 compared to the same period last year. The decrease is primarily attributable to lower revenue volumes for thermal vacuum chambers and industrial facilities, partially offset by higher volumes of refinery work.</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Process and Industrial gross profit decreased by $2.6 million, or 42%, in the nine months ended March 31, 2026 compared to the same period last year. The segment gross margin was 3.6% for the nine months ended March 31, 2026 compared to segment gross margin of 5.7% in the same period last year. Improved overhead cost absorption associated with reallocation of resources to other segments was partially offset by reductions in gross margin due to mix of work. Additionally, the settlement of a legal matter reduced gross margin during the third quarter of fiscal 2026 by $1.1 million. See Part I, Item 1. Financial Statements (Unaudited), Note 6 - Commitments and Contingencies, for more details.</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assess liquidity based on the ongoing ability to pay our liabilities as they become due, fund business operations and meet all monetary contractual obligations. Our primary sources of liquidity at March 31, 2026 were unrestricted cash and cash equivalents on hand, capacity under our ABL Facility, and cash generated from operations. Our primary operational uses of capital are expenditures required to execute our projects, fund business operations and fulfill our contractual obligations. We believe that for at least the next 12 months, our cash position, anticipated cash generated by operating activities, along with our availability under the ABL Facility, is sufficient to support our operating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Unrestricted cash and cash equivalents at March 31, 2026 totaled $233.0 million and availability under the ABL Facility totaled $64.2 million, resulting in total liquidity of $297.2 million. During the third quarter of fiscal 2026, liquidity increased $39.6 million primarily as a result of changes in working capital. During the nine months ended March 31, 2026, liquidity increased by $12.7 million primarily as a result of changes in working capital.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restricted cash and unrestricted cash in the Consolidated Balance Sheets to the total cash, cash equivalents and restricted cash shown in the Consolidated Statements of Cash Flows, as well as availability and total liquidity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9881" w:type="dxa"/>
        <w:jc w:val="center"/>
        <w:tblInd w:w="0" w:type="dxa"/>
        <w:tblLayout w:type="fixed"/>
        <w:tblCellMar>
          <w:top w:w="28" w:type="dxa"/>
          <w:left w:w="28" w:type="dxa"/>
          <w:bottom w:w="28" w:type="dxa"/>
          <w:right w:w="28" w:type="dxa"/>
        </w:tblCellMar>
      </w:tblPr>
      <w:tblGrid>
        <w:gridCol w:w="1428"/>
        <w:gridCol w:w="1254"/>
        <w:gridCol w:w="126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ABL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changes in our liquidity for the three months ended March 31, 2026 (in thousands):</w:t>
      </w:r>
    </w:p>
    <w:tbl>
      <w:tblPr>
        <w:tblW w:w="4790" w:type="dxa"/>
        <w:jc w:val="center"/>
        <w:tblInd w:w="0" w:type="dxa"/>
        <w:tblLayout w:type="fixed"/>
        <w:tblCellMar>
          <w:top w:w="28" w:type="dxa"/>
          <w:left w:w="28" w:type="dxa"/>
          <w:bottom w:w="28" w:type="dxa"/>
          <w:right w:w="28" w:type="dxa"/>
        </w:tblCellMar>
      </w:tblPr>
      <w:tblGrid>
        <w:gridCol w:w="1303"/>
        <w:gridCol w:w="1144"/>
        <w:gridCol w:w="1152"/>
        <w:gridCol w:w="211"/>
        <w:gridCol w:w="826"/>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Liquidity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availability under ABL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Liquidity at March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changes in our liquidity for the nine months ended March 31, 2026 (in thousands):</w:t>
      </w:r>
    </w:p>
    <w:tbl>
      <w:tblPr>
        <w:tblW w:w="4790" w:type="dxa"/>
        <w:jc w:val="center"/>
        <w:tblInd w:w="0" w:type="dxa"/>
        <w:tblLayout w:type="fixed"/>
        <w:tblCellMar>
          <w:top w:w="28" w:type="dxa"/>
          <w:left w:w="28" w:type="dxa"/>
          <w:bottom w:w="28" w:type="dxa"/>
          <w:right w:w="28" w:type="dxa"/>
        </w:tblCellMar>
      </w:tblPr>
      <w:tblGrid>
        <w:gridCol w:w="1303"/>
        <w:gridCol w:w="1145"/>
        <w:gridCol w:w="1151"/>
        <w:gridCol w:w="211"/>
        <w:gridCol w:w="826"/>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Liquidity at June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availability under ABL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by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Liquidity at March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Factors that routinely impact our short-term liquidity and may impact our long-term liquidity include, but are not limited to:</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changes in costs and estimated earnings in excess of billings on uncompleted contracts and billings on uncompleted contracts in excess of costs due to contract terms that determine the timing of billings to customers and the collection of those billings: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some fixed-price customer contracts allow for significant upfront billings at the beginning of a project, which increases liquidity near term;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some cost-plus and fixed-price customer contracts are billed based on milestones which may increase or decrease liquidity in the near term depending on the timing of when we incur significant expenditures and when we collect from our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time and material contracts are normally billed in arrears. Therefore, we are routinely required to carry these costs until they can be billed and collected;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some of our large construction projects may require security in the form of significant retentions. Retentions are normally held until certain contractual milestones are achieved; therefore, collection may extend beyond one year;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mix of work can impact liquidity. In periods where fixed-price contracts comprise a larger portion of revenue, liquidity may increase depending on the timing of the billing schedule in relation to project cash outflows. In periods where time and material contracts comprise a larger portion of revenue, liquidity may decrease;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other changes in working capital, including the timing of tax payments and refunds;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release of contract retentions,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capital expenditures.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factors that may impact both short and long-term liquidity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contract disputes;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collection issues, including those caused by weak commodity prices, economic slowdowns or other factors which can lead to credit deterioration of our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borrowing constraints under our ABL Facility and maintaining compliance with all covenants contained in the ABL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letters of credit. We have certain contracts with customers, and may have future contracts, that permit the customer to obtain, at the customer's expense, letters of credit as a form of security under the contract. Letters of credit reduce our borrowing availability under the Company's ABL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acquisitions and disposals of businesses or assets;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purchases of shares under our stock buyback program.</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ABL Credit Facility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an asset-based credit agreement, which was most recently amended on August 22, 2025 (as amended, the "ABL Facility"), with Bank of Montreal, as Administrative Agent, Swing Line Lender and a Letter of Credit Issuer.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under the ABL Facility. The ABL Facility matures, and any outstanding amounts become due and payable, on September 9, 2029.</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borrowing base is recalculated on a monthly basis and at March 31, 2026, our borrowing base was $68.6 million. We had no borrowings outstanding and $4.4 million in letters of credit outstanding, which resulted in availability of $64.2 million under the ABL Facility. For additional information regarding our ABL Facility, see Item I of Part I, "Financial Statements - Note 4 - Debt."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CASH FLOW ANALYSIS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changes in cash flow activities for the periods indicated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6788" w:type="dxa"/>
        <w:jc w:val="left"/>
        <w:tblInd w:w="0" w:type="dxa"/>
        <w:tblLayout w:type="fixed"/>
        <w:tblCellMar>
          <w:top w:w="28" w:type="dxa"/>
          <w:left w:w="28" w:type="dxa"/>
          <w:bottom w:w="28" w:type="dxa"/>
          <w:right w:w="28" w:type="dxa"/>
        </w:tblCellMar>
      </w:tblPr>
      <w:tblGrid>
        <w:gridCol w:w="1492"/>
        <w:gridCol w:w="1314"/>
        <w:gridCol w:w="1318"/>
        <w:gridCol w:w="211"/>
        <w:gridCol w:w="826"/>
        <w:gridCol w:w="109"/>
        <w:gridCol w:w="109"/>
        <w:gridCol w:w="109"/>
        <w:gridCol w:w="109"/>
        <w:gridCol w:w="211"/>
        <w:gridCol w:w="826"/>
        <w:gridCol w:w="154"/>
      </w:tblGrid>
      <w:tr>
        <w:trPr/>
        <w:tc>
          <w:tcPr>
            <w:tcW w:w="149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Provided by Operating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components of cash flows provided by operating activities for the periods indicated (in thousands): </w:t>
      </w:r>
    </w:p>
    <w:tbl>
      <w:tblPr>
        <w:tblW w:w="7178" w:type="dxa"/>
        <w:jc w:val="center"/>
        <w:tblInd w:w="0" w:type="dxa"/>
        <w:tblLayout w:type="fixed"/>
        <w:tblCellMar>
          <w:top w:w="28" w:type="dxa"/>
          <w:left w:w="28" w:type="dxa"/>
          <w:bottom w:w="28" w:type="dxa"/>
          <w:right w:w="28" w:type="dxa"/>
        </w:tblCellMar>
      </w:tblPr>
      <w:tblGrid>
        <w:gridCol w:w="1683"/>
        <w:gridCol w:w="1469"/>
        <w:gridCol w:w="1497"/>
        <w:gridCol w:w="211"/>
        <w:gridCol w:w="721"/>
        <w:gridCol w:w="109"/>
        <w:gridCol w:w="109"/>
        <w:gridCol w:w="109"/>
        <w:gridCol w:w="109"/>
        <w:gridCol w:w="211"/>
        <w:gridCol w:w="796"/>
        <w:gridCol w:w="154"/>
      </w:tblGrid>
      <w:tr>
        <w:trPr/>
        <w:tc>
          <w:tcPr>
            <w:tcW w:w="168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impairment due to restructuring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effect of changes in operating assets and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significant components of the $5.1 million change in operating assets and liabilities for the nine months ended March 31, 2026 are summarized as follows: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Accounts receivable, excluding credit losses recognized during the period and including retention amounts classified as non-current, increased by $16.0 million which decreased cash flows from operating activities. The increases are primarily attributable to the timing of billing and collections.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Costs and estimated earnings in excess of billings on uncompleted contracts ("CIE") decreased $4.8 million which increased cash flows from operating activities. Billings on uncompleted contracts in excess of costs and estimated earnings ("BIE") increased $17.1 million which increased cash flows from operating activities. CIE and BIE balances can experience significant fluctuations based on business volumes and the timing of when job costs are incurred and the timing of customer billings and payments. Some fixed-price customer contracts allow for significant upfront billings at the beginning of a project, which increases liquidity near-term.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Accounts payable increased by $9.2 million which increased cash flows from operating activities. These operating liabilities can fluctuate based on business volumes; the timing of vendor payments; accruals; and other timing differences.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other operating assets and liabilities decreased cash flows from operating activities by $10.0 million. These operating assets and liabilities can fluctuate based on business volumes and timing of certain cash receipts and payments. Additionally, we generally prepay our annual insurance premiums in the first quarter of the fiscal year.</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significant components of the $80.7 million change in operating assets and liabilities for the nine months ended March 31, 2025 are summarized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Accounts receivable, excluding credit losses recognized during the period and including retention amounts classified as non-current, increased by $88.8 million which decreased cash flows from operating activities. The increases are primarily attributable to the timing of billing and collections.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Costs and estimated earnings in excess of billings on uncompleted contracts ("CIE") increased $4.7 million which decreased cash flows from operating activities. Billings on uncompleted contracts in excess of costs and estimated earnings ("BIE") increased $161.3 million which increased cash flows from operating activities. CIE and BIE balances can experience significant fluctuations based on business volumes and the timing of when job costs are incurred and the timing of customer billings and payments. Some fixed-price customer contracts allow for significant upfront billings at the beginning of a project, which increases liquidity near-term.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Accounts payable increased by $13.0 million which increased cash flows from operating activities. These operating liabilities can fluctuate based on business volumes; the timing of vendor payments; accruals; and other timing differences.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other operating assets and liabilities decreased cash flows from operating activities by $0.1 million. These operating assets and liabilities can fluctuate based on business volumes and timing of certain cash receipts and payments. Additionally, we generally prepay our annual insurance premiums in the first quarter of the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40" w:after="283"/>
        <w:jc w:val="left"/>
        <w:rPr>
          <w:rFonts w:ascii="Times New Roman;serif" w:hAnsi="Times New Roman;serif"/>
          <w:b/>
          <w:i/>
          <w:color w:val="000000"/>
          <w:sz w:val="20"/>
        </w:rPr>
      </w:pPr>
      <w:r>
        <w:rPr>
          <w:rFonts w:ascii="Times New Roman;serif" w:hAnsi="Times New Roman;serif"/>
          <w:b/>
          <w:i/>
          <w:color w:val="000000"/>
          <w:sz w:val="20"/>
        </w:rPr>
        <w:t>Cash Flows Used by Investing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Investing activities used $2.6 million and $5.2 million of cash in the nine months ended March 31, 2026 and 2025, respectively. Capital expenditures were $4.1 million and $5.4 million in the nine months ended March 31, 2026 and 2025, respectively. During the nine months ended March 31, 2026, we also received $1.5 million of proceeds from the sale of property plant and equipment, primarily associated with our transmission and distribution service line, which we began winding down in the fourth quarter of fiscal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Flows Used by Financing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Financing activities used $4.2 million and $1.1 million of cash in the nine months ended March 31, 2026 and 2025, respectively, primarily due to payments of $4.2 million and $1.2 million, respectively, to satisfy tax withholding obligations associated with stock-based compensation.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the three months ended March 31, 2026 and have no current plans to repurchase stock. As of March 31, 2026, there were 1,349,037 shares available for repurchase under the Stock Buyback Program. The terms of our ABL Facility limit share repurchases to $2.5 million per fiscal year provided that we meet certain availability thresholds and do not violate our Fixed Charge Coverage Ratio financial covenant.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Off-Balance Sheet Arrangements and Other Commitments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enter into certain off-balance sheet arrangements in the ordinary course of business that result in risks not directly reflected on our balance sheet. The following represents transactions, obligations or relationships that could be considered material off-balance sheet arrangements.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Surety Bonds</w:t>
      </w:r>
      <w:r>
        <w:rPr>
          <w:rFonts w:ascii="Times New Roman;serif" w:hAnsi="Times New Roman;serif"/>
          <w:b w:val="false"/>
          <w:color w:val="000000"/>
          <w:sz w:val="20"/>
        </w:rPr>
        <w:t>: The terms of our construction contracts frequently require that we obtain from surety companies, and provide to our customers, surety bonds as a condition to the award of such contracts. These surety bonds are issued in return for premiums, which vary depending on the size and type of the bond, and secure our payment and performance obligations under such contracts. We have agreed to indemnify the surety companies for amounts, if any, paid by them in respect of surety bonds issued on our behalf. Surety bonds expire at various times ranging from final completion of a project to a period extending beyond contract completion in certain circumstances. Such amounts can also fluctuate from period to period based upon the mix and level of our bonded operating activity. As of March 31, 2026, there were $286.9 million of surety bonds in force, of which we expect $269.9 million to expire within the next 12 months. Of the bonds in force, $265.4 million related to performance bonds for ongoing projects and the remainder related to contractor licensing, liens, and other bonds. We are not aware of any losses in connection with surety bonds that have been posted on our behalf, and we do not expect to incur significant losses in the foreseeable future.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Multiemployer pension plan</w:t>
      </w:r>
      <w:r>
        <w:rPr>
          <w:rFonts w:ascii="Times New Roman;serif" w:hAnsi="Times New Roman;serif"/>
          <w:b w:val="false"/>
          <w:color w:val="000000"/>
          <w:sz w:val="20"/>
        </w:rPr>
        <w:t>s: We contribute to a number of multiemployer defined benefit pension plans in the U.S. and Canada under the terms of collective-bargaining agreements that cover our union-represented employees, who are represented by more than 100 local unions. Benefits under these plans are generally based on compensation levels and years of service. Under federal legislation regarding multiemployer pension plans, in the event of a withdrawal from a plan or plan termination, companies are required to continue funding their proportionate share of such plan’s unfunded vested benefits. Withdrawal liabilities or requirements for increased future contributions could negatively impact our results of operations and liquidity. For more information on our Multiemployer pension plans, see Part II, Item 8 “Note 12 - Employee Benefit Plans” of our Annual Report on Form 10-K for the year ended June 30, 2025.</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Letters of credit:</w:t>
      </w:r>
      <w:r>
        <w:rPr>
          <w:color w:val="000000"/>
        </w:rPr>
        <w:t xml:space="preserve"> </w:t>
      </w:r>
      <w:r>
        <w:rPr>
          <w:rFonts w:ascii="Times New Roman;serif" w:hAnsi="Times New Roman;serif"/>
          <w:b w:val="false"/>
          <w:color w:val="000000"/>
          <w:sz w:val="20"/>
        </w:rPr>
        <w:t xml:space="preserve">We issue letters of credit under our ABL Facility in the normal course of business to support workers' compensation insurance programs or certain construction contracts. As of March 31, 2026, we had $4.4 million of letters of credit outstanding. The letters of credit that support our workers’ compensation insurance programs are expected to renew annually through the term of our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critical accounting policies and estimates from those reported in our fiscal 2025 Annual Report on Form 10-K filed with the SEC. For more information on our critical accounting policies and estimates, see Part II, Item 7 of our fiscal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market risk faced by us from those reported in our Annual Report on Form 10-K for the fiscal year ended June 30, 2025, filed with the Securities and Exchange Commission. For more information on market risk, see Part II, Item 7A in our fiscal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our management, including our Chief Executive Officer and our Chief Financial Officer, of the effectiveness of the design and operation of our disclosure controls and procedures as of March 31, 2026. Based on the foregoing, our Chief Executive Officer and Chief Financial Officer concluded that our disclosure controls and procedures were effective at the reasonable assurance level at March 31,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controls over financial reporting that have materially affected, or are reasonably likely to materially affect our internal controls over financial reporting during the quarter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are a party to a number of legal proceedings. See Part I., Item 1. Financial Statements, Note 6 - Commitments and Contingencies, Litigation, for a description of our material ongoing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in our Risk Factors from those reported in Item 1A of Part I of our Annual Report on Form 10-K for the fiscal year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may repurchase common stock pursuant to the Stock Buyback Program, which was approved by the board of directors in November 2018. Under the program, the aggregate number of shares repurchased may not exceed 2,707,175 shares. As of March 31, 2026, 1,349,037 shares were available for repurchase under the stock buyback program. We may repurchase our stock from time to time in the open market at prevailing market prices or in privately negotiated transactions and are not obligated to purchase any shares. The program will continue unless and until it is modified or revoked by the Board of Directors. The terms of our ABL Facility also limit share repurchases to $2.5 million per fiscal year provided that we meet certain availability thresholds and we do not violate our Fixed Charge Coverage Ratio financial covenant. We made no repurchases under the stock buyback program in the third quarter of fiscal 2026 and have no current plans to repurchase stock.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Information concerning mine safety violations or other regulatory matters required to be disclosed in this quarterly report under Section 1503(a) of the Dodd-Frank Act and Item 104 of Regulation S-K is included in Exhibit 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180" w:after="283"/>
        <w:jc w:val="both"/>
        <w:rPr>
          <w:rFonts w:ascii="Times New Roman;serif" w:hAnsi="Times New Roman;serif"/>
          <w:b/>
          <w:i/>
          <w:color w:val="000000"/>
          <w:sz w:val="20"/>
        </w:rPr>
      </w:pPr>
      <w:r>
        <w:rPr>
          <w:rFonts w:ascii="Times New Roman;serif" w:hAnsi="Times New Roman;serif"/>
          <w:b/>
          <w:i/>
          <w:color w:val="000000"/>
          <w:sz w:val="20"/>
        </w:rPr>
        <w:t>Trading Arrangements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February 16, 2026, Mr. Kevin S. Cavanah, our Vice President and Chief Financial Officer, entered into a trading plan with his broker intended to satisfy the affirmative defense conditions of Rule 10b5-1 under the Securities and Exchange Act of 1934 (“Rule 10b5-1 Trading Plan”). The Rule 10b5-1 Trading Plan allows Mr. Cavanah to sell up to 120,000 shares of Matrix Service Company common stock. Mr. Cavanah’s Rule 10b5-1 Trading Plan expires upon the earlier of October 1, 2027 or the date all trades pursuant to such trading plan are executed.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Amended and Restated Bylaws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May 5, 2026, the Board of Directors of the Company amended and restated the Company’s Amended and Restated Bylaws (as so amended and restated, the “Amended and Restated Bylaws”), which became effective immediately. The Amended and Restated Bylaws enhance clarity and effect technical and administrative changes to conform to changes in the Delaware General Corporation Law (the “DGCL”). The amendments effected by the Amended and Restated Bylaws, among other things: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modify certain provisions to reflect and conform to changes in the DGCL, including, those relating to the stock ledger available to stockholders prior to a meeting of stockholders and waiver of notice of a meeting;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clarify that the vote of the holders of a majority of the issued and outstanding voting stock present in person or represented by proxy and entitled to vote on the matter shall decide any matter brought before a meeting of stockholders, except as provided to the contrary by the DGCL, the Company’s Certificate of Incorporation or the Amended and Restated Bylaws;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modify the list of required and discretionary officers of the Company and the respective duties and authority of such officers;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eliminate as redundant with disclosure rules the requirement that the Board present certain information regarding the business and condition of the Company at any stockholder meeting;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incorporate certain ministerial and conforming changes to provide clarification and consistency.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summary of the Amended and Restated Bylaws does not purport to be a complete description and is qualified in its entirety by reference to the full text of the Amended and Restated Bylaws, a copy of which is filed as Exhibit 3.2 to this filing and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 Exhibits:</w:t>
      </w:r>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documents are included as exhibits to this Quarterly Report on Form 10-Q. Any exhibits below incorporated by reference herein are indicated as such by the information supplied in the parenthetical hereafter.</w:t>
      </w:r>
    </w:p>
    <w:tbl>
      <w:tblPr>
        <w:tblW w:w="10205" w:type="dxa"/>
        <w:jc w:val="left"/>
        <w:tblInd w:w="0" w:type="dxa"/>
        <w:tblLayout w:type="fixed"/>
        <w:tblCellMar>
          <w:top w:w="28" w:type="dxa"/>
          <w:left w:w="28" w:type="dxa"/>
          <w:bottom w:w="28" w:type="dxa"/>
          <w:right w:w="28" w:type="dxa"/>
        </w:tblCellMar>
      </w:tblPr>
      <w:tblGrid>
        <w:gridCol w:w="515"/>
        <w:gridCol w:w="454"/>
        <w:gridCol w:w="411"/>
        <w:gridCol w:w="109"/>
        <w:gridCol w:w="109"/>
        <w:gridCol w:w="109"/>
        <w:gridCol w:w="2573"/>
        <w:gridCol w:w="2446"/>
        <w:gridCol w:w="3479"/>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trx-bylawsmay52026.htm">
              <w:r>
                <w:rPr>
                  <w:rStyle w:val="InternetLink"/>
                  <w:rFonts w:ascii="Times New Roman;serif" w:hAnsi="Times New Roman;serif"/>
                  <w:b w:val="false"/>
                  <w:color w:val="000080"/>
                  <w:sz w:val="20"/>
                  <w:u w:val="single"/>
                </w:rPr>
                <w:t xml:space="preserve">Amended and Restated Bylaws, effective as of </w:t>
              </w:r>
            </w:hyperlink>
            <w:hyperlink w:anchor="mtrx-bylawsmay52026.htm">
              <w:r>
                <w:rPr>
                  <w:rStyle w:val="InternetLink"/>
                  <w:rFonts w:ascii="Times New Roman;serif" w:hAnsi="Times New Roman;serif"/>
                  <w:b w:val="false"/>
                  <w:color w:val="000080"/>
                  <w:sz w:val="20"/>
                  <w:u w:val="single"/>
                </w:rPr>
                <w:t xml:space="preserve">May </w:t>
              </w:r>
            </w:hyperlink>
            <w:hyperlink w:anchor="mtrx-bylawsmay52026.htm">
              <w:r>
                <w:rPr>
                  <w:rStyle w:val="InternetLink"/>
                  <w:rFonts w:ascii="Times New Roman;serif" w:hAnsi="Times New Roman;serif"/>
                  <w:b w:val="false"/>
                  <w:color w:val="000080"/>
                  <w:sz w:val="20"/>
                  <w:u w:val="single"/>
                </w:rPr>
                <w:t>5</w:t>
              </w:r>
            </w:hyperlink>
            <w:hyperlink w:anchor="mtrx-bylawsmay52026.htm">
              <w:r>
                <w:rPr>
                  <w:rStyle w:val="InternetLink"/>
                  <w:rFonts w:ascii="Times New Roman;serif" w:hAnsi="Times New Roman;serif"/>
                  <w:b w:val="false"/>
                  <w:color w:val="000080"/>
                  <w:sz w:val="20"/>
                  <w:u w:val="single"/>
                </w:rPr>
                <w:t>, 202</w:t>
              </w:r>
            </w:hyperlink>
            <w:hyperlink w:anchor="mtrx-bylawsmay52026.htm">
              <w:r>
                <w:rPr>
                  <w:rStyle w:val="InternetLink"/>
                  <w:rFonts w:ascii="Times New Roman;serif" w:hAnsi="Times New Roman;serif"/>
                  <w:b w:val="false"/>
                  <w:color w:val="000080"/>
                  <w:sz w:val="20"/>
                  <w:u w:val="single"/>
                </w:rPr>
                <w:t>6</w:t>
              </w:r>
            </w:hyperlink>
            <w:hyperlink w:anchor="mtrx-bylawsmay52026.htm">
              <w:r>
                <w:rPr>
                  <w:rStyle w:val="InternetLink"/>
                  <w:rFonts w:ascii="Times New Roman;serif" w:hAnsi="Times New Roman;serif"/>
                  <w:b w:val="false"/>
                  <w:color w:val="000080"/>
                  <w:sz w:val="20"/>
                  <w:u w:val="single"/>
                </w:rPr>
                <w:t>.</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mtrxx2026x03x31x.htm">
              <w:r>
                <w:rPr>
                  <w:rStyle w:val="InternetLink"/>
                  <w:rFonts w:ascii="Times New Roman;serif" w:hAnsi="Times New Roman;serif"/>
                  <w:b w:val="false"/>
                  <w:color w:val="0000FF"/>
                  <w:sz w:val="20"/>
                  <w:u w:val="single"/>
                </w:rPr>
                <w:t>Certification Pursuant to Section 302 of Sarbanes-Oxley Act of 2002 – CEO.</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mtrxx2026x03x31x.htm">
              <w:r>
                <w:rPr>
                  <w:rStyle w:val="InternetLink"/>
                  <w:rFonts w:ascii="Times New Roman;serif" w:hAnsi="Times New Roman;serif"/>
                  <w:b w:val="false"/>
                  <w:color w:val="0000FF"/>
                  <w:sz w:val="20"/>
                  <w:u w:val="single"/>
                </w:rPr>
                <w:t>Certification Pursuant to Section 302 of Sarbanes-Oxley Act of 2002 – CFO.</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mtrxx2026x03x31x.htm">
              <w:r>
                <w:rPr>
                  <w:rStyle w:val="InternetLink"/>
                  <w:rFonts w:ascii="Times New Roman;serif" w:hAnsi="Times New Roman;serif"/>
                  <w:b w:val="false"/>
                  <w:color w:val="0000FF"/>
                  <w:sz w:val="20"/>
                  <w:u w:val="single"/>
                </w:rPr>
                <w:t>Certification Pursuant to 18 U.S.C. 1350 (section 906 of Sarbanes-Oxley Act of 2002) – CEO.</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mtrxx2026x03x31x.htm">
              <w:r>
                <w:rPr>
                  <w:rStyle w:val="InternetLink"/>
                  <w:rFonts w:ascii="Times New Roman;serif" w:hAnsi="Times New Roman;serif"/>
                  <w:b w:val="false"/>
                  <w:color w:val="0000FF"/>
                  <w:sz w:val="20"/>
                  <w:u w:val="single"/>
                </w:rPr>
                <w:t>Certification Pursuant to 18 U.S.C. 1350 (section 906 of Sarbanes-Oxley Act of 2002) – CFO.</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5-mtrxx2026x03x31x.htm">
              <w:r>
                <w:rPr>
                  <w:rStyle w:val="InternetLink"/>
                  <w:rFonts w:ascii="Times New Roman;serif" w:hAnsi="Times New Roman;serif"/>
                  <w:b w:val="false"/>
                  <w:color w:val="0000FF"/>
                  <w:sz w:val="20"/>
                  <w:u w:val="single"/>
                </w:rPr>
                <w:t>Mine Safety Disclosure.</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Schema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Labels Linkbase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18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3cdce0098d24415932c71a1a801d04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702"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453"/>
        <w:gridCol w:w="1453"/>
        <w:gridCol w:w="205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MATRIX SERVICE COMPANY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Kevin S. Cavanah</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Kevin S. Cavanah </w:t>
              <w:br/>
              <w:t>Vice President and 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 xml:space="preserve">AMENDED AND RESTATED </w:t>
        <w:br/>
        <w:t xml:space="preserve">BYLAWS </w:t>
        <w:br/>
        <w:t xml:space="preserve">OF </w:t>
        <w:br/>
        <w:t>MATRIX SERVICE COMPANY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(Effective May 5, 2026)</w:t>
      </w:r>
    </w:p>
    <w:p>
      <w:pPr>
        <w:pStyle w:val="TextBody"/>
        <w:bidi w:val="0"/>
        <w:spacing w:lineRule="auto" w:line="240" w:before="0" w:after="240"/>
        <w:jc w:val="center"/>
        <w:rPr/>
      </w:pPr>
      <w:r>
        <w:rPr>
          <w:rFonts w:ascii="Times New Roman;serif" w:hAnsi="Times New Roman;serif"/>
          <w:b/>
          <w:color w:val="000000"/>
          <w:sz w:val="24"/>
        </w:rPr>
        <w:t>Article I</w:t>
      </w:r>
      <w:r>
        <w:rPr>
          <w:rFonts w:ascii="Times New Roman;serif" w:hAnsi="Times New Roman;serif"/>
          <w:b/>
          <w:color w:val="000000"/>
          <w:sz w:val="24"/>
        </w:rPr>
        <w:br/>
        <w:br/>
        <w:t>OFFICES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The registered office of Matrix Service Company (the “Corporation”) shall be as set forth in the Certificate of Incorporation of the Corporation (the “Certificate of Incorporation”).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rPr>
        <w:t>The Corporation may also have offices at such other places both within and without the state of Delaware as the Board of Directors may from time to time determine or the business of the Corporation may require.</w:t>
      </w:r>
    </w:p>
    <w:p>
      <w:pPr>
        <w:pStyle w:val="TextBody"/>
        <w:bidi w:val="0"/>
        <w:spacing w:lineRule="auto" w:line="240" w:before="0" w:after="240"/>
        <w:jc w:val="center"/>
        <w:rPr/>
      </w:pPr>
      <w:r>
        <w:rPr>
          <w:rFonts w:ascii="Times New Roman;serif" w:hAnsi="Times New Roman;serif"/>
          <w:b/>
          <w:color w:val="000000"/>
          <w:sz w:val="24"/>
        </w:rPr>
        <w:t>Article II</w:t>
      </w:r>
      <w:r>
        <w:rPr>
          <w:rFonts w:ascii="Times New Roman;serif" w:hAnsi="Times New Roman;serif"/>
          <w:b/>
          <w:color w:val="000000"/>
          <w:sz w:val="24"/>
        </w:rPr>
        <w:br/>
        <w:br/>
        <w:t>MEETINGS OF STOCKHOLDERS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All meetings of the stockholders for the election of Directors shall be held at such place, if any, as may be fixed from time to time by the Board of Directors and stated in the notice of the meeting. Meetings of stockholders for any other purpose may be held at such time and place, if any, within or without the State of Delaware, as shall be stated in the notice of the meeting or in a duly executed waiver of notice thereof. The Board of Directors may, in its sole discretion, determine that a meeting shall not be held at any place, but shall instead be held solely by means of remote communication in accordance with Section 211(a) of the Delaware General Corporation Law. The Board of Directors may, at any time prior to holding an annual or special meeting of stockholders, and for any reason, cancel, reschedule or postpone any previously scheduled annual or special meeting.</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Annual Meetings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rPr>
        <w:t>Annual meetings of stockholders shall be held on such date and at such time as shall be designated from time to time by the Board of Directors and stated in the notice of the meeting. At the annual meeting, the stockholders shall elect Directors pursuant to Article III of these Bylaws, and transact such other business as may properly be brought before the meeting. Subject to the rights of the holders of any class or series of stock having preference over the Common Stock of the Corporation, par value $.01 per share (the “Common Stock”), as to dividends or upon liquidation to elect additional Directors under specified circumstances, a nominee for Director shall be elected to the Board of Directors if the votes cast for such nominee’s election exceed the votes cast against such nominee’s election; provided, however, that Directors shall be elected by a plurality of the votes cast at any meeting of stockholders for which (i) the Secretary of the Corporation receives a notice that a stockholder has nominated a person for election to the Board of Directors in compliance with the advance notice requirements for stockholder nominees for Director set forth in this Article II and (ii) such nomination has not been withdrawn by such stockholder on or prior to the record date for such meeting. If Directors are to be elected by a plurality of the votes cast, stockholders shall not be permitted to vote against a nominee. Any stockholder directly or indirectly soliciting proxies from other stockholders</w:t>
      </w:r>
      <w:r>
        <w:rPr>
          <w:color w:val="000000"/>
        </w:rPr>
        <w:t xml:space="preserve"> </w:t>
      </w:r>
      <w:r>
        <w:rPr>
          <w:rFonts w:ascii="Times New Roman;serif" w:hAnsi="Times New Roman;serif"/>
          <w:b w:val="false"/>
          <w:color w:val="000000"/>
          <w:sz w:val="24"/>
        </w:rPr>
        <w:t>must use a proxy card color other than white, which shall be reserved for exclusive use by the Board of Directors.</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rPr>
        <w:t>Written notice of the annual meeting stating the place, if any, date and hour of the meeting shall be given to each stockholder entitled to a vote at such meeting not less than 10 nor more than 60 days before the date of the meeting.</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4.</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Nominations of persons for election to the Board of Directors and the proposal of other business to be considered by the stockholders may be made at an annual meeting of stockholders (i) pursuant to the Corporation’s notice of such meeting, (ii) by or at the direction of the Board of Directors or (iii) by any stockholder of the Corporation who was a stockholder of record at the time of giving of the notice as provided for in this Section 4 through the time of the annual meeting, and is entitled to vote at such meeting, who attends such meeting in person or by proxy to present such nomination or proposal, and who complies with the notice procedures set forth in this Section 4.</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For nominations or other business to be properly brought before an annual meeting by a stockholder pursuant to Section 4(a)(iii) above, the stockholder must have given timely notice thereof in writing to the Secretary of the Corporation and such other business must otherwise be a proper matter for stockholder action. To be timely, a stockholder’s notice must be delivered to the Secretary at the principal executive offices of the Corporation not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60 days after such anniversary date, notice by the stockholder to be timely must be so delivered not earlier than the close of business on the 120th day prior to such annual meeting and not later than the close of business on the later of the 90th day prior to such annual meeting or if the first public announcement of the date of such annual meeting is less than 100 days prior to the date of such annual meeting, the close of business on the 10th day following the day on which public announcement of the date of such meeting is first made by the Corporation. In no event shall the adjournment, recess, postponement, judicial stay or rescheduling of an annual meeting (or the public announcement thereof) commence a new time period (or extend any time period) for the giving of notice as described above. Such stockholder’s notice (whether provided pursuant to this Section 4(b) or Section 6(c)) must set forth:</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as to each person, if any, whom the stockholder proposes to nominate for election or reelection as a Director (1) all information relating to such proposed nominee that would be required to be disclosed in a proxy statement in connection with the solicitation of proxies by such stockholder giving notice or any Stockholder Associated Person for the election of Directors in a contested election pursuant to Regulation 14A under the Securities Exchange Act of 1934, as amended (the “Exchange Act”), (2) a description of all direct and indirect compensation and other material monetary agreements, arrangements and understandings during the past three years, and any other material relationships, (A) between or among any stockholder giving notice or any Stockholder Associated Person, on the one hand, and such proposed nominee, on the other hand, or (B) that such proposed nominee knows any of such proposed nominee’s Associates has with any stockholder giving notice or any Stockholder Associated Person, including, without limitation, all information that would be required to be disclosed pursuant to Rule 404 promulgated under Regulation S-K as if the stockholder making the nomination and any Stockholder Associated Person were the “registrant” for purposes of such rule and the proposed nominee were a director or executive officer of such registrant, (3) the date(s) of first contact between the stockholder giving notice or any Stockholder Associated Person, on the one hand, and the proposed nominee, on the other hand, with respect to any proposed nomination(s) of any person(s) (including the proposed nominee) for election as a Director of the Corporation, (4) such person’s written consent to being named in the proxy statement as a nominee and to serving as a Director if elected, and (5) as an appendix, (A) attaching a completed stockholder nominee questionnaire (which questionnaire shall be provided by the Corporation within 10 days of the request by any stockholder of record) and (B) a completed and signed written </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representation and agreement (executed by the nominee in the form provided by the Secretary upon written request by any stockholder of record) that such person (I) is not and will not become a party to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any Voting Commitment that could limit or interfere with such person’s ability to comply, if elected as a Director of the Corporation, with such person’s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with respect to the Corporation that has not been disclosed to the Corporation, (III) would be in compliance, if elected as a Director of the Corporation, and will comply with, applicable law, applicable rules of the U.S. exchange upon which the Corporation’s shares of Common Stock trade and all applicable publicly disclosed corporate governance, conflict of interest, corporate opportunities, confidentiality and stock ownership and trading policies and guidelines of the Corporation, (IV) will tender, promptly following such person’s election or reelection, an irrevocable resignation that would be effective upon (A) such person’s failure to receive the required vote for reelection at the next annual meeting at which such person would face reelection and (B) acceptance of such resignation by the Board of Directors, in accordance with the Corporation’s policies or guidelines on Director elections and (V) intends to serve a full term if elected as a Director of the Corporation;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as to any other business that the stockholder proposes to bring before the meeting, (1) a description in reasonable detail of the business desired to be brought before the meeting, (2) the reasons for conducting such business at the meeting and (3) the text of the proposal or business (including the text of any resolutions proposed for consideration and in the event that such business includes a proposal to amend these Bylaws, the language of the proposed amendment);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as to the stockholder giving the notice and the beneficial owner, if any, on whose behalf the nomination or proposal is made (1) the name and address of such stockholder and each Stockholder Associated Person (including, as applicable, as they appear on the Corporation’s books), (2) the class and number of shares of capital stock of the Corporation that are owned beneficially or held of record by such stockholder and each Stockholder Associated Person, (3) the disclosure of any agreements, arrangements or understandings, written or oral, (including any derivative or short positions, profit interests, hedging transactions, forwards, futures, swaps, options, warrants, convertible securities, stock appreciation or similar rights, repurchase agreements or arrangements, borrowed or loaned shares and so-called “stock borrowing” agreements or arrangements) that have been entered into by, or on behalf of, such stockholder or any Stockholder Associated Person, the effect or intent of which is to mitigate loss, manage risk or benefit from changes in the price of any securities of the Corporation, or maintain, increase or decrease the voting power of such stockholder or any Stockholder Associated Person with respect to securities of the Corporation, whether or not such instrument or right shall be subject to settlement in underlying shares of capital stock of the Corporation (any of the foregoing, a “Derivative Instrument”), such information to include, and be updated to reflect any material change in, such positions from the period beginning six months prior to the nomination through the time of the annual meeting, (4) a description of all agreements, arrangements or understandings, written or oral, (A) between or among such stockholder and any Stockholder Associated Person or (B) between or among such stockholder or, to the knowledge of such stockholder or such beneficial owner, any Stockholder Associated Person and any other person or entity (naming each such person or entity), in each case, relating to acquiring, holding, voting or disposing of any securities of the Corporation, including any proxy (other than any revocable proxy given in response to a solicitation made pursuant to, and in accordance with, Section 14 of the Exchange Act and the rules promulgated thereunder by way of a solicitation statement filed on Schedule 14A), (5) a representation as to whether such stockholder or any Stockholder Associated Person intends or is part of a group (as such term is used in Rule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13d-5 under the Exchange Act) that intends to solicit proxies in support of the election of any proposed nominee in accordance with Rule 14a-19 under the Exchange Act (“Rule 14a-19”), (6) any Derivative Instruments in or beneficial ownership of any securities of (in each case, with a market value of more than $100,000) any competitor of the Corporation identified in Part I, Item 1 of the annual report on Form 10-K or amendment thereto most recently filed by the Corporation with the Securities and Exchange Commission or in Item 8.01 of any current report on Form 8-K filed by the Corporation with the Securities and Exchange Commission thereafter but prior to the 10th day before the deadline for a stockholder’s notice under this </w:t>
      </w:r>
      <w:r>
        <w:rPr>
          <w:rFonts w:ascii="Times New Roman;serif" w:hAnsi="Times New Roman;serif"/>
          <w:b w:val="false"/>
          <w:color w:val="000000"/>
          <w:sz w:val="24"/>
          <w:u w:val="single"/>
        </w:rPr>
        <w:t>Section 1.16</w:t>
      </w:r>
      <w:r>
        <w:rPr>
          <w:color w:val="000000"/>
        </w:rPr>
        <w:t xml:space="preserve"> </w:t>
      </w:r>
      <w:r>
        <w:rPr>
          <w:rFonts w:ascii="Times New Roman;serif" w:hAnsi="Times New Roman;serif"/>
          <w:b w:val="false"/>
          <w:color w:val="000000"/>
          <w:sz w:val="24"/>
        </w:rPr>
        <w:t xml:space="preserve">(each, a “Principal Competitor”) held by such stockholder or any Stockholder Associated Person, (7) any direct or indirect interest (other than solely as a result of security ownership) of such stockholder or any Stockholder Associated Person in any agreement with the Corporation, any Affiliate of the Corporation or any Principal Competitor (including any employment agreement, collective bargaining agreement or consulting agreement), (8) to the extent known by the stockholder giving the notice or the beneficial owner, the name and address of any other stockholder providing financial support for any of such stockholder’s nominees for election or reelection as a Director or the proposal of other business on the date of such stockholder’s notice, (9) all information that would be required to be set forth in a Schedule 13D filed pursuant to Rule 13d-1(a) under the Exchange Act or an amendment pursuant to Rule 13d-2(a) under the Exchange Act if such a statement were required to be filed under the Exchange Act by such stockholder or any Stockholder Associated Person with respect to the Corporation (regardless of whether such person or entity is actually required to file a Schedule 13D), including a description of any agreement, arrangement or understanding that would be required to be disclosed by such stockholder or any Stockholder Associated Person pursuant to Item 5 or Item 6 of Schedule 13D, (10) any substantial interest, direct or indirect (including any existing or prospective commercial, business or contractual relationship with the Corporation), of such stockholder or, to the knowledge of such stockholder or such beneficial owner, any Stockholder Associated Person in the Corporation or any Affiliate thereof or in the proposed business or nomination to be brought before the meeting by such stockholder, other than an interest arising from the ownership of Corporation securities where such stockholder or such Stockholder Associated Person receives no extra or special benefit not shared on a pro rata basis by all other holders of the same class or series, (11) all other information relating to such stockholder giving notice or any Stockholder Associated Person that would be required to be disclosed in a proxy statement in connection with the solicitation of proxies by such stockholder giving notice or any Stockholder Associated Person in support of the business proposed by such stockholder giving notice, if any, or for the election of any proposed nominee in a contested election or otherwise pursuant to Regulation 14A under the Exchange Act, (12) a representation that the stockholder proposing such business or making such nomination intends to appear in person (including virtually in the case of a meeting conducted solely by means of remote communication) or by proxy at the meeting to propose such business or nomination and an acknowledgment that, if such stockholder (or a duly authorized officer, manager or partner of such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and (13) in the case of a proposal nominating persons for election to the Board of Directors for which such stockholder or any Stockholder Associated Person intends or is part of a group (as such term is used in Rule 13d-5 under the Exchange Act) that intends to solicit proxies in support of the election of any proposed nominee in accordance with Rule 14a-19, a representation that such stockholder giving the notice or Stockholder Associated Persons intend to solicit the holders of shares representing at least 67% of the voting power of the shares entitled to vote on the election of directors in support of director nominees other than the Corporation’s nominees; provided, however, that the disclosures described in the foregoing subclauses (1) through (13) shall not include any such disclosures with respect to the ordinary course business activities of any depositary or any broker, dealer, commercial bank, trust company or other nominee who is a stockholder providing notice pursuant to this Section 4(b) solely as a result of being the stockholder directed to prepare and submit the notice required by these Bylaws on behalf of a beneficial owner (any such entity, an “Exempt Party”). The Corporation may require the stockholder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providing notice to furnish such other information as may reasonably be required by the Corporation to determine the eligibility, suitability or qualifications of a proposed nominee to serve as a Director of the Corporation or that could be material to a reasonable stockholder’s understanding of the independence, or lack thereof, of such nominee.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Any stockholder that provides notice pursuant to Rule 14a-19(b) or that includes the information required by Rule 14a-19(b) in a preliminary or definitive proxy statement previously filed by such stockholder shall provide written notification to the Secretary of the Corporation promptly, but in no event later than two business days, following failure by the stockholder to comply with the requirements of Rule 14a-19(a)(2), or any change in such stockholder’s intent to solicit proxies from the holders of shares representing at least 67% of the voting power of shares entitled to vote on the election of directors in support of director nominees other than the Corporation’s nominees or with respect to the names of such stockholder’s nominees.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Upon request by the Corporation, any stockholder that provides notice pursuant to Rule 14a-19(b) or that includes the information required by Rule 14a-19(b) in a preliminary or definitive proxy statement previously filed by such stockholder shall deliver to the Corporation, no later than seven business days prior to the applicable meeting, reasonable evidence that it has met the requirements of Rule 14a-19, including Rule 14a-19(a)(3), for any nominees proposed for election by such stockholder. If any stockholder provides notice pursuant to Rule 14a-19(b) (or includes the information required by Rule 14a-19(b) in a preliminary or definitive proxy statement previously filed by such stockholder) with respect to any proposed nominee, and subsequently fails to comply with the requirements of Rule 14a-19(a)(2) or Rule 14a-19(a)(3) (or fails to timely provide reasonable evidence sufficient to satisfy the Corporation that such stockholder or other person has met the requirements of Rule 14a-19, including Rule 14a-19(a)(3), in accordance with the preceding sentence), then notwithstanding anything to the contrary, unless otherwise required by law, the nomination of each such proposed nominee shall be disregarded, notwithstanding that proxies or votes in respect of the election of such proposed nominees may have been received by the Corporation (which proxies and votes shall be disregarded).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Board of Directors may reject any nomination by a stockholder not timely made in accordance with the requirements of this Article II, Section 4 and the requirements of state law or the federal securities laws, regulations and rules, including Rule 14a-19. The chair of the meeting shall, if the facts warrant, determine and declare to the meeting that a nomination was not in compliance with the procedures prescribed by these Bylaws or the federal securities laws, regulations and rules, including Rule 14a-19, and if such chair of the meeting should so determine, he or she shall so declare to the meeting and the defective nomination shall be disregarded, notwithstanding that proxies with respect to such nomination may have been received by the Corporation. Subject to Rule 14a-8; nothing in these Bylaws shall be construed to permit any stockholder, or give any stockholder the right to include or have disseminated or described in any proxy materials relating to the Corporation’s next annual meeting or special meeting, as applicable, any nomination of a director or directors.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Only such persons who are nominated in accordance with the procedures set forth in this Section 4 (annual meetings) and Section 6 (special meetings) shall be eligible to serve as Directors and only such business shall be conducted at a meeting of stockholders as shall have been brought before the meeting in accordance with the procedures set forth in this Section 4 (annual meetings) and Section 6 (special meetings). Except as otherwise provided by law, the Certificate of Incorporation or these Bylaws, the Board of Directors or the chair of the meeting shall have the power and duty to determine whether a nomination or any business proposed to be brought before the meeting was made or proposed, as the case may be, in accordance with the procedures set forth in this Section 4 (annual meetings) and Section 6 (special meetings), and, if the Board of Directors or the chair of the meeting determines that any proposed nomination or business is not in compliance herewith, to declare that such defective proposal or nomination shall be disregarded,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that proxies with respect to such proposed nomination or business may have been received by the Corporation.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For purposes of this Section 4 and Section 6, the terms “Affiliate” and “Associate” shall have the respective meanings set forth in Rule 12b-2 under the Exchange Act.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For purposes of this Section 4 and Section 6, the term “public announcement”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For purposes of this Section 4 and Section 6, the term “Stockholder Associated Person” of any stockholder shall mean (i) any beneficial owner of shares of stock of the Corporation owned of record or beneficially by such stockholder (other than a stockholder that is an Exempt Party), (ii) any person or entity who is a member of a group (as such term is used in Rule 13d-5 under the Exchange Act) with such stockholder or such beneficial owner with respect to acquiring, holding, voting or disposing of any securities of the Corporation, (iii) any Affiliate or Associate of such stockholder (other than a stockholder that is an Exempt Party), any participant (as defined in Instruction 3 to Item 4 of Schedule 14A under the Exchange Act) with such stockholder or such beneficial owner with respect to any proposed business or nomination, as applicable, under these Bylaws and (iv) any proposed nominee included in such stockholder’s notice.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For purposes of these Bylaws, shares shall be treated as “beneficially owned” by a person if the person beneficially owns such shares, directly or indirectly, for purposes of Section 13(d) of the Exchange Act and Regulations 13D and 13G thereunder or has or shares pursuant to any agreement, arrangement or understanding (whether or not in writing): (i) the right to acquire such shares (whether such right is exercisable immediately or only after the passage of time or the fulfillment of a condition or both), (ii) the right to vote such shares, alone or in concert with others and/or (iii) investment power with respect to such shares, including the power to dispose of, or to direct the disposition of, such shares.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color w:val="000000"/>
        </w:rPr>
        <w:t xml:space="preserve"> </w:t>
      </w:r>
      <w:r>
        <w:rPr>
          <w:rFonts w:ascii="Times New Roman;serif" w:hAnsi="Times New Roman;serif"/>
          <w:b w:val="false"/>
          <w:color w:val="000000"/>
          <w:sz w:val="24"/>
        </w:rPr>
        <w:t xml:space="preserve">In addition to complying with the foregoing provisions of this Section 4 or Section 6, a stockholder shall also comply with all applicable requirements of state law and the Exchange Act and the rules and regulations thereunder with respect to the matters set forth herein. If information submitted pursuant to this Section 4 or Section 6 by any stockholder proposing a nominee for election as a Director or any proposal for other business at a meeting of stockholders shall be inaccurate in any material respect, such information may be deemed not to have been provided in accordance with these Bylaws. Any such stockholder shall notify the Corporation of any material inaccuracy or change (within two business days of becoming aware of such inaccuracy or change) in any such information, and any such notification shall clearly identify the inaccuracy or change, it being understood that no such notification may cure any deficiencies or inaccuracies with respect to any prior submission by such stockholder. Upon written request by the Secretary or the Board of Directors (or a duly authorized committee thereof), any such stockholder shall provide, within five business days of delivery of such request (or such other period as may reasonably be specified in such request), written verification, reasonably satisfactory, in the discretion of the Board of Directors or any authorized officer of the Corporation, to demonstrate the accuracy of any information submitted by the stockholder pursuant to this Section 4 or Section 6. A stockholder shall update such stockholder’s notice provided under the foregoing provisions of this Section 4, if necessary, such that the information provided or required to be provided in such notice shall be true and correct in all material respects as of (i) the record date for determining the stockholders entitled to receive notice of the meeting and (ii) the date that is 10 business days prior to the meeting (or any postponement, rescheduling or adjournment thereof), and such update shall (A) be received by the Secretary at the principal executive offices of the Corporation (x) not later than the close of business five business days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after the record date for determining the stockholders entitled to receive notice of such meeting (in the case of an update required to be made under clause (i)) and (y) not later than the close of business seven business days prior to the date of the meeting or, if practicable, any postponement, rescheduling or adjournment thereof (and, if not practicable, on the first practicable date prior to the date to which the meeting has been postponed, rescheduled or adjourned) (in the case of an update required to be made pursuant to clause (ii)), (B) be made only to the extent that information has changed since such stockholder’s prior submission and (C) clearly identify the information that has changed in any material respect since such stockholder’s prior submission. For the avoidance of doubt, any information provided pursuant to this Section 4(k) shall not be deemed to cure any deficiencies or inaccuracies in a notice previously delivered pursuant to this Section 4 and shall not extend the time period for the delivery of notice pursuant to this Section 4. If a stockholder fails to provide any notification of material inaccuracy or change, requested written verification or update in accordance with the foregoing provisions of this Section 4(k), the information as to which such written update relates may be deemed not to have been provided in accordance with this Section 4. Nothing in this Section 4 or Section 6 shall be deemed to affect any rights of stockholders to request inclusion of proposals in the Corporation’s proxy statement pursuant to Rule 14a-8 under the Exchange Act. In order to include information with respect to a stockholder proposal in the proxy statement for a meeting of stockholders, stockholders must provide notice as required by Rule 14a-8 under the Exchange Act and otherwise satisfy its requirements.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Stock Ledger</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rPr>
        <w:t>The Corporation shall prepare and make available for examination, no later than the 10th day before each meeting of stockholders, a complete list of the stockholders entitled to vote at such meeting, in accordance with the requirements of Section 219 of the Delaware General Corporation Law. Such list shall be open to examination of any stockholder for any purpose germane to the meeting for a period of 10 days ending on the day before the meeting date, in accordance with the requirements of Section 219 of the Delaware General Corporation Law.</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Special Meetings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6.</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Special meetings of the stockholders for any purpose may be called only by the Chair of the Board of Directors and shall be called within 10 days after receipt of the written request of the Board of Directors, pursuant to a resolution approved by a majority of the entire Board of Directors. The business permitted to be conducted at any special meeting of the stockholders is limited to the business brought before the meeting by the Chair of the Board of Directors or by the Secretary at the request of a majority of the entire Board of Directors.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Written notice of a special meeting stating the place, date and hour of the meeting, and the purpose or purposes for which the meeting is called, shall be given not less than 10 nor more than 60 days before the date of the meeting, to each stockholder entitled to vote at such meeting.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Nominations of persons for election to the Board of Directors may be made at a special meeting of stockholders at which Directors are to be elected pursuant to the Corporation’s notice of such meeting (i) by or at the direction of the Board of Directors or (ii) provided that the Board of Directors has determined that Directors shall be elected at such meeting, by any stockholder of the Corporation who is a stockholder of record at the time of giving of notice of the special meeting through the time of the special meeting, who shall be entitled to vote at the meeting, who attends such meeting in person or by proxy to present such nomination, and who complies with the notice procedures set forth in this Section 6(c) </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and Section 4.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(1) the stockholder’s notice required by Section 4(b) shall be delivered to the Secretary of the Corporation at the principal executive offices of the Corporation not later than the close of business on the 10th day following the date of the first public announcement of the date of the special meeting and (2) the stockholder has complied in all respects with the provisions of Article II, Section 4 regarding the nominations of persons to the Corporation’s Board of Directors.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Quorum</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7.</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holders of a majority of the issued and outstanding Voting Stock (as defined below),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either the chair of the meeting or the stockholders entitled to vote thereat, present in person or represented by proxy, shall have power to adjourn the meeting from time to time, without notice other than announcement at the meeting, until a quorum shall be present or represented.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For the purpose of these Bylaws, “Voting Stock” shall mean the shares of capital stock of the Corporation entitled to vote generally in the election of Directors. In any vote required by or provided for in these Bylaws, each share of Voting Stock shall have the number of votes granted to it generally in the election of Directors.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Adjournment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w:t>
      </w:r>
      <w:r>
        <w:rPr>
          <w:rFonts w:ascii="Times New Roman;serif" w:hAnsi="Times New Roman;serif"/>
          <w:b w:val="false"/>
          <w:color w:val="000000"/>
          <w:sz w:val="24"/>
        </w:rPr>
        <w:t>Any stockholders’ meeting may be adjourned from time to time (including an adjournment to address a technical failure to convene or continue a meeting using remote communication) by (a) the vote of the holders of a majority of the voting shares present at the meeting either in person or by proxy, or (b) the chair of the meeting. When a meeting is adjourned to another time or place, notice need not be given of the adjourned meeting if the time, date and place thereof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Delaware General Corporation Law. At such adjourned meeting the Corporation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 The chair of the meeting shall have the power to adjourn or recess any annual or special meeting of the stockholders, at any time and for any reason, whether or not there is a quorum, without notice other than announcement at the meeting.</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Vote Required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w:t>
      </w:r>
      <w:r>
        <w:rPr>
          <w:rFonts w:ascii="Times New Roman;serif" w:hAnsi="Times New Roman;serif"/>
          <w:b w:val="false"/>
          <w:color w:val="000000"/>
          <w:sz w:val="24"/>
        </w:rPr>
        <w:t>When a quorum is present at any meeting, the vote of the holders of a majority of the issued and outstanding Voting Stock present in person or represented by proxy and entitled to vote on the matter shall decide any matter brought before such meeting, except as provided to the contrary by statute, the Certificate of Incorporation or these Bylaws.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One Vote Per Share</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10.</w:t>
      </w:r>
      <w:r>
        <w:rPr>
          <w:rFonts w:ascii="Times New Roman;serif" w:hAnsi="Times New Roman;serif"/>
          <w:b w:val="false"/>
          <w:color w:val="000000"/>
          <w:sz w:val="24"/>
        </w:rPr>
        <w:t>Each stockholder shall at every meeting of the stockholders be entitled to one vote in person or by proxy for each share of the capital stock having voting power held by such stockholder, but no proxy shall be voted on after three years from its date, unless the proxy provides for a longer period.</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No Written Consent in Lieu of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11.</w:t>
      </w:r>
      <w:r>
        <w:rPr>
          <w:rFonts w:ascii="Times New Roman;serif" w:hAnsi="Times New Roman;serif"/>
          <w:b w:val="false"/>
          <w:color w:val="000000"/>
          <w:sz w:val="24"/>
        </w:rPr>
        <w:t>Any action required or permitted to be taken by the stockholders of the Corporation must be effected at a duly called annual or special meeting of stockholders of the Corporation and may not be effected by any consent in writing of such stockholders.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Presiding Officer</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12.</w:t>
      </w:r>
      <w:r>
        <w:rPr>
          <w:rFonts w:ascii="Times New Roman;serif" w:hAnsi="Times New Roman;serif"/>
          <w:b w:val="false"/>
          <w:color w:val="000000"/>
          <w:sz w:val="24"/>
        </w:rPr>
        <w:t>At each meeting of stockholders, the Chair of the Board of Directors shall preside as “chair of the meeting,” unless unavailable, in which case the chief executive officer of the Corporation shall so preside, unless unavailable, in which case a Director or officer designated by the Board of Directors shall so preside. The Secretary shall keep records, and in the absence of either such officer, his duty shall be performed by a Director or officer appointed at the meeting of stockholders by the chair of the meeting.</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Rules of Conduct at Meetings of Stockholders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13.</w:t>
      </w:r>
      <w:r>
        <w:rPr>
          <w:rFonts w:ascii="Times New Roman;serif" w:hAnsi="Times New Roman;serif"/>
          <w:b w:val="false"/>
          <w:color w:val="000000"/>
          <w:sz w:val="24"/>
        </w:rPr>
        <w:t>The Board of Directors shall be entitled to make such rules and regulations for the conduct of meetings of the stockholders as it shall deem necessary, appropriate or convenient. Except to the extent inconsistent with such rules and regulations, if any, as adopted by the Board of Directors, the chair of any meeting of stockholders shall have the right and authority to prescribe such rules and procedures and to do all such acts as, in the judgment of such chair of the meeting, are necessary, appropriate or convenient for the proper conduct of the meeting. Such rules or procedures, whether adopted by the Board of Directors or prescribed by the chair of the meeting, may include the following: (a) determination of the order of business and the procedures for the meeting; (b) regulation of the time and manner of voting, including the determination of when the polls shall open and close for any given matter to be voted on at the meeting; (c) rules and procedures for maintaining order at the meeting and the safety of those present; (d) limitations on participation in such meeting to stockholders of record and their duly appointed proxies and such other persons as the chair of the meeting shall permit; (e) restrictions on entry to the meeting after the time fixed for the commencement of the meeting; (f) limitations on the time allotted to questions or comments by participants; (g) removal of any stockholder or any other individual who refuses to comply with meeting rules or procedures; (h) restrictions on the use of audio or video recording devices, cell phones and other electronic devices; (i) rules, regulations or procedures for compliance with any state or local laws or regulations including those concerning safety, health and security; (j) procedures (if any) requiring attendees to provide the Corporation advance notice of their intent to attend the meeting and (k) any rules, regulations or procedures as the chairperson may deem appropriate regarding the participation by means of remote communication of stockholders and proxyholders not physically present at a meeting, whether such meeting is to be held at a designated place or solely by means of remote communication. The Board of Directors or the chair of a stockholder meeting, in addition to making any other determinations that may be appropriate regarding the conduct of the meeting, shall determine and declare to the meeting that a matter of business was not properly brought before the meeting, and, if the chair of the meeting (or the Board of Directors) should so determine, the chair of the meeting (or the Board of Directors) shall so declare to the meeting and any such matter of business not properly brought before the meeting shall not be transacted or considered.</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III</w:t>
      </w:r>
      <w:r>
        <w:rPr>
          <w:rFonts w:ascii="Times New Roman;serif" w:hAnsi="Times New Roman;serif"/>
          <w:b/>
          <w:color w:val="000000"/>
          <w:sz w:val="24"/>
        </w:rPr>
        <w:br/>
        <w:br/>
        <w:t>DIRECTORS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Number, Classification, Removal</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The number of Directors shall be fixed from time to time by the Board of Directors, but shall not be less than 3 nor more than 15 persons. The Directors shall be elected at the annual meeting of the stockholders in accordance with the provisions of Section 4 of Article II, and each Director elected shall hold office until his successor is elected and qualified. Directors need not be stockholders. No person shall be eligible for election or appointment as a director unless such person has, within 10 days following any reasonable request therefor from the Board of Directors or any committee thereof, made himself or herself available to be interviewed by the Board of Directors (or any committee or other subset thereof) with respect to such person’s qualifications to serve as a director or any other matter reasonably related to such person’s candidacy as a director of the Corporation.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rPr>
        <w:t>Subject to the rights of the holders of any class or series of stock having a preference over the Common Stock as to dividends or upon liquidation to elect additional Directors under specified circumstances, newly created directorships resulting from any increase in the number of Directors and any vacancy on the Board of Directors resulting from death, resignation, disqualification, removal or other cause shall be filled solely by the affirmative vote of a majority of the remaining Directors then in office, even though less than a quorum of the Board of Directors, or by a sole remaining Director. Any Director elected in accordance with the preceding sentence shall hold office for the remainder of the full term of the Director whom the Director has replaced and until such Director’s successor shall have been elected and qualified. No decrease in the number of Directors constituting the Board of Directors shall shorten the term of an incumbent Director. The number of directors that constitutes the entire Board of Directors shall be automatically reduced, without any further action by the Board of Directors, to eliminate any vacancy on the Board of Directors (other than a vacancy resulting from an increase in the number of Directors) immediately upon the occurrence of such vacancy, but not to fewer directors than required by the Delaware General Corporation Law, the Certificate of Incorporation or these Bylaws.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rPr>
        <w:t>Subject to the rights of the holders of any class or series of stock having preference over the Common Stock as to dividends or upon liquidation to elect additional Directors under specified circumstances, any Director may be removed from office with or without cause by the stockholders in the manner provided in this Section 3. At any annual meeting of the stockholders of the Corporation or at any special meeting of the stockholders of the Corporation, the notice of which shall state that the removal of a Director or Directors is among the purposes of the meeting, the affirmative vote of the holders of a majority of the combined voting power of the outstanding shares of Voting Stock, voting together as a single class, may remove such Director or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rPr>
        <w:t>The business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Meetings of the Board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rPr>
        <w:t>The Board of Directors of the Corporation may hold meetings, both regular and special, either within or without the State of Delaware.</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rPr>
        <w:t>Meetings of the Board of Directors may be held at such time and place as shall be specified in a notice given in the manner hereinafter provided, or as shall be specified in a written waiver signed by all of the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7.</w:t>
      </w:r>
      <w:r>
        <w:rPr>
          <w:rFonts w:ascii="Times New Roman;serif" w:hAnsi="Times New Roman;serif"/>
          <w:b w:val="false"/>
          <w:color w:val="000000"/>
          <w:sz w:val="24"/>
        </w:rPr>
        <w:t>Regular meetings of the Board of Directors may be held without notice at such time and at such place as shall from time to time be determined by the Board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w:t>
      </w:r>
      <w:r>
        <w:rPr>
          <w:rFonts w:ascii="Times New Roman;serif" w:hAnsi="Times New Roman;serif"/>
          <w:b w:val="false"/>
          <w:color w:val="000000"/>
          <w:sz w:val="24"/>
        </w:rPr>
        <w:t>Special meetings of the Board of Directors may be called by the Chair of the Board of Directors, the chief executive officer of the Corporation or by two or more of the Directors. Notice of the time and place, if any, of all special meetings of the Board of Directors shall made be orally or in writing, including a voice messaging system or other system or technology designed to record and communicate messages, or by electronic mail or other electronic means, during normal business hours, at least 24 hours before the date and time of the meeting, or on such shorter notice as the person or persons calling such meeting may deem necessary or appropriate under the circumstances.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w:t>
      </w:r>
      <w:r>
        <w:rPr>
          <w:rFonts w:ascii="Times New Roman;serif" w:hAnsi="Times New Roman;serif"/>
          <w:b w:val="false"/>
          <w:color w:val="000000"/>
          <w:sz w:val="24"/>
        </w:rPr>
        <w:t>Except as provided in these Bylaws to the contrary, at all meetings of the Board of Directors a majority of the total number of Directors shall constitute a quorum for the transaction of business and the vote of a majority of the Directors entitled to vote and present at a meeting at which a quorum is present shall be the act of the Board of Directors, unless the Certificate of Incorporation shall require a vote of a greater number. If a quorum shall not be present at any meeting of the Board of Directors, the Directors present thereat may adjourn the meeting from time to time, without notice other than announcement at the meeting, until a quorum shall be present.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10.</w:t>
      </w:r>
      <w:r>
        <w:rPr>
          <w:rFonts w:ascii="Times New Roman;serif" w:hAnsi="Times New Roman;serif"/>
          <w:b w:val="false"/>
          <w:color w:val="000000"/>
          <w:sz w:val="24"/>
        </w:rPr>
        <w:t>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and the writing or writings are filed with the minutes of proceedings of the Board of Directors or committee.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11.</w:t>
      </w:r>
      <w:r>
        <w:rPr>
          <w:rFonts w:ascii="Times New Roman;serif" w:hAnsi="Times New Roman;serif"/>
          <w:b w:val="false"/>
          <w:color w:val="000000"/>
          <w:sz w:val="24"/>
        </w:rPr>
        <w:t>At all meetings of the Board of Directors, business shall be transacted in such order as from time to time the Board of Directors may determine.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all meetings of the Board of Directors, the Chair of the Board of Directors shall preside, and in his absence a person shall be chosen by the Board of Directors from among the Directors present to act as chair of the meeting.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Secretary of the Corporation shall act as Secretary of the meeting of the Board of Directors, but in the absence of the Secretary, the presiding officer may appoint any person to act as Secretary of the meeting.</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Committees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12.</w:t>
      </w:r>
      <w:r>
        <w:rPr>
          <w:rFonts w:ascii="Times New Roman;serif" w:hAnsi="Times New Roman;serif"/>
          <w:b w:val="false"/>
          <w:color w:val="000000"/>
          <w:sz w:val="24"/>
        </w:rPr>
        <w:t xml:space="preserve">The Board of Directors may, by resolution passed by a majority of the whole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of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and may authorize the seal of the Corporation to be affixed to all papers which may require it; but no such committee shall have the power or authority in reference to amending the Certificate of Incorporation (except pursuant to a resolution relating to the issuance of capital stock pursuant to Section 151 of Title 8 of the Delaware General Corporation Law); adopting an agreement of merger or consolidation; recommending to the stockholders the sale, lease or exchange of all or substantially all of the Corporation’s property and assets; recommending to the stockholders the dissolution of the Corporation or a revocation of a dissolution; or amending these Bylaws and, unless the resolution or Certificate of Incorporation expressly so provides, no such committee shall have the power or authority to declare a dividend or to authorize the issuance of stock. Such committee or committees shall have such members as may be determined from time to time by resolution adopted by the Board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13.</w:t>
      </w:r>
      <w:r>
        <w:rPr>
          <w:rFonts w:ascii="Times New Roman;serif" w:hAnsi="Times New Roman;serif"/>
          <w:b w:val="false"/>
          <w:color w:val="000000"/>
          <w:sz w:val="24"/>
        </w:rPr>
        <w:t>Each committee shall keep regular minutes of its meetings and report the same to the Board of Directors.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Compensation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14.</w:t>
      </w:r>
      <w:r>
        <w:rPr>
          <w:rFonts w:ascii="Times New Roman;serif" w:hAnsi="Times New Roman;serif"/>
          <w:b w:val="false"/>
          <w:color w:val="000000"/>
          <w:sz w:val="24"/>
        </w:rPr>
        <w:t>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pStyle w:val="TextBody"/>
        <w:bidi w:val="0"/>
        <w:spacing w:lineRule="auto" w:line="240" w:before="0" w:after="240"/>
        <w:jc w:val="center"/>
        <w:rPr/>
      </w:pPr>
      <w:r>
        <w:rPr>
          <w:rFonts w:ascii="Times New Roman;serif" w:hAnsi="Times New Roman;serif"/>
          <w:b/>
          <w:color w:val="000000"/>
          <w:sz w:val="24"/>
        </w:rPr>
        <w:t>Article IV</w:t>
      </w:r>
      <w:r>
        <w:rPr>
          <w:rFonts w:ascii="Times New Roman;serif" w:hAnsi="Times New Roman;serif"/>
          <w:b/>
          <w:color w:val="000000"/>
          <w:sz w:val="24"/>
        </w:rPr>
        <w:br/>
        <w:br/>
        <w:t>NOTICES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Whenever notice is required to be given to any Director or stockholder pursuant to a statutory provision or the Certificate of Incorporation or these Bylaws,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Notices to Directors may also be given by the means set forth in Article III, Section 8 of these Bylaws.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rPr>
        <w:t>Whenever notice is required to be given pursuant to a statutory provision or the Certificate of Incorporation or these Bylaws,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pStyle w:val="TextBody"/>
        <w:bidi w:val="0"/>
        <w:spacing w:lineRule="auto" w:line="240" w:before="0" w:after="240"/>
        <w:jc w:val="center"/>
        <w:rPr/>
      </w:pPr>
      <w:r>
        <w:rPr>
          <w:rFonts w:ascii="Times New Roman;serif" w:hAnsi="Times New Roman;serif"/>
          <w:b/>
          <w:color w:val="000000"/>
          <w:sz w:val="24"/>
        </w:rPr>
        <w:t>Article V</w:t>
      </w:r>
      <w:r>
        <w:rPr>
          <w:rFonts w:ascii="Times New Roman;serif" w:hAnsi="Times New Roman;serif"/>
          <w:b/>
          <w:color w:val="000000"/>
          <w:sz w:val="24"/>
        </w:rPr>
        <w:br/>
        <w:br/>
        <w:t>OFFICERS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The officers of the Corporation shall be elected or appointed by the Board of Directors and shall be a chief executive officer and a secretary. The Board of Directors may also elect or appoint a president, one or more vice presidents, one or more assistant secretaries, a treasurer, one or more assistant treasurers and such other officers as the Board of Directors deems appropriate. Any number of offices may be held by the same person, unless the Certificate of Incorporation or these Bylaws otherwise provide.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rPr>
        <w:t xml:space="preserve">The Board of Directors may appoint such other officers and agents as it shall deem necessary who shall hold their offices for such terms and shall exercise such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powers and perform such duties as shall be determined from time to time by the Board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rPr>
        <w:t>The salaries of all officers of the Corporation shall be fixed by the Board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rPr>
        <w:t>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rPr>
        <w:t>The officers of the Corporation shall have such powers and duties in the management of the Corporation as may be prescribed in these Bylaws or a resolution by the Board of Directors or, to the extent not so provided, as generally pertain to their respective offices, subject to the control of the Board of Directors.</w:t>
      </w:r>
    </w:p>
    <w:p>
      <w:pPr>
        <w:pStyle w:val="TextBody"/>
        <w:bidi w:val="0"/>
        <w:spacing w:lineRule="auto" w:line="240" w:before="0" w:after="240"/>
        <w:jc w:val="center"/>
        <w:rPr/>
      </w:pPr>
      <w:r>
        <w:rPr>
          <w:rFonts w:ascii="Times New Roman;serif" w:hAnsi="Times New Roman;serif"/>
          <w:b/>
          <w:color w:val="000000"/>
          <w:sz w:val="24"/>
        </w:rPr>
        <w:t>Article VI</w:t>
      </w:r>
      <w:r>
        <w:rPr>
          <w:rFonts w:ascii="Times New Roman;serif" w:hAnsi="Times New Roman;serif"/>
          <w:b/>
          <w:color w:val="000000"/>
          <w:sz w:val="24"/>
        </w:rPr>
        <w:br/>
        <w:br/>
        <w:t>CERTIFICATES OF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The shares of the Corporation’s stock may be certificated or uncertificated, as provided under Delaware law, and shall be entered in the books of the Corporation and registered as they are issued. Any certificates representing shares of stock shall be signed by, or in the name of the Corporation by, the president or a vice president and the treasurer or an assistant treasurer, or the Secretary or an assistant secretary of the Corporation, certifying the number and class of shares of stock of the Corporation owned by the holder thereof. If the Corporation shall be authorized to issue more than one class of stock or more than one series of any class, the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designations, preferences and relative, participating, optional or other special rights of each class of stock or series thereof and the qualifications, limitations or restrictions of such preferences and/or rights.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rPr>
        <w:t>Where a certificate is countersigned (a) by a transfer agent other than the Corporation or its employee, or, (b) by a registrar other than the Corporation or its employee, any other signature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Lost Certificates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rPr>
        <w:t xml:space="preserve">The Board of Directors may issue a certificate or certificates or uncertificated shares in place of any certificate(s) theretofore issued by the Corporation alleged to have been lost, stolen or destroyed, upon the making of an affidavit of that fact by the person claiming the certificate(s) of stock to be lost, stolen or destroyed. When authorizing such issue of a new certificate or certificates, the Board of Directors may, in its discretion and as a condition precedent to the issuance thereof, require the owner of such lost, stolen or destroyed certificate(s), or his legal representative, to advertise the same in such manner as it shall require and/or to give the Corporation a bond in such sum as it may direct </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 indemnity against any claim that may be made against the Corporation with respect to the certificate(s) alleged to have been lost, stolen or destroyed.</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Transfers of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rPr>
        <w:t>Transfers of shares may be made only by the record holder of such shares, or by an attorney lawfully constituted in writing, which transfer shall be made on the books of the Corporation, and, in the case of shares represented by a certificate, such transfer may only be made upon surrender of the certificate to the Corporation. The Corporation shall cancel any such surrendered certificate.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Fixing Record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rPr>
        <w:t>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Registered Stock Holders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rPr>
        <w:t>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pStyle w:val="TextBody"/>
        <w:bidi w:val="0"/>
        <w:spacing w:lineRule="auto" w:line="240" w:before="0" w:after="240"/>
        <w:jc w:val="center"/>
        <w:rPr/>
      </w:pPr>
      <w:r>
        <w:rPr>
          <w:rFonts w:ascii="Times New Roman;serif" w:hAnsi="Times New Roman;serif"/>
          <w:b/>
          <w:color w:val="000000"/>
          <w:sz w:val="24"/>
        </w:rPr>
        <w:t>Article VII</w:t>
      </w:r>
      <w:r>
        <w:rPr>
          <w:rFonts w:ascii="Times New Roman;serif" w:hAnsi="Times New Roman;serif"/>
          <w:b/>
          <w:color w:val="000000"/>
          <w:sz w:val="24"/>
        </w:rPr>
        <w:br/>
        <w:br/>
        <w:t>GENERAL PROVISIONS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Dividends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Dividends upon the capital stock of the Corporation, subject to the provisions of the Certificate of Incorporation, if any, may be declared by the Board of Directors at any regular or special meetings, pursuant to law. Dividends may be paid in cash, in property, or in shares of the capital stock, subject to the provisions of the Certificate of Incorporation.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rPr>
        <w:t>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Checks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rPr>
        <w:t>All checks or demands for money and notes of the Corporation shall be signed by such officer or officers or such other person or persons as the Board of Directors may from time to time designate.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Fiscal Year</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rPr>
        <w:t>The fiscal year of the Corporation shall begin on the first day of July of each year and end on the last day of June of each year, unless otherwise determined by the Board of Directors.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Seal</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rPr>
        <w:t>The corporate seal shall have inscribed thereon the name of the Corporation, the year of its organization and the words “Corporate Seal, Delaware”. The seal may be used by causing it or a facsimile thereof to be impressed or affixed or reproduced or otherwise placed thereon.</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Interested Directors and Officers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6.</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purposes, if:</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The material facts as to his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The material facts as to his relationship or interest and as to the contract or transaction are disclosed or are known to the stockholders entitled to vote thereon; and the contract for transaction is specifically approved in good faith by vote of the stockholders;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The contract or transaction is fair as to the Corporation as of the time it is authorized, approved or ratified, by the Board of Directors, a committee thereof, or the stockholders.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Common or interested Directors may be counted in determining the presence of a quorum at a meeting of the Board of Directors or of a committee which authorizes the contract or transaction.</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Exclusive Forum</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7.</w:t>
      </w:r>
      <w:r>
        <w:rPr>
          <w:rFonts w:ascii="Times New Roman;serif" w:hAnsi="Times New Roman;serif"/>
          <w:b w:val="false"/>
          <w:color w:val="000000"/>
          <w:sz w:val="24"/>
        </w:rPr>
        <w:t xml:space="preserve">Unless the Corporation consents in writing to the selection of an alternative forum, the sole and exclusive forum for (i) any derivative action or proceeding brought on behalf of the Corporation, (ii) any action asserting a claim of breach of a fiduciary duty owed by any Director or officer or other employee of the Corporation to the Corporation or the Corporation’s stockholders, (iii) any action asserting a claim against the Corporation or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any Director or officer or other employee of the Corporation arising pursuant to any provision of the Delaware General Corporation Law or the Certificate of Incorporation or these Bylaws (as either may be amended from time to time), or (iv) any action asserting a claim against the Corporation or any Director or officer or other employee of the Corporation governed by the internal affairs doctrine shall, in each case, be the Court of Chancery in the State of Delaware (or, if the Court of Chancery does not have jurisdiction, the federal district court for the District of Delaware). If any action the subject matter of which is within the scope of the preceding sentence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 Any person or entity purchasing or otherwise acquiring any interest in shares of capital stock of the Corporation shall be deemed to have notice of and consented to the provisions of this Section 7 of Article VII. The existence of any prior consent to an alternative forum shall not act as a waiver of the Corporation’s ongoing consent right as set forth above in this Section 7 of Article VII with respect to any current or future actions or claims.</w:t>
      </w:r>
    </w:p>
    <w:p>
      <w:pPr>
        <w:pStyle w:val="TextBody"/>
        <w:bidi w:val="0"/>
        <w:spacing w:lineRule="auto" w:line="240" w:before="0" w:after="240"/>
        <w:jc w:val="center"/>
        <w:rPr/>
      </w:pPr>
      <w:r>
        <w:rPr>
          <w:rFonts w:ascii="Times New Roman;serif" w:hAnsi="Times New Roman;serif"/>
          <w:b/>
          <w:color w:val="000000"/>
          <w:sz w:val="24"/>
        </w:rPr>
        <w:t>Article VIII</w:t>
      </w:r>
      <w:r>
        <w:rPr>
          <w:rFonts w:ascii="Times New Roman;serif" w:hAnsi="Times New Roman;serif"/>
          <w:b/>
          <w:color w:val="000000"/>
          <w:sz w:val="24"/>
        </w:rPr>
        <w:br/>
        <w:br/>
        <w:t>AMENDMENTS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rPr>
        <w:t>These Bylaws may be altered, amended or repealed or new bylaws may be adopted by the stockholders or by the Board of Directors at any regular meeting of the stockholders or of the Board of Directors or at any special meeting of the stockholders or of the Board of Directors if notice of such alteration, amendment, repeal or adoption of new bylaws are contained in the notice of such special meeting. These Bylaws may also be amended in accordance with any other provision of these Bylaws.</w:t>
      </w:r>
    </w:p>
    <w:p>
      <w:pPr>
        <w:pStyle w:val="TextBody"/>
        <w:bidi w:val="0"/>
        <w:spacing w:lineRule="auto" w:line="240" w:before="0" w:after="240"/>
        <w:jc w:val="center"/>
        <w:rPr/>
      </w:pPr>
      <w:r>
        <w:rPr>
          <w:rFonts w:ascii="Times New Roman;serif" w:hAnsi="Times New Roman;serif"/>
          <w:b/>
          <w:color w:val="000000"/>
          <w:sz w:val="24"/>
        </w:rPr>
        <w:t>Article IX</w:t>
      </w:r>
      <w:r>
        <w:rPr>
          <w:rFonts w:ascii="Times New Roman;serif" w:hAnsi="Times New Roman;serif"/>
          <w:b/>
          <w:color w:val="000000"/>
          <w:sz w:val="24"/>
        </w:rPr>
        <w:br/>
        <w:br/>
        <w:t>INDEMNIFICATION AND INSURANCE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Indemnification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1.</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Subject to Section 3 of this Article IX, the Corporation shall indemnify, to the full extent that it shall have power under applicable law to do so and in a manner permitted by such law, any person made or threatened to be made a party to any threatened, pending, or completed action, lawsuit, or proceeding, whether civil, criminal, administrative, or investigative (a “proceeding”), by reason of the fact that such person is or was a Director or officer of the Corporation or is or was serving at the request of Corporation as a Director or officer of another corporation, partnership, joint venture, trust or other enterprise, including service with respect to an employee benefit plan (collectively, “another enterprise”).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Corporation may indemnify, to the full extent that it shall have power under applicable law to do so and in a manner permitted by such law, any person made or threatened to be made a party to any proceeding, by reason of the fact that such person is or was an employee or agent of the Corporation or is or was serving at the request of the Corporation as an employee or agent of another enterprise.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Advancement of Expenses</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2.</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Subject to Section 3 of this Article IX, with respect to any person made or threatened to be made a party to any threatened, pending, or completed proceeding, by reason of the fact that such person is or was a Director or officer of the Corporation or is or was serving at the request of the Corporation as a Director or officer of another enterprise, the Corporation shall pay the expenses (including attorneys’ fees) incurred by such person in defending any such proceeding in advance of its final disposition (an “advancement of expenses”); provided, however, that any advancement of expenses shall be made only upon receipt of a written agreement by such person to repay all amounts advanced if it shall ultimately be determined by final judicial decision from which there is no further right to appeal that such person is not entitled to be indemnified for such expenses under this Article IX or otherwise.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With respect to any person made or threatened to be made a party to any proceeding, by reason of the fact that such person is or was an employee or agent of the Corporation, or is or was serving at the request of the Corporation as an employee or agent of another enterprise, the Corporation may, in its discretion and upon such terms and conditions, if any, as the Corporation deems appropriate, pay the expenses (including attorneys’ fees) incurred by such person in defending any such proceeding in advance of its final disposition.</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Actions Initiated Against the Corporation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rPr>
        <w:t>Notwithstanding anything contained in Section 1(a) or Section 2(a) of this Article IX to the contrary, and except as provided in Section 5(b) of this Article IX with respect to a proceeding initiated against the Corporation by a Director or officer of the Corporation (or by a person serving at the request of the Corporation as a Director or officer of another enterprise), the Corporation shall not be required to indemnify or to advance expenses (including attorneys’ fees) to such person in connection with prosecuting the proceeding (or part thereof) or in defending any counterclaim, cross- claim, affirmative defense or like claim of the Corporation in such proceeding (or part thereof) unless the proceeding was authorized by the Board of Directors.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Contract Rights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rPr>
        <w:t>With respect to any person made or threatened to be made a party to any proceeding, by reason of the fact that the person is or was a Director or officer of the Corporation or is or was serving at the request of the Corporation as a Director or officer of another enterprise, the rights to indemnification and to the advancement of expenses conferred in Sections 1(a) and 2(a) of this Article IX shall be contract rights. Any amendment, repeal, modification, or adoption of any provision inconsistent with this Article IX shall not adversely affect any right to indemnification or advancement of expenses granted to any person pursuant to this Article IX with respect to any act or omission of the person occurring prior to the time of such amendment, repeal, modification, or adoption (regardless of whether the proceeding relating to such acts or omissions is commenced before or after the time of such amendment, repeal, modification, or adoption).</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Claims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5.</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 claim under Section 1(a) of this Article IX with respect to any right to indemnification is not paid in full by the Corporation within 60 days after a written demand has been received by the Corporation or a claim under Section 2(a) of this Article IX with respect to any right to the advancement of expenses is not paid in full by the Corporation within 20 days after a written demand has been received by the Corporation, then the person seeking to enforce a right to indemnification or to an advancement of expenses may at any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time thereafter bring a lawsuit against the Corporation to recover the unpaid amount of the claim.</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If successful in whole or in part in any lawsuit brought pursuant to Section 5(a) of this Article IX, or in a lawsuit brought by the Corporation to recover an advancement of expenses, the person seeking to enforce a right to indemnification or an advancement of expenses or the person from whom the Corporation sought to recover an advancement of expenses shall be entitled to be paid by the Corporation the reasonable expenses (including attorneys’ fees) of prosecuting or defending such lawsuit.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In any lawsuit brought by a person seeking to enforce a right to indemnification (but not a lawsuit brought by a person seeking to enforce a right to an advancement of expenses), it shall be a defense that the person seeking to enforce a right to indemnification has not met any applicable standard for indemnification under applicable law. With respect to any lawsuit brought by a person seeking to enforce a right to indemnification or right to advancement of expenses, or any lawsuit brought by the Corporation to recover an advancement of expenses, neither the failure of the Corporation to have made a determination prior to commencement of such lawsuit that indemnification of such person is proper in the circumstances because such person has met the applicable standards of conduct under applicable law, nor an actual determination by the Corporation that such person has not met such applicable standards of conduct, shall create a presumption that such person has not met the applicable standards of conduct or, in a case brought by such person seeking to enforce a right to indemnification, be a defense to such lawsuit.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In any lawsuit brought by a person seeking to enforce a right to indemnification or to an advancement of expenses or by the Corporation to recover an advancement of expenses, the burden shall be on the Corporation to prove that the person seeking to enforce a right to indemnification or to an advancement of expenses or the person from whom the Corporation seeks to recover an advancement of expenses is not entitled to be indemnified, or to such an advancement of expenses, under this Article IX or otherwise.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Determination of Entitlement to Indemnification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rPr>
        <w:t>Any indemnification required or permitted under this Article IX (unless ordered by a court) shall be made by the Corporation only as authorized in the specific case upon a determination that indemnification of the present or former Director, officer, employee, or agent is proper in the circumstances because he or she has met all applicable standards of conduct set forth in this Article IX and Section 145 of the Delaware General Corporation Law. Such determination shall be made, with respect to a person who is a Director or officer of the Corporation at the time of the determination: (a) by a majority vote of the Directors who are not parties to such action, lawsuit or proceeding, even though less than a quorum; (b) by a committee of such Directors designated by majority vote of such Directors, even though less than a quorum; (c) if there are no such Directors, or if such Directors so direct, by independent legal counsel in a written opinion; or (d) by the stockholders. Such determination shall be made, with respect to any person who is not a Director or officer of the Corporation at the time of such determination, in the manner determined by the Board of Directors (including in such manner as may be set forth in any general or specific action of the Board of Directors applicable to indemnification claims by such person) or in the manner set forth in any agreement to which such person and the Corporation are parties.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Non- Exclusive Rights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7.</w:t>
      </w:r>
      <w:r>
        <w:rPr>
          <w:rFonts w:ascii="Times New Roman;serif" w:hAnsi="Times New Roman;serif"/>
          <w:b w:val="false"/>
          <w:color w:val="000000"/>
          <w:sz w:val="24"/>
        </w:rPr>
        <w:t xml:space="preserve">The indemnification and advancement of expenses provided in this Article IX shall not be deemed exclusive of any other rights to which any person may be entitled under any bylaw, agreement, vote of stockholders or disinterested Directors, or otherwise, both as to action in such person’s official capacity and as to action in another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capacity while holding such office, and shall continue as to a person who has ceased to be such Director, officer, employee, or agent and shall inure to the benefit of the heirs, executors, and administrators of such person.</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Insurance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w:t>
      </w:r>
      <w:r>
        <w:rPr>
          <w:rFonts w:ascii="Times New Roman;serif" w:hAnsi="Times New Roman;serif"/>
          <w:b w:val="false"/>
          <w:color w:val="000000"/>
          <w:sz w:val="24"/>
        </w:rPr>
        <w:t>The Corporation may purchase and maintain insurance on behalf of any person who is or was a Director, officer, employee, or agent of the Corporation or is or was serving at the request of the Corporation as a Director, officer, employee, or agent of another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IX or otherwise.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Severability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w:t>
      </w:r>
      <w:r>
        <w:rPr>
          <w:rFonts w:ascii="Times New Roman;serif" w:hAnsi="Times New Roman;serif"/>
          <w:b w:val="false"/>
          <w:color w:val="000000"/>
          <w:sz w:val="24"/>
        </w:rPr>
        <w:t>If any provision or provisions of this Article IX shall be held to be invalid, illegal, or unenforceable for any reason whatsoever: (a) the validity, legality, and enforceability of the remaining provisions of this Article IX (including, without limitation, each portion of any paragraph or clause containing any such provision held to be invalid, illegal, or unenforceable, that is not itself held to be invalid, illegal, or unenforceable) shall not in any way be affected or impaired; and (b) to the fullest extent possible, the provisions of this Article IX (including, without limitation, each such portion of any paragraph or clause containing any such provision held to be invalid, illegal, or unenforceable) shall be construed so as to give effect to the intent manifested by the provision held invalid, illegal, or unenforceable.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John R. Hewitt,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Matrix Service Company;</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rPr/>
      </w:pPr>
      <w:r>
        <w:rPr/>
      </w:r>
    </w:p>
    <w:tbl>
      <w:tblPr>
        <w:tblW w:w="3221" w:type="dxa"/>
        <w:jc w:val="left"/>
        <w:tblInd w:w="0" w:type="dxa"/>
        <w:tblLayout w:type="fixed"/>
        <w:tblCellMar>
          <w:top w:w="28" w:type="dxa"/>
          <w:left w:w="28" w:type="dxa"/>
          <w:bottom w:w="28" w:type="dxa"/>
          <w:right w:w="28" w:type="dxa"/>
        </w:tblCellMar>
      </w:tblPr>
      <w:tblGrid>
        <w:gridCol w:w="312"/>
        <w:gridCol w:w="276"/>
        <w:gridCol w:w="277"/>
        <w:gridCol w:w="591"/>
        <w:gridCol w:w="591"/>
        <w:gridCol w:w="594"/>
        <w:gridCol w:w="170"/>
        <w:gridCol w:w="170"/>
        <w:gridCol w:w="240"/>
      </w:tblGrid>
      <w:tr>
        <w:trPr/>
        <w:tc>
          <w:tcPr>
            <w:tcW w:w="31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R. Hewitt</w:t>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R. Hewitt</w:t>
            </w:r>
          </w:p>
        </w:tc>
        <w:tc>
          <w:tcPr>
            <w:tcW w:w="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Kevin S. Cavanah,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Matrix Service Company;</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rPr/>
      </w:pPr>
      <w:r>
        <w:rPr/>
      </w:r>
    </w:p>
    <w:tbl>
      <w:tblPr>
        <w:tblW w:w="3581" w:type="dxa"/>
        <w:jc w:val="left"/>
        <w:tblInd w:w="0" w:type="dxa"/>
        <w:tblLayout w:type="fixed"/>
        <w:tblCellMar>
          <w:top w:w="28" w:type="dxa"/>
          <w:left w:w="28" w:type="dxa"/>
          <w:bottom w:w="28" w:type="dxa"/>
          <w:right w:w="28" w:type="dxa"/>
        </w:tblCellMar>
      </w:tblPr>
      <w:tblGrid>
        <w:gridCol w:w="351"/>
        <w:gridCol w:w="310"/>
        <w:gridCol w:w="311"/>
        <w:gridCol w:w="666"/>
        <w:gridCol w:w="666"/>
        <w:gridCol w:w="669"/>
        <w:gridCol w:w="178"/>
        <w:gridCol w:w="178"/>
        <w:gridCol w:w="252"/>
      </w:tblGrid>
      <w:tr>
        <w:trPr/>
        <w:tc>
          <w:tcPr>
            <w:tcW w:w="3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S. Cavanah</w:t>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S. Cavanah</w:t>
            </w:r>
          </w:p>
        </w:tc>
        <w:tc>
          <w:tcPr>
            <w:tcW w:w="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Matrix Service Company (the “Company”) on Form 10-Q for the period ending March 31, 2026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221" w:type="dxa"/>
        <w:jc w:val="left"/>
        <w:tblInd w:w="0" w:type="dxa"/>
        <w:tblLayout w:type="fixed"/>
        <w:tblCellMar>
          <w:top w:w="28" w:type="dxa"/>
          <w:left w:w="28" w:type="dxa"/>
          <w:bottom w:w="28" w:type="dxa"/>
          <w:right w:w="28" w:type="dxa"/>
        </w:tblCellMar>
      </w:tblPr>
      <w:tblGrid>
        <w:gridCol w:w="312"/>
        <w:gridCol w:w="276"/>
        <w:gridCol w:w="277"/>
        <w:gridCol w:w="591"/>
        <w:gridCol w:w="591"/>
        <w:gridCol w:w="594"/>
        <w:gridCol w:w="170"/>
        <w:gridCol w:w="170"/>
        <w:gridCol w:w="240"/>
      </w:tblGrid>
      <w:tr>
        <w:trPr/>
        <w:tc>
          <w:tcPr>
            <w:tcW w:w="31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R. Hewitt</w:t>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R. Hewitt</w:t>
            </w:r>
          </w:p>
        </w:tc>
        <w:tc>
          <w:tcPr>
            <w:tcW w:w="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Matrix Service Company (the “Company”) on Form 10-Q for the period ending March 31, 2026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581" w:type="dxa"/>
        <w:jc w:val="left"/>
        <w:tblInd w:w="0" w:type="dxa"/>
        <w:tblLayout w:type="fixed"/>
        <w:tblCellMar>
          <w:top w:w="28" w:type="dxa"/>
          <w:left w:w="28" w:type="dxa"/>
          <w:bottom w:w="28" w:type="dxa"/>
          <w:right w:w="28" w:type="dxa"/>
        </w:tblCellMar>
      </w:tblPr>
      <w:tblGrid>
        <w:gridCol w:w="351"/>
        <w:gridCol w:w="310"/>
        <w:gridCol w:w="311"/>
        <w:gridCol w:w="666"/>
        <w:gridCol w:w="666"/>
        <w:gridCol w:w="669"/>
        <w:gridCol w:w="178"/>
        <w:gridCol w:w="178"/>
        <w:gridCol w:w="252"/>
      </w:tblGrid>
      <w:tr>
        <w:trPr/>
        <w:tc>
          <w:tcPr>
            <w:tcW w:w="3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S. Cavanah</w:t>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S. Cavanah</w:t>
            </w:r>
          </w:p>
        </w:tc>
        <w:tc>
          <w:tcPr>
            <w:tcW w:w="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left"/>
        <w:rPr>
          <w:color w:val="000000"/>
        </w:rPr>
      </w:pPr>
      <w:r>
        <w:rPr>
          <w:color w:val="000000"/>
        </w:rPr>
        <w:t>                                                    </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95</w:t>
      </w:r>
    </w:p>
    <w:p>
      <w:pPr>
        <w:pStyle w:val="TextBody"/>
        <w:bidi w:val="0"/>
        <w:spacing w:before="100" w:after="283"/>
        <w:jc w:val="left"/>
        <w:rPr/>
      </w:pPr>
      <w:r>
        <w:rPr/>
      </w:r>
    </w:p>
    <w:p>
      <w:pPr>
        <w:pStyle w:val="TextBody"/>
        <w:bidi w:val="0"/>
        <w:spacing w:lineRule="auto" w:line="240" w:before="100" w:after="283"/>
        <w:jc w:val="both"/>
        <w:rPr>
          <w:rFonts w:ascii="Times New Roman;serif" w:hAnsi="Times New Roman;serif"/>
          <w:b w:val="false"/>
          <w:color w:val="000000"/>
          <w:sz w:val="20"/>
        </w:rPr>
      </w:pPr>
      <w:r>
        <w:rPr>
          <w:rFonts w:ascii="Times New Roman;serif" w:hAnsi="Times New Roman;serif"/>
          <w:b w:val="false"/>
          <w:color w:val="000000"/>
          <w:sz w:val="20"/>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pStyle w:val="TextBody"/>
        <w:bidi w:val="0"/>
        <w:spacing w:lineRule="auto" w:line="345"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for the three months ended March 31, 2026:</w:t>
      </w:r>
    </w:p>
    <w:tbl>
      <w:tblPr>
        <w:tblW w:w="10205" w:type="dxa"/>
        <w:jc w:val="center"/>
        <w:tblInd w:w="0" w:type="dxa"/>
        <w:tblLayout w:type="fixed"/>
        <w:tblCellMar>
          <w:top w:w="28" w:type="dxa"/>
          <w:left w:w="28" w:type="dxa"/>
          <w:bottom w:w="28" w:type="dxa"/>
          <w:right w:w="28" w:type="dxa"/>
        </w:tblCellMar>
      </w:tblPr>
      <w:tblGrid>
        <w:gridCol w:w="368"/>
        <w:gridCol w:w="323"/>
        <w:gridCol w:w="325"/>
        <w:gridCol w:w="219"/>
        <w:gridCol w:w="219"/>
        <w:gridCol w:w="220"/>
        <w:gridCol w:w="186"/>
        <w:gridCol w:w="186"/>
        <w:gridCol w:w="187"/>
        <w:gridCol w:w="215"/>
        <w:gridCol w:w="215"/>
        <w:gridCol w:w="217"/>
        <w:gridCol w:w="197"/>
        <w:gridCol w:w="197"/>
        <w:gridCol w:w="199"/>
        <w:gridCol w:w="186"/>
        <w:gridCol w:w="186"/>
        <w:gridCol w:w="187"/>
        <w:gridCol w:w="320"/>
        <w:gridCol w:w="320"/>
        <w:gridCol w:w="321"/>
        <w:gridCol w:w="241"/>
        <w:gridCol w:w="241"/>
        <w:gridCol w:w="243"/>
        <w:gridCol w:w="319"/>
        <w:gridCol w:w="319"/>
        <w:gridCol w:w="320"/>
        <w:gridCol w:w="350"/>
        <w:gridCol w:w="350"/>
        <w:gridCol w:w="352"/>
        <w:gridCol w:w="275"/>
        <w:gridCol w:w="275"/>
        <w:gridCol w:w="276"/>
        <w:gridCol w:w="256"/>
        <w:gridCol w:w="256"/>
        <w:gridCol w:w="257"/>
        <w:gridCol w:w="252"/>
        <w:gridCol w:w="252"/>
        <w:gridCol w:w="378"/>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Mine or Operating Name/MSHA Identification Number</w:t>
            </w:r>
          </w:p>
        </w:tc>
        <w:tc>
          <w:tcPr>
            <w:tcW w:w="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Section 104 S&amp;S Citations</w:t>
            </w:r>
            <w:r>
              <w:rPr>
                <w:rFonts w:ascii="Times New Roman;serif" w:hAnsi="Times New Roman;serif"/>
                <w:b w:val="false"/>
                <w:color w:val="000000"/>
                <w:sz w:val="8"/>
              </w:rPr>
              <w:t>(1)</w:t>
            </w:r>
          </w:p>
        </w:tc>
        <w:tc>
          <w:tcPr>
            <w:tcW w:w="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Section 104(b) Orders</w:t>
            </w:r>
            <w:r>
              <w:rPr>
                <w:rFonts w:ascii="Times New Roman;serif" w:hAnsi="Times New Roman;serif"/>
                <w:b w:val="false"/>
                <w:color w:val="000000"/>
                <w:sz w:val="8"/>
              </w:rPr>
              <w:t>(2)</w:t>
            </w:r>
          </w:p>
        </w:tc>
        <w:tc>
          <w:tcPr>
            <w:tcW w:w="6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Section 104(d) Citations and Orders</w:t>
            </w:r>
            <w:r>
              <w:rPr>
                <w:rFonts w:ascii="Times New Roman;serif" w:hAnsi="Times New Roman;serif"/>
                <w:b w:val="false"/>
                <w:color w:val="000000"/>
                <w:sz w:val="8"/>
              </w:rPr>
              <w:t>(3)</w:t>
            </w:r>
          </w:p>
        </w:tc>
        <w:tc>
          <w:tcPr>
            <w:tcW w:w="5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Section 110(b)(2) Violations</w:t>
            </w:r>
            <w:r>
              <w:rPr>
                <w:rFonts w:ascii="Times New Roman;serif" w:hAnsi="Times New Roman;serif"/>
                <w:b w:val="false"/>
                <w:color w:val="000000"/>
                <w:sz w:val="8"/>
              </w:rPr>
              <w:t>(4)</w:t>
            </w:r>
          </w:p>
        </w:tc>
        <w:tc>
          <w:tcPr>
            <w:tcW w:w="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Section 107(a) Orders</w:t>
            </w:r>
            <w:r>
              <w:rPr>
                <w:rFonts w:ascii="Times New Roman;serif" w:hAnsi="Times New Roman;serif"/>
                <w:b w:val="false"/>
                <w:color w:val="000000"/>
                <w:sz w:val="8"/>
              </w:rPr>
              <w:t>(5)</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Dollar Value of MSHA Assessments Proposed ($)</w:t>
            </w:r>
          </w:p>
        </w:tc>
        <w:tc>
          <w:tcPr>
            <w:tcW w:w="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Number of Mining Related Fatalities</w:t>
            </w:r>
          </w:p>
        </w:tc>
        <w:tc>
          <w:tcPr>
            <w:tcW w:w="9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Received Notice of Pattern of Violations Under Section 104(e)</w:t>
            </w:r>
            <w:r>
              <w:rPr>
                <w:rFonts w:ascii="Times New Roman;serif" w:hAnsi="Times New Roman;serif"/>
                <w:b w:val="false"/>
                <w:color w:val="000000"/>
                <w:sz w:val="8"/>
              </w:rPr>
              <w:t>(6)</w:t>
            </w:r>
            <w:r>
              <w:rPr>
                <w:color w:val="000000"/>
              </w:rPr>
              <w:t xml:space="preserve"> </w:t>
            </w:r>
            <w:r>
              <w:rPr>
                <w:rFonts w:ascii="Times New Roman;serif" w:hAnsi="Times New Roman;serif"/>
                <w:b w:val="false"/>
                <w:color w:val="000000"/>
                <w:sz w:val="12"/>
              </w:rPr>
              <w:t>(yes/no)</w:t>
            </w:r>
          </w:p>
        </w:tc>
        <w:tc>
          <w:tcPr>
            <w:tcW w:w="1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Received Notice of Potential to Have Pattern of Violations Under Section 104(e)</w:t>
            </w:r>
            <w:r>
              <w:rPr>
                <w:rFonts w:ascii="Times New Roman;serif" w:hAnsi="Times New Roman;serif"/>
                <w:b w:val="false"/>
                <w:color w:val="000000"/>
                <w:sz w:val="8"/>
              </w:rPr>
              <w:t xml:space="preserve">(7) </w:t>
            </w:r>
            <w:r>
              <w:rPr>
                <w:rFonts w:ascii="Times New Roman;serif" w:hAnsi="Times New Roman;serif"/>
                <w:b w:val="false"/>
                <w:color w:val="000000"/>
                <w:sz w:val="12"/>
              </w:rPr>
              <w:t>(yes/no)</w:t>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Number of Legal Actions Pending as of Last Day of Period</w:t>
            </w:r>
          </w:p>
        </w:tc>
        <w:tc>
          <w:tcPr>
            <w:tcW w:w="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Number of Legal Actions Initiated During Period</w:t>
            </w:r>
          </w:p>
        </w:tc>
        <w:tc>
          <w:tcPr>
            <w:tcW w:w="8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Number of Legal Actions Resolved During Period</w:t>
            </w:r>
          </w:p>
        </w:tc>
      </w:tr>
      <w:tr>
        <w:trPr/>
        <w:tc>
          <w:tcPr>
            <w:tcW w:w="101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None</w:t>
            </w:r>
          </w:p>
        </w:tc>
        <w:tc>
          <w:tcPr>
            <w:tcW w:w="6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4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9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10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826"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82" w:type="dxa"/>
            <w:gridSpan w:val="3"/>
            <w:tcBorders>
              <w:top w:val="single" w:sz="8" w:space="0" w:color="000000"/>
              <w:left w:val="single" w:sz="8" w:space="0" w:color="000000"/>
              <w:bottom w:val="single" w:sz="8" w:space="0" w:color="000000"/>
              <w:right w:val="single" w:sz="8" w:space="0" w:color="000000"/>
            </w:tcBorders>
            <w:tcMar>
              <w:top w:w="30" w:type="dxa"/>
              <w:left w:w="42" w:type="dxa"/>
              <w:bottom w:w="30" w:type="dxa"/>
              <w:right w:w="42"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hanging="225"/>
        <w:jc w:val="left"/>
        <w:rPr/>
      </w:pPr>
      <w:r>
        <w:rPr/>
      </w:r>
    </w:p>
    <w:p>
      <w:pPr>
        <w:pStyle w:val="TextBody"/>
        <w:bidi w:val="0"/>
        <w:spacing w:lineRule="auto" w:line="345" w:before="0" w:after="0"/>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(1) The total number of citations issued under section 104 of the Mine Act for violations of mandatory health or safety standards that could significantly and substantially contribute to a serious injury if left unabated.</w:t>
      </w:r>
    </w:p>
    <w:p>
      <w:pPr>
        <w:pStyle w:val="TextBody"/>
        <w:bidi w:val="0"/>
        <w:spacing w:lineRule="auto" w:line="345" w:before="40" w:after="283"/>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(2) The total number of orders issued under section 104(b) of the Mine Act, which represents a failure to abate a citation under section 104(a) within the period of time prescribed by MSHA.</w:t>
      </w:r>
    </w:p>
    <w:p>
      <w:pPr>
        <w:pStyle w:val="TextBody"/>
        <w:bidi w:val="0"/>
        <w:spacing w:lineRule="auto" w:line="345" w:before="40" w:after="283"/>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(3) The total number of citations and orders issued by MSHA under section 104(d) of the Mine Act for unwarrantable failure to comply with mandatory health or safety standards.</w:t>
      </w:r>
    </w:p>
    <w:p>
      <w:pPr>
        <w:pStyle w:val="TextBody"/>
        <w:bidi w:val="0"/>
        <w:spacing w:lineRule="auto" w:line="345" w:before="40" w:after="283"/>
        <w:jc w:val="left"/>
        <w:rPr>
          <w:rFonts w:ascii="Times New Roman;serif" w:hAnsi="Times New Roman;serif"/>
          <w:b w:val="false"/>
          <w:color w:val="000000"/>
          <w:sz w:val="16"/>
        </w:rPr>
      </w:pPr>
      <w:r>
        <w:rPr>
          <w:rFonts w:ascii="Times New Roman;serif" w:hAnsi="Times New Roman;serif"/>
          <w:b w:val="false"/>
          <w:color w:val="000000"/>
          <w:sz w:val="16"/>
        </w:rPr>
        <w:t>(4) The total number of flagrant violations identified under section 110(b)(2) of the Mine Act.</w:t>
      </w:r>
    </w:p>
    <w:p>
      <w:pPr>
        <w:pStyle w:val="TextBody"/>
        <w:bidi w:val="0"/>
        <w:spacing w:lineRule="auto" w:line="345" w:before="40" w:after="283"/>
        <w:jc w:val="left"/>
        <w:rPr>
          <w:rFonts w:ascii="Times New Roman;serif" w:hAnsi="Times New Roman;serif"/>
          <w:b w:val="false"/>
          <w:color w:val="000000"/>
          <w:sz w:val="16"/>
        </w:rPr>
      </w:pPr>
      <w:r>
        <w:rPr>
          <w:rFonts w:ascii="Times New Roman;serif" w:hAnsi="Times New Roman;serif"/>
          <w:b w:val="false"/>
          <w:color w:val="000000"/>
          <w:sz w:val="16"/>
        </w:rPr>
        <w:t>(5) The total number of orders issued under section 107(a) of the Mine Act for situations in which MSHA determined an imminent danger existed.</w:t>
      </w:r>
    </w:p>
    <w:p>
      <w:pPr>
        <w:pStyle w:val="TextBody"/>
        <w:bidi w:val="0"/>
        <w:spacing w:lineRule="auto" w:line="345" w:before="40" w:after="283"/>
        <w:jc w:val="left"/>
        <w:rPr>
          <w:rFonts w:ascii="Times New Roman;serif" w:hAnsi="Times New Roman;serif"/>
          <w:b w:val="false"/>
          <w:color w:val="000000"/>
          <w:sz w:val="16"/>
        </w:rPr>
      </w:pPr>
      <w:r>
        <w:rPr>
          <w:rFonts w:ascii="Times New Roman;serif" w:hAnsi="Times New Roman;serif"/>
          <w:b w:val="false"/>
          <w:color w:val="000000"/>
          <w:sz w:val="16"/>
        </w:rPr>
        <w:t>(6) A written notice from the MSHA regarding a pattern of violations under section 104(e) of the Mine Act.</w:t>
      </w:r>
    </w:p>
    <w:p>
      <w:pPr>
        <w:pStyle w:val="TextBody"/>
        <w:bidi w:val="0"/>
        <w:spacing w:lineRule="auto" w:line="345" w:before="40" w:after="283"/>
        <w:jc w:val="left"/>
        <w:rPr>
          <w:rFonts w:ascii="Times New Roman;serif" w:hAnsi="Times New Roman;serif"/>
          <w:b w:val="false"/>
          <w:color w:val="000000"/>
          <w:sz w:val="16"/>
        </w:rPr>
      </w:pPr>
      <w:r>
        <w:rPr>
          <w:rFonts w:ascii="Times New Roman;serif" w:hAnsi="Times New Roman;serif"/>
          <w:b w:val="false"/>
          <w:color w:val="000000"/>
          <w:sz w:val="16"/>
        </w:rPr>
        <w:t>(7) A written notice from the MSHA regarding a potential to have a pattern of violations under section 104(e) of the Mine Act.</w:t>
      </w:r>
    </w:p>
    <w:p>
      <w:pPr>
        <w:pStyle w:val="TextBody"/>
        <w:bidi w:val="0"/>
        <w:spacing w:before="18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29253</Words>
  <Characters>155391</Characters>
  <CharactersWithSpaces>183105</CharactersWithSpaces>
  <Paragraphs>2724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