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w:t>
      </w:r>
    </w:p>
    <w:p>
      <w:pPr>
        <w:pStyle w:val="TextBody"/>
        <w:bidi w:val="0"/>
        <w:spacing w:lineRule="auto" w:line="288" w:before="0" w:after="0"/>
        <w:jc w:val="center"/>
        <w:rPr/>
      </w:pPr>
      <w:r>
        <w:rPr>
          <w:rFonts w:ascii="Times New Roman;sans-serif" w:hAnsi="Times New Roman;sans-serif"/>
          <w:b/>
          <w:color w:val="000000"/>
          <w:sz w:val="36"/>
        </w:rPr>
        <w:t>FORM 10-Q</w:t>
      </w: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(Mark One)</w:t>
      </w:r>
    </w:p>
    <w:tbl>
      <w:tblPr>
        <w:tblW w:w="9447" w:type="dxa"/>
        <w:jc w:val="center"/>
        <w:tblInd w:w="0" w:type="dxa"/>
        <w:tblLayout w:type="fixed"/>
        <w:tblCellMar>
          <w:top w:w="28" w:type="dxa"/>
          <w:left w:w="28" w:type="dxa"/>
          <w:bottom w:w="28" w:type="dxa"/>
          <w:right w:w="28" w:type="dxa"/>
        </w:tblCellMar>
      </w:tblPr>
      <w:tblGrid>
        <w:gridCol w:w="124"/>
        <w:gridCol w:w="109"/>
        <w:gridCol w:w="109"/>
        <w:gridCol w:w="2664"/>
        <w:gridCol w:w="2664"/>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30, 2023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9567" w:type="dxa"/>
        <w:jc w:val="center"/>
        <w:tblInd w:w="0" w:type="dxa"/>
        <w:tblLayout w:type="fixed"/>
        <w:tblCellMar>
          <w:top w:w="28" w:type="dxa"/>
          <w:left w:w="28" w:type="dxa"/>
          <w:bottom w:w="28" w:type="dxa"/>
          <w:right w:w="28" w:type="dxa"/>
        </w:tblCellMar>
      </w:tblPr>
      <w:tblGrid>
        <w:gridCol w:w="124"/>
        <w:gridCol w:w="109"/>
        <w:gridCol w:w="109"/>
        <w:gridCol w:w="2701"/>
        <w:gridCol w:w="2701"/>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 (d)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 xml:space="preserve">For the transition period from </w:t>
      </w:r>
      <w:r>
        <w:rPr>
          <w:color w:val="000000"/>
          <w:u w:val="single"/>
        </w:rPr>
        <w:t>            </w:t>
      </w:r>
      <w:r>
        <w:rPr>
          <w:rFonts w:ascii="Times New Roman;sans-serif" w:hAnsi="Times New Roman;sans-serif"/>
          <w:b/>
          <w:color w:val="000000"/>
          <w:sz w:val="20"/>
        </w:rPr>
        <w:t>to</w:t>
      </w:r>
      <w:r>
        <w:rPr>
          <w:color w:val="000000"/>
          <w:u w:val="single"/>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No. 1-15461 </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w:t>
      </w:r>
    </w:p>
    <w:p>
      <w:pPr>
        <w:pStyle w:val="TextBody"/>
        <w:bidi w:val="0"/>
        <w:spacing w:lineRule="auto" w:line="288" w:before="60" w:after="283"/>
        <w:jc w:val="center"/>
        <w:rPr>
          <w:rFonts w:ascii="Times New Roman;sans-serif" w:hAnsi="Times New Roman;sans-serif"/>
          <w:b/>
          <w:color w:val="000000"/>
          <w:sz w:val="44"/>
        </w:rPr>
      </w:pPr>
      <w:r>
        <w:rPr>
          <w:rFonts w:ascii="Times New Roman;sans-serif" w:hAnsi="Times New Roman;sans-serif"/>
          <w:b/>
          <w:color w:val="000000"/>
          <w:sz w:val="44"/>
        </w:rPr>
        <w:t xml:space="preserve">MATRIX SERVICE COMPANY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w:t>
      </w:r>
    </w:p>
    <w:tbl>
      <w:tblPr>
        <w:tblW w:w="4931" w:type="dxa"/>
        <w:jc w:val="center"/>
        <w:tblInd w:w="0" w:type="dxa"/>
        <w:tblLayout w:type="fixed"/>
        <w:tblCellMar>
          <w:top w:w="28" w:type="dxa"/>
          <w:left w:w="28" w:type="dxa"/>
          <w:bottom w:w="28" w:type="dxa"/>
          <w:right w:w="28" w:type="dxa"/>
        </w:tblCellMar>
      </w:tblPr>
      <w:tblGrid>
        <w:gridCol w:w="672"/>
        <w:gridCol w:w="590"/>
        <w:gridCol w:w="598"/>
        <w:gridCol w:w="109"/>
        <w:gridCol w:w="109"/>
        <w:gridCol w:w="109"/>
        <w:gridCol w:w="801"/>
        <w:gridCol w:w="801"/>
        <w:gridCol w:w="1142"/>
      </w:tblGrid>
      <w:tr>
        <w:trPr/>
        <w:tc>
          <w:tcPr>
            <w:tcW w:w="67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73-1352174</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15 East 5th Street, Suite 1100, Tulsa, Oklahoma 74103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and zip code)</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(918) 838-8822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 </w:t>
      </w:r>
    </w:p>
    <w:p>
      <w:pPr>
        <w:pStyle w:val="TextBody"/>
        <w:bidi w:val="0"/>
        <w:spacing w:lineRule="auto" w:line="288" w:before="100" w:after="12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073" w:type="dxa"/>
        <w:jc w:val="center"/>
        <w:tblInd w:w="0" w:type="dxa"/>
        <w:tblLayout w:type="fixed"/>
        <w:tblCellMar>
          <w:top w:w="28" w:type="dxa"/>
          <w:left w:w="28" w:type="dxa"/>
          <w:bottom w:w="28" w:type="dxa"/>
          <w:right w:w="28" w:type="dxa"/>
        </w:tblCellMar>
      </w:tblPr>
      <w:tblGrid>
        <w:gridCol w:w="1263"/>
        <w:gridCol w:w="1109"/>
        <w:gridCol w:w="1122"/>
        <w:gridCol w:w="584"/>
        <w:gridCol w:w="584"/>
        <w:gridCol w:w="58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u w:val="single"/>
              </w:rPr>
            </w:pPr>
            <w:r>
              <w:rPr>
                <w:color w:val="000000"/>
                <w:u w:val="single"/>
              </w:rPr>
              <w:t> </w:t>
            </w:r>
            <w:r>
              <w:rPr>
                <w:rFonts w:ascii="Times New Roman;sans-serif" w:hAnsi="Times New Roman;sans-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MTRX</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0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6184" w:type="dxa"/>
        <w:jc w:val="left"/>
        <w:tblInd w:w="0" w:type="dxa"/>
        <w:tblLayout w:type="fixed"/>
        <w:tblCellMar>
          <w:top w:w="28" w:type="dxa"/>
          <w:left w:w="28" w:type="dxa"/>
          <w:bottom w:w="28" w:type="dxa"/>
          <w:right w:w="28" w:type="dxa"/>
        </w:tblCellMar>
      </w:tblPr>
      <w:tblGrid>
        <w:gridCol w:w="870"/>
        <w:gridCol w:w="764"/>
        <w:gridCol w:w="766"/>
        <w:gridCol w:w="109"/>
        <w:gridCol w:w="109"/>
        <w:gridCol w:w="109"/>
        <w:gridCol w:w="109"/>
        <w:gridCol w:w="109"/>
        <w:gridCol w:w="109"/>
        <w:gridCol w:w="809"/>
        <w:gridCol w:w="809"/>
        <w:gridCol w:w="813"/>
        <w:gridCol w:w="109"/>
        <w:gridCol w:w="109"/>
        <w:gridCol w:w="109"/>
        <w:gridCol w:w="109"/>
        <w:gridCol w:w="109"/>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8, 2023 there were 27,213,702 shares of the Company's common stock, $0.01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26"/>
        <w:gridCol w:w="285"/>
        <w:gridCol w:w="290"/>
        <w:gridCol w:w="2894"/>
        <w:gridCol w:w="2894"/>
        <w:gridCol w:w="2899"/>
        <w:gridCol w:w="180"/>
        <w:gridCol w:w="180"/>
        <w:gridCol w:w="257"/>
      </w:tblGrid>
      <w:tr>
        <w:trPr/>
        <w:tc>
          <w:tcPr>
            <w:tcW w:w="3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1b1c884dee49e2928192377e94265d_10">
              <w:r>
                <w:rPr>
                  <w:rStyle w:val="InternetLink"/>
                  <w:rFonts w:ascii="Times New Roman;sans-serif" w:hAnsi="Times New Roman;sans-serif"/>
                  <w:b/>
                  <w:color w:val="0000FF"/>
                  <w:sz w:val="20"/>
                  <w:u w:val="single"/>
                </w:rPr>
                <w:t>PART I</w:t>
              </w:r>
            </w:hyperlink>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FINANCIAL INFORMATION</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1b1c884dee49e2928192377e94265d_13">
              <w:r>
                <w:rPr>
                  <w:rStyle w:val="InternetLink"/>
                  <w:rFonts w:ascii="Times New Roman;sans-serif" w:hAnsi="Times New Roman;sans-serif"/>
                  <w:b w:val="false"/>
                  <w:color w:val="0000FF"/>
                  <w:sz w:val="20"/>
                  <w:u w:val="single"/>
                </w:rPr>
                <w:t>Financial Statements (Unaudited)</w:t>
              </w:r>
            </w:hyperlink>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1b1c884dee49e2928192377e94265d_16">
              <w:r>
                <w:rPr>
                  <w:rStyle w:val="InternetLink"/>
                  <w:rFonts w:ascii="Times New Roman;sans-serif" w:hAnsi="Times New Roman;sans-serif"/>
                  <w:b w:val="false"/>
                  <w:color w:val="0000FF"/>
                  <w:sz w:val="20"/>
                  <w:u w:val="single"/>
                </w:rPr>
                <w:t>Condensed Consolidated Statements of Income for the Three Months Ended September 30, 2023 and 2022</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1b1c884dee49e2928192377e94265d_16">
              <w:r>
                <w:rPr>
                  <w:rStyle w:val="InternetLink"/>
                  <w:rFonts w:ascii="Times New Roman;sans-serif" w:hAnsi="Times New Roman;sans-serif"/>
                  <w:b w:val="false"/>
                  <w:color w:val="0000FF"/>
                  <w:sz w:val="20"/>
                  <w:u w:val="single"/>
                </w:rPr>
                <w:t>1</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1b1c884dee49e2928192377e94265d_19">
              <w:r>
                <w:rPr>
                  <w:rStyle w:val="InternetLink"/>
                  <w:rFonts w:ascii="Times New Roman;sans-serif" w:hAnsi="Times New Roman;sans-serif"/>
                  <w:b w:val="false"/>
                  <w:color w:val="0000FF"/>
                  <w:sz w:val="20"/>
                  <w:u w:val="single"/>
                </w:rPr>
                <w:t xml:space="preserve">Condensed Consolidated Statements of Comprehensive Income for the Three Months Ended September 30, 2023 and 2022 </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1b1c884dee49e2928192377e94265d_19">
              <w:r>
                <w:rPr>
                  <w:rStyle w:val="InternetLink"/>
                  <w:rFonts w:ascii="Times New Roman;sans-serif" w:hAnsi="Times New Roman;sans-serif"/>
                  <w:b w:val="false"/>
                  <w:color w:val="0000FF"/>
                  <w:sz w:val="20"/>
                  <w:u w:val="single"/>
                </w:rPr>
                <w:t>2</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1b1c884dee49e2928192377e94265d_25">
              <w:r>
                <w:rPr>
                  <w:rStyle w:val="InternetLink"/>
                  <w:rFonts w:ascii="Times New Roman;sans-serif" w:hAnsi="Times New Roman;sans-serif"/>
                  <w:b w:val="false"/>
                  <w:color w:val="0000FF"/>
                  <w:sz w:val="20"/>
                  <w:u w:val="single"/>
                </w:rPr>
                <w:t>Condensed Consolidated Balance Sheets as of September 30, 2023 and June 30, 2023</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1b1c884dee49e2928192377e94265d_25">
              <w:r>
                <w:rPr>
                  <w:rStyle w:val="InternetLink"/>
                  <w:rFonts w:ascii="Times New Roman;sans-serif" w:hAnsi="Times New Roman;sans-serif"/>
                  <w:b w:val="false"/>
                  <w:color w:val="0000FF"/>
                  <w:sz w:val="20"/>
                  <w:u w:val="single"/>
                </w:rPr>
                <w:t>3</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1b1c884dee49e2928192377e94265d_31">
              <w:r>
                <w:rPr>
                  <w:rStyle w:val="InternetLink"/>
                  <w:rFonts w:ascii="Times New Roman;sans-serif" w:hAnsi="Times New Roman;sans-serif"/>
                  <w:b w:val="false"/>
                  <w:color w:val="0000FF"/>
                  <w:sz w:val="20"/>
                  <w:u w:val="single"/>
                </w:rPr>
                <w:t>Condensed Consolidated Statements of Cash Flows for the Three Months Ended September 30, 2023 and 2022</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1b1c884dee49e2928192377e94265d_31">
              <w:r>
                <w:rPr>
                  <w:rStyle w:val="InternetLink"/>
                  <w:rFonts w:ascii="Times New Roman;sans-serif" w:hAnsi="Times New Roman;sans-serif"/>
                  <w:b w:val="false"/>
                  <w:color w:val="0000FF"/>
                  <w:sz w:val="20"/>
                  <w:u w:val="single"/>
                </w:rPr>
                <w:t>5</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1b1c884dee49e2928192377e94265d_34">
              <w:r>
                <w:rPr>
                  <w:rStyle w:val="InternetLink"/>
                  <w:rFonts w:ascii="Times New Roman;sans-serif" w:hAnsi="Times New Roman;sans-serif"/>
                  <w:b w:val="false"/>
                  <w:color w:val="0000FF"/>
                  <w:sz w:val="20"/>
                  <w:u w:val="single"/>
                </w:rPr>
                <w:t xml:space="preserve">Condensed Consolidated Statements of Changes in Stockholders’ Equity for the Three Months Ended September 30, 2023 and 2022 </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1b1c884dee49e2928192377e94265d_34">
              <w:r>
                <w:rPr>
                  <w:rStyle w:val="InternetLink"/>
                  <w:rFonts w:ascii="Times New Roman;sans-serif" w:hAnsi="Times New Roman;sans-serif"/>
                  <w:b w:val="false"/>
                  <w:color w:val="0000FF"/>
                  <w:sz w:val="20"/>
                  <w:u w:val="single"/>
                </w:rPr>
                <w:t>6</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1b1c884dee49e2928192377e94265d_40">
              <w:r>
                <w:rPr>
                  <w:rStyle w:val="InternetLink"/>
                  <w:rFonts w:ascii="Times New Roman;sans-serif" w:hAnsi="Times New Roman;sans-serif"/>
                  <w:b w:val="false"/>
                  <w:color w:val="0000FF"/>
                  <w:sz w:val="20"/>
                  <w:u w:val="single"/>
                </w:rPr>
                <w:t>Notes to Condensed Consolidated Financial Statements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1b1c884dee49e2928192377e94265d_40">
              <w:r>
                <w:rPr>
                  <w:rStyle w:val="InternetLink"/>
                  <w:rFonts w:ascii="Times New Roman;sans-serif" w:hAnsi="Times New Roman;sans-serif"/>
                  <w:b w:val="false"/>
                  <w:color w:val="0000FF"/>
                  <w:sz w:val="20"/>
                  <w:u w:val="single"/>
                </w:rPr>
                <w:t>8</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1b1c884dee49e2928192377e94265d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1b1c884dee49e2928192377e94265d_79">
              <w:r>
                <w:rPr>
                  <w:rStyle w:val="InternetLink"/>
                  <w:rFonts w:ascii="Times New Roman;sans-serif" w:hAnsi="Times New Roman;sans-serif"/>
                  <w:b w:val="false"/>
                  <w:color w:val="0000FF"/>
                  <w:sz w:val="20"/>
                  <w:u w:val="single"/>
                </w:rPr>
                <w:t>16</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1b1c884dee49e2928192377e94265d_94">
              <w:r>
                <w:rPr>
                  <w:rStyle w:val="InternetLink"/>
                  <w:rFonts w:ascii="Times New Roman;sans-serif" w:hAnsi="Times New Roman;sans-serif"/>
                  <w:b w:val="false"/>
                  <w:color w:val="0000FF"/>
                  <w:sz w:val="20"/>
                  <w:u w:val="single"/>
                </w:rPr>
                <w:t>Quantitative and Qualitative Disclosures About Market Risk</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1b1c884dee49e2928192377e94265d_94">
              <w:r>
                <w:rPr>
                  <w:rStyle w:val="InternetLink"/>
                  <w:rFonts w:ascii="Times New Roman;sans-serif" w:hAnsi="Times New Roman;sans-serif"/>
                  <w:b w:val="false"/>
                  <w:color w:val="0000FF"/>
                  <w:sz w:val="20"/>
                  <w:u w:val="single"/>
                </w:rPr>
                <w:t>27</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1b1c884dee49e2928192377e94265d_97">
              <w:r>
                <w:rPr>
                  <w:rStyle w:val="InternetLink"/>
                  <w:rFonts w:ascii="Times New Roman;sans-serif" w:hAnsi="Times New Roman;sans-serif"/>
                  <w:b w:val="false"/>
                  <w:color w:val="0000FF"/>
                  <w:sz w:val="20"/>
                  <w:u w:val="single"/>
                </w:rPr>
                <w:t>Controls and Procedures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1b1c884dee49e2928192377e94265d_97">
              <w:r>
                <w:rPr>
                  <w:rStyle w:val="InternetLink"/>
                  <w:rFonts w:ascii="Times New Roman;sans-serif" w:hAnsi="Times New Roman;sans-serif"/>
                  <w:b w:val="false"/>
                  <w:color w:val="0000FF"/>
                  <w:sz w:val="20"/>
                  <w:u w:val="single"/>
                </w:rPr>
                <w:t>27</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1b1c884dee49e2928192377e94265d_100">
              <w:r>
                <w:rPr>
                  <w:rStyle w:val="InternetLink"/>
                  <w:rFonts w:ascii="Times New Roman;sans-serif" w:hAnsi="Times New Roman;sans-serif"/>
                  <w:b/>
                  <w:color w:val="0000FF"/>
                  <w:sz w:val="20"/>
                  <w:u w:val="single"/>
                </w:rPr>
                <w:t>PART II</w:t>
              </w:r>
            </w:hyperlink>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1b1c884dee49e2928192377e94265d_103">
              <w:r>
                <w:rPr>
                  <w:rStyle w:val="InternetLink"/>
                  <w:rFonts w:ascii="Times New Roman;sans-serif" w:hAnsi="Times New Roman;sans-serif"/>
                  <w:b w:val="false"/>
                  <w:color w:val="0000FF"/>
                  <w:sz w:val="20"/>
                  <w:u w:val="single"/>
                </w:rPr>
                <w:t>Legal Proceedings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1b1c884dee49e2928192377e94265d_103">
              <w:r>
                <w:rPr>
                  <w:rStyle w:val="InternetLink"/>
                  <w:rFonts w:ascii="Times New Roman;sans-serif" w:hAnsi="Times New Roman;sans-serif"/>
                  <w:b w:val="false"/>
                  <w:color w:val="0000FF"/>
                  <w:sz w:val="20"/>
                  <w:u w:val="single"/>
                </w:rPr>
                <w:t>28</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1b1c884dee49e2928192377e94265d_106">
              <w:r>
                <w:rPr>
                  <w:rStyle w:val="InternetLink"/>
                  <w:rFonts w:ascii="Times New Roman;sans-serif" w:hAnsi="Times New Roman;sans-serif"/>
                  <w:b w:val="false"/>
                  <w:color w:val="0000FF"/>
                  <w:sz w:val="20"/>
                  <w:u w:val="single"/>
                </w:rPr>
                <w:t>Risk Factors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1b1c884dee49e2928192377e94265d_106">
              <w:r>
                <w:rPr>
                  <w:rStyle w:val="InternetLink"/>
                  <w:rFonts w:ascii="Times New Roman;sans-serif" w:hAnsi="Times New Roman;sans-serif"/>
                  <w:b w:val="false"/>
                  <w:color w:val="0000FF"/>
                  <w:sz w:val="20"/>
                  <w:u w:val="single"/>
                </w:rPr>
                <w:t>28</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1b1c884dee49e2928192377e94265d_109">
              <w:r>
                <w:rPr>
                  <w:rStyle w:val="InternetLink"/>
                  <w:rFonts w:ascii="Times New Roman;sans-serif" w:hAnsi="Times New Roman;sans-serif"/>
                  <w:b w:val="false"/>
                  <w:color w:val="0000FF"/>
                  <w:sz w:val="20"/>
                  <w:u w:val="single"/>
                </w:rPr>
                <w:t>Unregistered Sales of Equity Securities and Use of Proceeds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1b1c884dee49e2928192377e94265d_109">
              <w:r>
                <w:rPr>
                  <w:rStyle w:val="InternetLink"/>
                  <w:rFonts w:ascii="Times New Roman;sans-serif" w:hAnsi="Times New Roman;sans-serif"/>
                  <w:b w:val="false"/>
                  <w:color w:val="0000FF"/>
                  <w:sz w:val="20"/>
                  <w:u w:val="single"/>
                </w:rPr>
                <w:t>28</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1b1c884dee49e2928192377e94265d_112">
              <w:r>
                <w:rPr>
                  <w:rStyle w:val="InternetLink"/>
                  <w:rFonts w:ascii="Times New Roman;sans-serif" w:hAnsi="Times New Roman;sans-serif"/>
                  <w:b w:val="false"/>
                  <w:color w:val="0000FF"/>
                  <w:sz w:val="20"/>
                  <w:u w:val="single"/>
                </w:rPr>
                <w:t>Defaults Upon Senior Securities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1b1c884dee49e2928192377e94265d_112">
              <w:r>
                <w:rPr>
                  <w:rStyle w:val="InternetLink"/>
                  <w:rFonts w:ascii="Times New Roman;sans-serif" w:hAnsi="Times New Roman;sans-serif"/>
                  <w:b w:val="false"/>
                  <w:color w:val="0000FF"/>
                  <w:sz w:val="20"/>
                  <w:u w:val="single"/>
                </w:rPr>
                <w:t>28</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1b1c884dee49e2928192377e94265d_115">
              <w:r>
                <w:rPr>
                  <w:rStyle w:val="InternetLink"/>
                  <w:rFonts w:ascii="Times New Roman;sans-serif" w:hAnsi="Times New Roman;sans-serif"/>
                  <w:b w:val="false"/>
                  <w:color w:val="0000FF"/>
                  <w:sz w:val="20"/>
                  <w:u w:val="single"/>
                </w:rPr>
                <w:t>Mine Safety Disclosures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1b1c884dee49e2928192377e94265d_115">
              <w:r>
                <w:rPr>
                  <w:rStyle w:val="InternetLink"/>
                  <w:rFonts w:ascii="Times New Roman;sans-serif" w:hAnsi="Times New Roman;sans-serif"/>
                  <w:b w:val="false"/>
                  <w:color w:val="0000FF"/>
                  <w:sz w:val="20"/>
                  <w:u w:val="single"/>
                </w:rPr>
                <w:t>29</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1b1c884dee49e2928192377e94265d_118">
              <w:r>
                <w:rPr>
                  <w:rStyle w:val="InternetLink"/>
                  <w:rFonts w:ascii="Times New Roman;sans-serif" w:hAnsi="Times New Roman;sans-serif"/>
                  <w:b w:val="false"/>
                  <w:color w:val="0000FF"/>
                  <w:sz w:val="20"/>
                  <w:u w:val="single"/>
                </w:rPr>
                <w:t>Other Information</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1b1c884dee49e2928192377e94265d_118">
              <w:r>
                <w:rPr>
                  <w:rStyle w:val="InternetLink"/>
                  <w:rFonts w:ascii="Times New Roman;sans-serif" w:hAnsi="Times New Roman;sans-serif"/>
                  <w:b w:val="false"/>
                  <w:color w:val="0000FF"/>
                  <w:sz w:val="20"/>
                  <w:u w:val="single"/>
                </w:rPr>
                <w:t>29</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1b1c884dee49e2928192377e94265d_121">
              <w:r>
                <w:rPr>
                  <w:rStyle w:val="InternetLink"/>
                  <w:rFonts w:ascii="Times New Roman;sans-serif" w:hAnsi="Times New Roman;sans-serif"/>
                  <w:b w:val="false"/>
                  <w:color w:val="0000FF"/>
                  <w:sz w:val="20"/>
                  <w:u w:val="single"/>
                </w:rPr>
                <w:t>Exhibits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1b1c884dee49e2928192377e94265d_121">
              <w:r>
                <w:rPr>
                  <w:rStyle w:val="InternetLink"/>
                  <w:rFonts w:ascii="Times New Roman;sans-serif" w:hAnsi="Times New Roman;sans-serif"/>
                  <w:b w:val="false"/>
                  <w:color w:val="0000FF"/>
                  <w:sz w:val="20"/>
                  <w:u w:val="single"/>
                </w:rPr>
                <w:t>29</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1b1c884dee49e2928192377e94265d_124">
              <w:r>
                <w:rPr>
                  <w:rStyle w:val="InternetLink"/>
                  <w:rFonts w:ascii="Times New Roman;sans-serif" w:hAnsi="Times New Roman;sans-serif"/>
                  <w:b w:val="false"/>
                  <w:color w:val="0000FF"/>
                  <w:sz w:val="20"/>
                  <w:u w:val="single"/>
                </w:rPr>
                <w:t>Signature</w:t>
              </w:r>
            </w:hyperlink>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1b1c884dee49e2928192377e94265d_124">
              <w:r>
                <w:rPr>
                  <w:rStyle w:val="InternetLink"/>
                  <w:rFonts w:ascii="Times New Roman;sans-serif" w:hAnsi="Times New Roman;sans-serif"/>
                  <w:b w:val="false"/>
                  <w:color w:val="0000FF"/>
                  <w:sz w:val="20"/>
                  <w:u w:val="single"/>
                </w:rPr>
                <w:t>30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7419" w:type="dxa"/>
        <w:jc w:val="center"/>
        <w:tblInd w:w="0" w:type="dxa"/>
        <w:tblLayout w:type="fixed"/>
        <w:tblCellMar>
          <w:top w:w="28" w:type="dxa"/>
          <w:left w:w="28" w:type="dxa"/>
          <w:bottom w:w="28" w:type="dxa"/>
          <w:right w:w="28" w:type="dxa"/>
        </w:tblCellMar>
      </w:tblPr>
      <w:tblGrid>
        <w:gridCol w:w="1562"/>
        <w:gridCol w:w="1375"/>
        <w:gridCol w:w="1382"/>
        <w:gridCol w:w="211"/>
        <w:gridCol w:w="826"/>
        <w:gridCol w:w="109"/>
        <w:gridCol w:w="109"/>
        <w:gridCol w:w="109"/>
        <w:gridCol w:w="109"/>
        <w:gridCol w:w="211"/>
        <w:gridCol w:w="826"/>
        <w:gridCol w:w="109"/>
        <w:gridCol w:w="109"/>
        <w:gridCol w:w="109"/>
        <w:gridCol w:w="109"/>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(Note 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federal, state and foreign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loss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color w:val="000000"/>
        </w:rPr>
      </w:pPr>
      <w:r>
        <w:rPr>
          <w:color w:val="000000"/>
        </w:rPr>
        <w:t> </w:t>
      </w:r>
    </w:p>
    <w:tbl>
      <w:tblPr>
        <w:tblW w:w="6207" w:type="dxa"/>
        <w:jc w:val="center"/>
        <w:tblInd w:w="0" w:type="dxa"/>
        <w:tblLayout w:type="fixed"/>
        <w:tblCellMar>
          <w:top w:w="28" w:type="dxa"/>
          <w:left w:w="28" w:type="dxa"/>
          <w:bottom w:w="28" w:type="dxa"/>
          <w:right w:w="28" w:type="dxa"/>
        </w:tblCellMar>
      </w:tblPr>
      <w:tblGrid>
        <w:gridCol w:w="1129"/>
        <w:gridCol w:w="986"/>
        <w:gridCol w:w="1004"/>
        <w:gridCol w:w="238"/>
        <w:gridCol w:w="779"/>
        <w:gridCol w:w="123"/>
        <w:gridCol w:w="109"/>
        <w:gridCol w:w="109"/>
        <w:gridCol w:w="109"/>
        <w:gridCol w:w="238"/>
        <w:gridCol w:w="779"/>
        <w:gridCol w:w="123"/>
        <w:gridCol w:w="109"/>
        <w:gridCol w:w="109"/>
        <w:gridCol w:w="109"/>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loss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(8,265)</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723"/>
        <w:gridCol w:w="2396"/>
        <w:gridCol w:w="2421"/>
        <w:gridCol w:w="211"/>
        <w:gridCol w:w="826"/>
        <w:gridCol w:w="109"/>
        <w:gridCol w:w="109"/>
        <w:gridCol w:w="109"/>
        <w:gridCol w:w="109"/>
        <w:gridCol w:w="211"/>
        <w:gridCol w:w="826"/>
        <w:gridCol w:w="155"/>
      </w:tblGrid>
      <w:tr>
        <w:trPr/>
        <w:tc>
          <w:tcPr>
            <w:tcW w:w="2723"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allowances (September 30, 2023—$402 and June 30, 2023—$1,061)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 on uncompleted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262,256 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 of accumulated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400,504 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24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73"/>
        <w:gridCol w:w="2380"/>
        <w:gridCol w:w="2387"/>
        <w:gridCol w:w="211"/>
        <w:gridCol w:w="826"/>
        <w:gridCol w:w="109"/>
        <w:gridCol w:w="109"/>
        <w:gridCol w:w="109"/>
        <w:gridCol w:w="109"/>
        <w:gridCol w:w="211"/>
        <w:gridCol w:w="826"/>
        <w:gridCol w:w="155"/>
      </w:tblGrid>
      <w:tr>
        <w:trPr/>
        <w:tc>
          <w:tcPr>
            <w:tcW w:w="2773"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on uncompleted contracts in excess of costs and estimated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wages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asset-backed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219,020 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Matrix Service Company 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stock—$.01 par value; 60,000,000 shares authorized; 27,888,217 shares issued as of September 30, 2023 and June 30, 2023; 27,209,838 and 27,047,318 shares outstanding as of September 30, 2023 and June 30, 2023,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 678,379 shares as of September 30, 2023, and 840,899 shares as of June 30, 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181,484 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400,504 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8935" w:type="dxa"/>
        <w:jc w:val="center"/>
        <w:tblInd w:w="0" w:type="dxa"/>
        <w:tblLayout w:type="fixed"/>
        <w:tblCellMar>
          <w:top w:w="28" w:type="dxa"/>
          <w:left w:w="28" w:type="dxa"/>
          <w:bottom w:w="28" w:type="dxa"/>
          <w:right w:w="28" w:type="dxa"/>
        </w:tblCellMar>
      </w:tblPr>
      <w:tblGrid>
        <w:gridCol w:w="2277"/>
        <w:gridCol w:w="1997"/>
        <w:gridCol w:w="2010"/>
        <w:gridCol w:w="238"/>
        <w:gridCol w:w="779"/>
        <w:gridCol w:w="123"/>
        <w:gridCol w:w="109"/>
        <w:gridCol w:w="109"/>
        <w:gridCol w:w="109"/>
        <w:gridCol w:w="236"/>
        <w:gridCol w:w="776"/>
        <w:gridCol w:w="172"/>
      </w:tblGrid>
      <w:tr>
        <w:trPr/>
        <w:tc>
          <w:tcPr>
            <w:tcW w:w="2277"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by operating activities:</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of property, plant and equipment (Note 3)</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increasing (decreasing) cash:</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 on uncompleted contracts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liabilities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on uncompleted contracts in excess of costs and estimated earnings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by operating activities</w:t>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(28,875)</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(35,229)</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asset sales (Note 3)</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(used) by investing activities</w:t>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pPr>
      <w:r>
        <w:rPr>
          <w:color w:val="000000"/>
        </w:rPr>
        <w:t> </w:t>
      </w:r>
      <w:r>
        <w:rPr>
          <w:rFonts w:ascii="Times New Roman;sans-serif" w:hAnsi="Times New Roman;sans-serif"/>
          <w:b w:val="false"/>
          <w:i/>
          <w:color w:val="000000"/>
          <w:sz w:val="20"/>
        </w:rPr>
        <w:t>See accompanying notes.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41"/>
        <w:gridCol w:w="2405"/>
        <w:gridCol w:w="2414"/>
        <w:gridCol w:w="230"/>
        <w:gridCol w:w="787"/>
        <w:gridCol w:w="118"/>
        <w:gridCol w:w="109"/>
        <w:gridCol w:w="109"/>
        <w:gridCol w:w="109"/>
        <w:gridCol w:w="229"/>
        <w:gridCol w:w="784"/>
        <w:gridCol w:w="170"/>
      </w:tblGrid>
      <w:tr>
        <w:trPr/>
        <w:tc>
          <w:tcPr>
            <w:tcW w:w="2741"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7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75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75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75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75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75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under employee stock purchase plan</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for payment of statutory taxes due on equity-based compensation</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75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75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75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by financing activities</w:t>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(38,029)</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cash equivalents and restricted cash, beginning of period </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77,371 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cash equivalents and restricted cash, end of period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1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(received) during the period for:</w:t>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11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 on account</w:t>
            </w:r>
          </w:p>
        </w:tc>
        <w:tc>
          <w:tcPr>
            <w:tcW w:w="2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7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75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75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pPr>
      <w:r>
        <w:rPr>
          <w:color w:val="000000"/>
        </w:rPr>
        <w:t> </w:t>
      </w:r>
      <w:r>
        <w:rPr>
          <w:rFonts w:ascii="Times New Roman;sans-serif" w:hAnsi="Times New Roman;sans-serif"/>
          <w:b w:val="false"/>
          <w:i/>
          <w:color w:val="000000"/>
          <w:sz w:val="20"/>
        </w:rPr>
        <w:t>See accompanying notes.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045"/>
        <w:gridCol w:w="705"/>
        <w:gridCol w:w="686"/>
        <w:gridCol w:w="206"/>
        <w:gridCol w:w="444"/>
        <w:gridCol w:w="116"/>
        <w:gridCol w:w="109"/>
        <w:gridCol w:w="109"/>
        <w:gridCol w:w="109"/>
        <w:gridCol w:w="196"/>
        <w:gridCol w:w="736"/>
        <w:gridCol w:w="109"/>
        <w:gridCol w:w="109"/>
        <w:gridCol w:w="109"/>
        <w:gridCol w:w="109"/>
        <w:gridCol w:w="196"/>
        <w:gridCol w:w="736"/>
        <w:gridCol w:w="109"/>
        <w:gridCol w:w="109"/>
        <w:gridCol w:w="109"/>
        <w:gridCol w:w="109"/>
        <w:gridCol w:w="272"/>
        <w:gridCol w:w="792"/>
        <w:gridCol w:w="152"/>
        <w:gridCol w:w="109"/>
        <w:gridCol w:w="109"/>
        <w:gridCol w:w="109"/>
        <w:gridCol w:w="196"/>
        <w:gridCol w:w="677"/>
        <w:gridCol w:w="109"/>
        <w:gridCol w:w="109"/>
        <w:gridCol w:w="109"/>
        <w:gridCol w:w="109"/>
        <w:gridCol w:w="196"/>
        <w:gridCol w:w="736"/>
        <w:gridCol w:w="156"/>
      </w:tblGrid>
      <w:tr>
        <w:trPr/>
        <w:tc>
          <w:tcPr>
            <w:tcW w:w="104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June 30, 2023</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181,484 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3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(210,243 shares)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shares sold to Employee Stock Purchase Plan (7,601 shares)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shares purchased to satisfy tax withholding obligations (55,324 shares)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September 30, 2023</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(9,307)</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179,123 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June 30, 2022</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227,706 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3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(204,827 shares)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shares sold to Employee Stock Purchase Plan (13,033 shares)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shares purchased to satisfy tax withholding obligations (52,864 shares)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September 30, 2022</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137,651 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(9,928)</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221,251 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1 – Basis of Presentation and Significant Accounting Policies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Matrix Service Company and its subsidiaries (“Matrix”, “we”, “our”, “us”, “its” or the “Company”), unless otherwise indicated. Intercompany balances and transactions have been eliminated in consolidation.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consolidated financial statements should be read in conjunction with the audited financial statements for the year ended June 30, 2023, included in our Annual Report on Form 10-K for the year then ended. The results of operations for the three month period ended September 30, 2023 may not necessarily be indicative of the results of operations for the full year ending June 30, 2024.</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Significant Accounting Policies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detailed in “Note 1 - Summary of Significant Accounting Policies” of our Annual Report on Form 10-K for the year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2 – Revenue</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had $376.5 million of remaining performance obligations yet to be satisfied as of September 30, 2023. We expect to recognize $293.1 million of our remaining performance obligations as revenue within the next twelve months.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lineRule="auto" w:line="288"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Contract terms with customers include the timing of billing and payments, which usually differs from the timing of revenue recognition. As a result, we carry contract assets and liabilities in our balance sheet. These contract assets and liabilities are calculated on a contract-by-contract basis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billings in excess of revenue recognized. The following table provides information about CIE and BIE:</w:t>
      </w:r>
    </w:p>
    <w:tbl>
      <w:tblPr>
        <w:tblW w:w="10205" w:type="dxa"/>
        <w:jc w:val="center"/>
        <w:tblInd w:w="0" w:type="dxa"/>
        <w:tblLayout w:type="fixed"/>
        <w:tblCellMar>
          <w:top w:w="28" w:type="dxa"/>
          <w:left w:w="28" w:type="dxa"/>
          <w:bottom w:w="28" w:type="dxa"/>
          <w:right w:w="28" w:type="dxa"/>
        </w:tblCellMar>
      </w:tblPr>
      <w:tblGrid>
        <w:gridCol w:w="2263"/>
        <w:gridCol w:w="1984"/>
        <w:gridCol w:w="1994"/>
        <w:gridCol w:w="214"/>
        <w:gridCol w:w="812"/>
        <w:gridCol w:w="110"/>
        <w:gridCol w:w="109"/>
        <w:gridCol w:w="109"/>
        <w:gridCol w:w="109"/>
        <w:gridCol w:w="211"/>
        <w:gridCol w:w="795"/>
        <w:gridCol w:w="109"/>
        <w:gridCol w:w="109"/>
        <w:gridCol w:w="109"/>
        <w:gridCol w:w="109"/>
        <w:gridCol w:w="211"/>
        <w:gridCol w:w="690"/>
        <w:gridCol w:w="158"/>
      </w:tblGrid>
      <w:tr>
        <w:trPr/>
        <w:tc>
          <w:tcPr>
            <w:tcW w:w="2263"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62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6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 on uncompleted contracts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on uncompleted contracts in excess of costs and estimated earnings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(73,133)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 liabilities</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(30,764)</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beginning and ending balances of our CIE and BIE primarily results from the timing of revenue recognized relative to the billings on the associated contract. The amount of revenue recognized during the three months ended September 30, 2023 that was included in the June 30, 2023 BIE balance was $62.9 million. This revenue consists primarily of work performed during the period on contracts with customers that had advance billings.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Progress billings in accounts receivable at September 30, 2023 and June 30, 2023 included retentions to be collected within one year of $15.2 million and $16.3 million, respectively. Contract retentions collectible beyond one year are included in other assets, non-current in the Condensed Consolidated Balance Sheets and totaled $13.4 million as of September 30, 2023 and $10.0 million as of June 30, 2023.</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Unpriced Change Orders and Claims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 on uncompleted contracts included revenues for unpriced change orders and claims of $10.1 million at September 30, 2023 and $9.7 million at June 30, 2023. The amounts ultimately realized may be significantly different than the recorded amounts resulting in a material adjustment to future earnings. The determination of our legal basis for a claim requires significant judgment. Generally, collection of amounts related to unpriced change orders and claims is expected within twelve months. However, since customers may not pay these amounts until final resolution of related claims, collection of these amounts may extend beyond one year.</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Disaggregated Revenue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disaggregated by reportable segment is presented in Note 8 - Segment Information. The following tables presents revenue disaggregated by geographic area where the work was performed and by contract type: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Geographic Disaggregation:</w:t>
      </w:r>
    </w:p>
    <w:tbl>
      <w:tblPr>
        <w:tblW w:w="5332" w:type="dxa"/>
        <w:jc w:val="left"/>
        <w:tblInd w:w="0" w:type="dxa"/>
        <w:tblLayout w:type="fixed"/>
        <w:tblCellMar>
          <w:top w:w="28" w:type="dxa"/>
          <w:left w:w="28" w:type="dxa"/>
          <w:bottom w:w="28" w:type="dxa"/>
          <w:right w:w="28" w:type="dxa"/>
        </w:tblCellMar>
      </w:tblPr>
      <w:tblGrid>
        <w:gridCol w:w="604"/>
        <w:gridCol w:w="529"/>
        <w:gridCol w:w="532"/>
        <w:gridCol w:w="109"/>
        <w:gridCol w:w="109"/>
        <w:gridCol w:w="109"/>
        <w:gridCol w:w="109"/>
        <w:gridCol w:w="109"/>
        <w:gridCol w:w="128"/>
        <w:gridCol w:w="128"/>
        <w:gridCol w:w="248"/>
        <w:gridCol w:w="972"/>
        <w:gridCol w:w="128"/>
        <w:gridCol w:w="109"/>
        <w:gridCol w:w="109"/>
        <w:gridCol w:w="109"/>
        <w:gridCol w:w="211"/>
        <w:gridCol w:w="826"/>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518" w:type="dxa"/>
            <w:gridSpan w:val="6"/>
            <w:tcBorders/>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197,659 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Type Disaggregation:                                                                </w:t>
      </w:r>
    </w:p>
    <w:tbl>
      <w:tblPr>
        <w:tblW w:w="8172" w:type="dxa"/>
        <w:jc w:val="left"/>
        <w:tblInd w:w="0" w:type="dxa"/>
        <w:tblLayout w:type="fixed"/>
        <w:tblCellMar>
          <w:top w:w="28" w:type="dxa"/>
          <w:left w:w="28" w:type="dxa"/>
          <w:bottom w:w="28" w:type="dxa"/>
          <w:right w:w="28" w:type="dxa"/>
        </w:tblCellMar>
      </w:tblPr>
      <w:tblGrid>
        <w:gridCol w:w="1713"/>
        <w:gridCol w:w="1501"/>
        <w:gridCol w:w="1511"/>
        <w:gridCol w:w="109"/>
        <w:gridCol w:w="109"/>
        <w:gridCol w:w="109"/>
        <w:gridCol w:w="110"/>
        <w:gridCol w:w="110"/>
        <w:gridCol w:w="110"/>
        <w:gridCol w:w="110"/>
        <w:gridCol w:w="214"/>
        <w:gridCol w:w="838"/>
        <w:gridCol w:w="110"/>
        <w:gridCol w:w="109"/>
        <w:gridCol w:w="109"/>
        <w:gridCol w:w="109"/>
        <w:gridCol w:w="211"/>
        <w:gridCol w:w="826"/>
        <w:gridCol w:w="154"/>
      </w:tblGrid>
      <w:tr>
        <w:trPr/>
        <w:tc>
          <w:tcPr>
            <w:tcW w:w="171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518" w:type="dxa"/>
            <w:gridSpan w:val="6"/>
            <w:tcBorders/>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and materials and other cost reimbursable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Note 3 – Property, Plant and Equipment</w:t>
      </w:r>
    </w:p>
    <w:p>
      <w:pPr>
        <w:pStyle w:val="TextBody"/>
        <w:bidi w:val="0"/>
        <w:spacing w:lineRule="auto" w:line="288" w:before="3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Burlington Office Disposal</w:t>
      </w:r>
    </w:p>
    <w:p>
      <w:pPr>
        <w:pStyle w:val="TextBody"/>
        <w:bidi w:val="0"/>
        <w:spacing w:lineRule="auto" w:line="288" w:before="3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fiscal 2024, we sold a previously utilized facility in Burlington, Ontario for $2.7 million in net proceeds, which resulted in a gain of $2.5 million. The gain was included in Other income in the Condensed Consolidated Statements of Income. We closed this previously utilized facility during the second quarter of fiscal 2023 because it was no longer strategic to the future of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4 – Debt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9, 2021, the Company and our primary U.S. and Canada operating subsidiaries entered into an asset-based credit agreement, which was amended on October 5, 2022 (as amended, the "ABL Facility"), with Bank of Montreal, as Administrative Agent, Swing Line Lender and a Letter of Credit Issuer, and the lenders named therein. The maximum amount of loans under the ABL Facility is limited to $90.0 million. The ABL Facility's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and the assets of our co-borrowers and guarantors under the ABL Facility.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ABL Facility matures, and any outstanding amounts become due and payable, on September 9, 2026. At September 30, 2023, our borrowing base was $72.9 million, we had $10.0 million of outstanding borrowings, and we had $10.0 million in letters of credit outstanding, which resulted in availability of $52.9 million under the ABL Facility. We repaid all outstanding borrowings in November 2023.</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ABL Facility bear interest through maturity at a variable rate based upon, at our option, an annual rate of either a base rate (“Base Rate”), an Adjusted Term Secured Overnight Financing Rate ("Adjusted Term SOFR"), or at the Canadian Prime Rate, plus an applicable margin. The Adjusted Term SOFR is defined as (i) the SOFR plus (ii) 11.448 basis points for a one-month tenor and 26.161 basis points for a three-month tenor; provided that the Adjusted Term SOFR cannot be below zero. The Base Rate is defined as a fluctuating interest rate equal to the greater of: (i) rate of interest announced by Bank of Montreal from time to time as its prime rate; (ii) the U.S. federal funds rate plus 0.50%; (iii) Adjusted Term SOFR for one month period plus 1.00%; or (iv) 1.00%. Depending on the amount of average availability, the applicable margin is between 1.00% to 1.50% for Base Rate and Canadian Prime Rate borrowings, which includes either U.S. or Canadian prime rate, and between 2.00% and 2.50% for Adjusted Term SOFR borrowings. Interest is payable either (i) monthly for Base Rate or Canadian Prime Rate borrowings or (ii) the last day of the interest period for Adjusted Term SOFR borrowings, as set forth in the ABL Facility. The fee for undrawn amounts is 0.25% per annum and is due quarterly. The interest rate in effect for borrowings outstanding at September 30, 2023, including applicable margin, was approximately 7.68%.</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ABL Facility contains customary conditions to borrowings, events of default and covenants, including, but not limited to, covenants that restrict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commitments under the ABL Facility then in effect, a consolidated Fixed Charge Coverage Ratio of at least 1.00 to 1.00 must be maintained. We were in compliance with all covenants of the ABL Facility as of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5 – Income Taxes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Effective Tax Rate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rates were zero for each of the three months ended September 30, 2023 and 2022, respectively. The effective tax rates during both periods were impacted by valuation allowances of $0.2 million and $1.4 million, respectively, placed on deferred tax assets generated during the quarters.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Valuation Allowance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placed a valuation allowance on our deferred tax assets in the second quarter of fiscal 2022 due to the existence of a cumulative loss over a three-year period. We will continue to place valuation allowances on newly generated deferred tax assets and will realize the benefit associated with the deferred tax assets for which the valuation allowance has been provided to the extent we generate taxable income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Note 6 – Commitments and Contingencies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Insurance Reserves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insurance coverage for various aspects of our operations. However, we retain exposure to potential losses through the use of deductibles, self-insured retentions and coverage limits.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Typically, our contracts require us to indemnify our customers for injury, damage or loss arising from the performance of our services and provide warranties for materials and workmanship. We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We maintain a performance and payment bonding line sufficient to support the business. We generally require our subcontractors to indemnify us and our customer and name us as an additional insured for activities arising out of the subcontractors’ work. We also require certain subcontractors to provide additional insurance policies, including surety bonds in favor of us, to secure the subcontractors’ work or as required by the subcontract.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our insurance and the additional insurance coverage provided by our subcontractors will fully protect us against a valid claim or loss under the contracts with our customers.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Litigation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2020, we commenced litigation in an effort to collect an account receivable from an iron and steel customer on a reimbursable contract following the deterioration of the relationship. The unpaid receivable balance at September 30, 2023 was $16.8 million. In connection with our suit, the customer filed certain counterclaims against us. In September 2023, a jury returned a verdict in our favor and awarded us the full contract balance. We received payment in October 2023.</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2023, we completed cost reimbursable construction services for a customer at a mining and minerals facility. In late fiscal 2023, after numerous attempts to collect outstanding receivables, we filed a notice of default for lack of payment of outstanding balances, and in early fiscal 2024, we filed a lien on the facility. The customer responded by commencing litigation against us, alleging breach of contract and breach of express warranty. We deny all claims and filed a countersuit against the customer for failure to pay outstanding amounts of accounts receivable, net of BIE, which total $5.4 million as of September 30, 2023. Litigation is unpredictable, however, based on the terms of the contract with this customer, we believe we are entitled to collect the full amount owed under the contract.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2022, we filed an arbitration demand in an effort to collect outstanding balances of $32.7 million from a customer for which we completed a crude oil storage terminal project. The customer has filed counterclaims for liquidated damages and miscellaneous warranty items. We deny all claims and believe we are entitled to collect the full amount owed under the contract. Our hearing for this matter is currently scheduled for October 2024.</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have set appropriate reserves for the matters described above based on our evaluation of the possible outcomes of the litigation. We and our subsidiaries are participants in various other legal actions. It is the opinion of management that none of the other known legal actions will have a material impact on our financial position, results of operations or liquidity.</w:t>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7 – Earnings per Common Share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(“Basic EPS”) is calculated based on the weighted average shares outstanding during the period. Diluted earnings per share (“Diluted EPS”) includes the dilutive effect of nonvested restricted stock shares. In the event we report a loss, nonvested restricted stock shares are not included since they are anti-dilutive.</w:t>
      </w:r>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computation of basic and diluted earnings per share is as follows:</w:t>
      </w:r>
    </w:p>
    <w:tbl>
      <w:tblPr>
        <w:tblW w:w="7113" w:type="dxa"/>
        <w:jc w:val="center"/>
        <w:tblInd w:w="0" w:type="dxa"/>
        <w:tblLayout w:type="fixed"/>
        <w:tblCellMar>
          <w:top w:w="28" w:type="dxa"/>
          <w:left w:w="28" w:type="dxa"/>
          <w:bottom w:w="28" w:type="dxa"/>
          <w:right w:w="28" w:type="dxa"/>
        </w:tblCellMar>
      </w:tblPr>
      <w:tblGrid>
        <w:gridCol w:w="1360"/>
        <w:gridCol w:w="1192"/>
        <w:gridCol w:w="1212"/>
        <w:gridCol w:w="109"/>
        <w:gridCol w:w="109"/>
        <w:gridCol w:w="120"/>
        <w:gridCol w:w="120"/>
        <w:gridCol w:w="120"/>
        <w:gridCol w:w="120"/>
        <w:gridCol w:w="238"/>
        <w:gridCol w:w="780"/>
        <w:gridCol w:w="122"/>
        <w:gridCol w:w="109"/>
        <w:gridCol w:w="109"/>
        <w:gridCol w:w="109"/>
        <w:gridCol w:w="236"/>
        <w:gridCol w:w="776"/>
        <w:gridCol w:w="172"/>
      </w:tblGrid>
      <w:tr>
        <w:trPr/>
        <w:tc>
          <w:tcPr>
            <w:tcW w:w="136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511" w:type="dxa"/>
            <w:gridSpan w:val="6"/>
            <w:tcBorders/>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1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 thousands, except per share data)</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27,113 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26,862 </w:t>
            </w:r>
          </w:p>
        </w:tc>
        <w:tc>
          <w:tcPr>
            <w:tcW w:w="17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7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27,113 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26,862 </w:t>
            </w:r>
          </w:p>
        </w:tc>
        <w:tc>
          <w:tcPr>
            <w:tcW w:w="17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before="0" w:after="20"/>
        <w:jc w:val="left"/>
        <w:rPr/>
      </w:pPr>
      <w:r>
        <w:rPr/>
      </w:r>
    </w:p>
    <w:p>
      <w:pPr>
        <w:pStyle w:val="TextBody"/>
        <w:bidi w:val="0"/>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securities ar    e considered antidilutive and have been excluded from the calculation of Diluted EPS:</w:t>
      </w:r>
    </w:p>
    <w:p>
      <w:pPr>
        <w:pStyle w:val="TextBody"/>
        <w:bidi w:val="0"/>
        <w:spacing w:before="0" w:after="20"/>
        <w:jc w:val="left"/>
        <w:rPr/>
      </w:pPr>
      <w:r>
        <w:rPr/>
      </w:r>
    </w:p>
    <w:tbl>
      <w:tblPr>
        <w:tblW w:w="6313" w:type="dxa"/>
        <w:jc w:val="center"/>
        <w:tblInd w:w="0" w:type="dxa"/>
        <w:tblLayout w:type="fixed"/>
        <w:tblCellMar>
          <w:top w:w="28" w:type="dxa"/>
          <w:left w:w="28" w:type="dxa"/>
          <w:bottom w:w="28" w:type="dxa"/>
          <w:right w:w="28" w:type="dxa"/>
        </w:tblCellMar>
      </w:tblPr>
      <w:tblGrid>
        <w:gridCol w:w="1016"/>
        <w:gridCol w:w="891"/>
        <w:gridCol w:w="897"/>
        <w:gridCol w:w="109"/>
        <w:gridCol w:w="109"/>
        <w:gridCol w:w="320"/>
        <w:gridCol w:w="320"/>
        <w:gridCol w:w="379"/>
        <w:gridCol w:w="379"/>
        <w:gridCol w:w="382"/>
        <w:gridCol w:w="109"/>
        <w:gridCol w:w="109"/>
        <w:gridCol w:w="109"/>
        <w:gridCol w:w="346"/>
        <w:gridCol w:w="346"/>
        <w:gridCol w:w="492"/>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511" w:type="dxa"/>
            <w:gridSpan w:val="6"/>
            <w:tcBorders/>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6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 thousands)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8 – Segment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report our results of operations through three reportable segments: Storage and Terminal Solutions, Utility and Power Infrastructure, and Process and Industrial Facilities.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u w:val="single"/>
        </w:rPr>
        <w:t>Storage and Terminal Solutions</w:t>
      </w:r>
      <w:r>
        <w:rPr>
          <w:rFonts w:ascii="Times New Roman;sans-serif" w:hAnsi="Times New Roman;sans-serif"/>
          <w:b w:val="false"/>
          <w:color w:val="000000"/>
          <w:sz w:val="20"/>
        </w:rPr>
        <w:t>: primarily consists of engineering, procurement, fabrication, and construction services related to cryogenic and other specialty tanks and terminals for LNG, NGLs, hydrogen, ammonia, propane, butane, liquid nitrogen/liquid oxygen, and liquid petroleum. We also perform work related to traditional aboveground crude oil and refined product storage tanks and terminals. This segment also includes terminal balance of plant work, truck and rail loading/offloading facilities, and marine structures as well as storage tank and terminal maintenance and repair. Finally, we manufacture and sell precision engineered specialty tank products, including geodesic domes, aluminum internal floating roofs, floating suction and skimmer systems, roof drain systems and floating roof seals.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u w:val="single"/>
        </w:rPr>
        <w:t>Utility and Power Infrastructure</w:t>
      </w:r>
      <w:r>
        <w:rPr>
          <w:rFonts w:ascii="Times New Roman;sans-serif" w:hAnsi="Times New Roman;sans-serif"/>
          <w:b w:val="false"/>
          <w:color w:val="000000"/>
          <w:sz w:val="20"/>
        </w:rPr>
        <w:t>: primarily consists of engineering, procurement, fabrication, and construction services to support growing demand for LNG utility peak shaving facilities. We also perform traditional electrical work for public and private utilities, including construction of new substations, upgrades of existing substations, transmission and distribution line installations, and upgrades and maintenance including live wire work. Work may also include emergency and storm restoration services. We also provide construction services to a variety of power generation facilities, including natural gas fired facilities in simple or combined cycle configurations.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u w:val="single"/>
        </w:rPr>
        <w:t>Process and Industrial Facilities</w:t>
      </w:r>
      <w:r>
        <w:rPr>
          <w:rFonts w:ascii="Times New Roman;sans-serif" w:hAnsi="Times New Roman;sans-serif"/>
          <w:b w:val="false"/>
          <w:color w:val="000000"/>
          <w:sz w:val="20"/>
        </w:rPr>
        <w:t>: primarily consists of plant maintenance, repair, and turnarounds in the downstream and midstream markets for energy clients including refining and processing of crude oil, fractionating, and marketing of natural gas and natural gas liquids. We also perform engineering, procurement, fabrication, and construction for refinery upgrades and retrofits for renewable fuels. We also construct thermal vacuum test chambers for aerospace and defense industries and other infrastructure for industries including petrochemical, sulfur, mining and minerals primarily in the extraction of non-ferrous metals, cement, agriculture, wastewater treatment facilities and other industrial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performance and allocate resources based on operating income. We eliminate intersegment sales; therefore, no intercompany profit or loss is recognized. Corporate selling, general and administrative expenses are excluded from our three reportable segments in order to align controllable costs with the responsibility of segment management, and to be consistent with how our chief operating decision-maker assesses segment performance and allocates resources. Segment assets consist primarily of accounts receivable, costs and estimated earnings in excess of billings on uncompleted contracts, property, plant and equipment, right-of-use lease assets, goodwill and other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00" w:after="12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7524" w:type="dxa"/>
        <w:jc w:val="center"/>
        <w:tblInd w:w="0" w:type="dxa"/>
        <w:tblLayout w:type="fixed"/>
        <w:tblCellMar>
          <w:top w:w="28" w:type="dxa"/>
          <w:left w:w="28" w:type="dxa"/>
          <w:bottom w:w="28" w:type="dxa"/>
          <w:right w:w="28" w:type="dxa"/>
        </w:tblCellMar>
      </w:tblPr>
      <w:tblGrid>
        <w:gridCol w:w="1515"/>
        <w:gridCol w:w="1330"/>
        <w:gridCol w:w="1339"/>
        <w:gridCol w:w="109"/>
        <w:gridCol w:w="109"/>
        <w:gridCol w:w="128"/>
        <w:gridCol w:w="128"/>
        <w:gridCol w:w="248"/>
        <w:gridCol w:w="972"/>
        <w:gridCol w:w="128"/>
        <w:gridCol w:w="109"/>
        <w:gridCol w:w="109"/>
        <w:gridCol w:w="109"/>
        <w:gridCol w:w="211"/>
        <w:gridCol w:w="826"/>
        <w:gridCol w:w="154"/>
      </w:tblGrid>
      <w:tr>
        <w:trPr/>
        <w:tc>
          <w:tcPr>
            <w:tcW w:w="1515"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518" w:type="dxa"/>
            <w:gridSpan w:val="6"/>
            <w:tcBorders/>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90,979 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198,512 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Less: Inter-segment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inter-segment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90,144 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(5,254)</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by segment were as follows (in thousands):</w:t>
      </w:r>
    </w:p>
    <w:tbl>
      <w:tblPr>
        <w:tblW w:w="5675" w:type="dxa"/>
        <w:jc w:val="left"/>
        <w:tblInd w:w="0" w:type="dxa"/>
        <w:tblLayout w:type="fixed"/>
        <w:tblCellMar>
          <w:top w:w="28" w:type="dxa"/>
          <w:left w:w="28" w:type="dxa"/>
          <w:bottom w:w="28" w:type="dxa"/>
          <w:right w:w="28" w:type="dxa"/>
        </w:tblCellMar>
      </w:tblPr>
      <w:tblGrid>
        <w:gridCol w:w="971"/>
        <w:gridCol w:w="855"/>
        <w:gridCol w:w="858"/>
        <w:gridCol w:w="109"/>
        <w:gridCol w:w="109"/>
        <w:gridCol w:w="109"/>
        <w:gridCol w:w="211"/>
        <w:gridCol w:w="826"/>
        <w:gridCol w:w="109"/>
        <w:gridCol w:w="109"/>
        <w:gridCol w:w="109"/>
        <w:gridCol w:w="109"/>
        <w:gridCol w:w="211"/>
        <w:gridCol w:w="82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Note 9 – Restructuring Costs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fiscal 2020, we initiated a business improvement plan to increase profitability and reduce our cost structure in order to help us become more competitive and deliver higher quality service. As a result of specific events, including the effects of the COVID-19 pandemic and related market disruptions, the Company expanded its business improvement plan.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improvement plan consisted of an initial phase of discretionary cost reductions, workforce reductions, reduction of capital expenditures and the reduction in size or closure of certain offices in order to increase the utilization of our staff and bring the cost structure of the business in line with revenue volumes. In fiscal 2022, we commenced a second phase of our plan to focus on centralization of support functions, including business development, accounting, human resources, procurement and project services into shared service centers. During the three months ended September 30, 2022, we incurred $1.3 million which was primarily related to severance and other personnel-related costs in connection with the second phase of our plan. Our restructuring efforts were substantially complete as of June 30, 2023.</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include, among others, such things as: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amounts and nature of future project awards, revenue and margins from each of our segments;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generate sufficient cash from operations, access our credit facility, or raise cash in order to meet our short and long-term capital requirements;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comply with the covenants in our credit agreement;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impact to our business from economic, market or business conditions in general and in the natural gas, power, oil, petrochemical, agricultural and mining industries in particular;</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impact of inflation on our operating expenses and our business operations;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likely impact of new or existing regulations or market forces on the demand for our services;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impact to our business from disruptions to supply chains, inflation and availability of materials and labor;</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with respect to the likelihood of a future impairment;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regarding pending litigation;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expansion and other trends of the industries we serve.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risk factors discussed in this Form 10-Q, Form 10-K for the fiscal year ended June 30, 2023, and in our other filings with the Securities and Exchange Commission;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economic, market or business conditions in general and in the natural gas, power, oil, petrochemical, agricultural and mining industries in particular;</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transition to renewable energy sources and its impact on our current customer base;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under- or over-utilization of our work force;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delays in the commencement or progression of major projects, whether due to permitting issues or other factors;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reduced creditworthiness of our customer base and the higher risk of non-payment of receivables;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inherently uncertain outcome of current and future litigation;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adequacy of our reserves for claims and contingencies;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changes in laws or regulations, including the imposition, cancellation or delay of tariffs on imported goods.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update publicly, except as required by law, any such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report our results of operations through three reportable segments: Storage and Terminal Solutions, Utility and Power Infrastructure, and Process and Industrial Facilities.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u w:val="single"/>
        </w:rPr>
        <w:t>Storage and Terminal Solutions</w:t>
      </w:r>
      <w:r>
        <w:rPr>
          <w:rFonts w:ascii="Times New Roman;sans-serif" w:hAnsi="Times New Roman;sans-serif"/>
          <w:b w:val="false"/>
          <w:color w:val="000000"/>
          <w:sz w:val="20"/>
        </w:rPr>
        <w:t>: primarily consists of engineering, procurement, fabrication, and construction services related to cryogenic and other specialty tanks and terminals for LNG, NGLs, hydrogen, ammonia, propane, butane, liquid nitrogen/liquid oxygen, and liquid petroleum. We also perform work related to traditional aboveground crude oil and refined product storage tanks and terminals. This segment also includes terminal balance of plant work, truck and rail loading/offloading facilities, and marine structures as well as storage tank and terminal maintenance and repair. Finally, we manufacture and sell precision engineered specialty tank products, including geodesic domes, aluminum internal floating roofs, floating suction and skimmer systems, roof drain systems and floating roof seals.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u w:val="single"/>
        </w:rPr>
        <w:t>Utility and Power Infrastructure</w:t>
      </w:r>
      <w:r>
        <w:rPr>
          <w:rFonts w:ascii="Times New Roman;sans-serif" w:hAnsi="Times New Roman;sans-serif"/>
          <w:b w:val="false"/>
          <w:color w:val="000000"/>
          <w:sz w:val="20"/>
        </w:rPr>
        <w:t>: primarily consists of engineering, procurement, fabrication, and construction services to support growing demand for LNG utility peak shaving facilities. We also perform traditional electrical work for public and private utilities, including construction of new substations, upgrades of existing substations, transmission and distribution line installations, and upgrades and maintenance including live wire work. Work may also include emergency and storm restoration services. We also provide construction services to a variety of power generation facilities, including natural gas fired facilities in simple or combined cycle configurations.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u w:val="single"/>
        </w:rPr>
        <w:t>Process and Industrial Facilities</w:t>
      </w:r>
      <w:r>
        <w:rPr>
          <w:rFonts w:ascii="Times New Roman;sans-serif" w:hAnsi="Times New Roman;sans-serif"/>
          <w:b w:val="false"/>
          <w:color w:val="000000"/>
          <w:sz w:val="20"/>
        </w:rPr>
        <w:t>: primarily consists of plant maintenance, repair, and turnarounds in the downstream and midstream markets for energy clients including refining and processing of crude oil, fractionating, and marketing of natural gas and natural gas liquids. We also perform engineering, procurement, fabrication, and construction for refinery upgrades and retrofits for renewable fuels. We also construct thermal vacuum test chambers for aerospace and defense industries and other infrastructure for industries including petrochemical, sulfur, mining and minerals primarily in the extraction of non-ferrous metals, cement, agriculture, wastewater treatment facilities and other industrial customers.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Operational Update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received $497.4 million of project awards during the first quarter of fiscal 2024, which resulted in a book-to-bill ratio of 2.5 for the quarter. Backlog was $1.4 billion as of September 30, 2023, which is at the highest level since the fourth quarter of fiscal 2015. We continued to build on the momentum from project awards in fiscal 2023 and our bidding activity continues to be strong, especially in LNG and specialty vessel storage projects. We expect recent project awards and backlog growth to return revenue volumes to pre-pandemic levels; however, we are not expecting a meaningful uplift to revenue volumes until the third quarter of fiscal 2024 due to the timing of project starts of many of our recently awarded large capital projects. These awards are expected to generate increased revenue over a multi-year period. Additionally, many of the projects booked in recent quarters are large capital projects with expected gross margins at our pre-pandemic historical gross margin range. We expect growing revenue volume combined with cost reductions implemented in recent years to allow us to better leverage our cost structure, further enhancing gross margins and operating income in the second half of fiscal 2024 and beyond.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Backlog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define backlog as the total dollar amount of revenue that we expect to recognize as a result of performing work that has been awarded to us through a signed contract, limited notice to proceed ("LNTP") or other type of assurance that we consider firm. The following arrangements are considered firm: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fixed-price awards;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minimum customer commitments on cost plus arrangements;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certain time and material arrangements in which the estimated value is firm or can be estimated with a reasonable amount of certainty in both timing and amounts.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long-term maintenance contracts with no minimum commitments and other established customer agreements, we include only the amounts that we expect to recognize as revenue over the next 12 months. For arrangements in which we have received a LNTP, we include the entire scope of work in our backlog if we conclude that the likelihood of the full project proceeding is probable. For all other arrangements, we calculate backlog as the estimated contract amount less revenue recognized as of the reporting date.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changes in our backlog for the three months ended September 30, 2023:</w:t>
      </w:r>
    </w:p>
    <w:tbl>
      <w:tblPr>
        <w:tblW w:w="10205" w:type="dxa"/>
        <w:jc w:val="center"/>
        <w:tblInd w:w="0" w:type="dxa"/>
        <w:tblLayout w:type="fixed"/>
        <w:tblCellMar>
          <w:top w:w="28" w:type="dxa"/>
          <w:left w:w="28" w:type="dxa"/>
          <w:bottom w:w="28" w:type="dxa"/>
          <w:right w:w="28" w:type="dxa"/>
        </w:tblCellMar>
      </w:tblPr>
      <w:tblGrid>
        <w:gridCol w:w="875"/>
        <w:gridCol w:w="649"/>
        <w:gridCol w:w="652"/>
        <w:gridCol w:w="347"/>
        <w:gridCol w:w="1360"/>
        <w:gridCol w:w="179"/>
        <w:gridCol w:w="109"/>
        <w:gridCol w:w="109"/>
        <w:gridCol w:w="109"/>
        <w:gridCol w:w="355"/>
        <w:gridCol w:w="1392"/>
        <w:gridCol w:w="183"/>
        <w:gridCol w:w="109"/>
        <w:gridCol w:w="109"/>
        <w:gridCol w:w="109"/>
        <w:gridCol w:w="347"/>
        <w:gridCol w:w="1360"/>
        <w:gridCol w:w="179"/>
        <w:gridCol w:w="109"/>
        <w:gridCol w:w="109"/>
        <w:gridCol w:w="109"/>
        <w:gridCol w:w="211"/>
        <w:gridCol w:w="976"/>
        <w:gridCol w:w="159"/>
      </w:tblGrid>
      <w:tr>
        <w:trPr/>
        <w:tc>
          <w:tcPr>
            <w:tcW w:w="87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Storage and Terminal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Utility and Power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Process and Industrial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as of June 30, 2023</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459,518 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359,921 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1,090,098 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awards</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414,645 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59,660 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2176"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(90,144)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as of September 30, 2023</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595,160 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450,212 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344,461 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1,389,833 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Book-to-bill ratio</w:t>
            </w:r>
            <w:r>
              <w:rPr>
                <w:rFonts w:ascii="Times New Roman;sans-serif" w:hAnsi="Times New Roman;sans-serif"/>
                <w:b w:val="false"/>
                <w:color w:val="000000"/>
                <w:sz w:val="13"/>
              </w:rPr>
              <w:t>(1)</w:t>
            </w:r>
          </w:p>
        </w:tc>
        <w:tc>
          <w:tcPr>
            <w:tcW w:w="17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7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7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(1)Calculated by dividing project awards by revenue recognized during the period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Backlog increased $299.7 million or 27.5% in the first quarter of fiscal 2024 on project awards of $497.4 million and a book-to-bill ratio of 2.5.</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Storage and Terminal Solutions segment, backlog increased by 119.9% as we booked $414.6 million of project awards during the first quarter of fiscal 2024. Included in project awards was a significant LNG storage capital project. This segment includes significant opportunities for storage infrastructure projects related to natural gas, LNG, ammonia, hydrogen, NGLs and other forms of renewable energy. We believe LNG and hydrogen projects will be key growth drivers for this segment. Bidding activity on LNG projects has been strong.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Utility and Power Infrastructure segment, backlog decreased by 2.0% as we booked $23.1 million of project awards during the first quarter of fiscal 2024. Project opportunities and bidding activity are strong for both the power delivery portion of the business and LNG peak shaving.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Process and Industrial Facilities segment, backlog decreased by 4.3% as we booked $59.7 million of project awards during the first quarter of fiscal 2024. Project awards during the quarter were driven by contract growth on a refinery retrofit project at a biodiesel facility and spending related to refinery maintenance and turnaround operations. We continue to see demand for thermal vacuum chambers in the coming quarters, as well as increasing opportunities in mining and minerals, chemicals, and renewables. In addition, we are continuing to pursue opportunities for midstream gas work, including some larger scale projects.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Awards for significant capital projects may be recognized as revenue over a multi-year period as the projects may take a few years to complete.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Three Months Ended September 30, 2023 Compared to the Three Months Ended September 30, 2022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Consolidated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revenue was $197.7 million for the three months ended September 30, 2023, compared to $208.4 million in the same period last year. On a segment basis, revenue decreased in the Utility and Power Infrastructure and Process and Industrial Facilities segments by $12.5 million and $11.5 million, respectively. These decreases were partially offset by a $13.2 million increase in revenue in the Storage and Terminal Solutions segment.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gross profit decreased to $11.9 million in the three months ended September 30, 2023 compared to a gross profit of $13.0 million in the same period last year. Gross margin of 6.0% in the three months ended September 30, 2023 was consistent with the gross margin of 6.2% in the same period last year. Gross margins in the first quarter of fiscal 2024 were negatively impacted by the under-recovery of construction overhead costs. We expect this under-recovery to be temporary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maintained overhead resources at levels needed to support significantly higher revenue volumes in the second half of fiscal 2024. Gross margins in the first quarter of fiscal 2023 were also negatively impacted by the under-recovery of construction overhead costs.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SG&amp;A expenses were $17.1 million in the three months ended September 30, 2023 compared to $16.8 million in the same period last year. We incurred an additional $1.8 million of expense associated with the variable accounting for cash-settled stock-based compensation, which increased due to a higher stock price. This increase was offset by various other lower costs, which includes continued streamlining of the business as well as delaying certain costs based on the timing of revenue.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was $0.3 million in the three months ended September 30, 2023 compared to $0.4 million in the three months ended September 30, 2022. Interest expense in both periods consisted primarily of interest on debt outstanding, unused capacity fees, amortization of deferred debt issuance costs and letter of credit fees.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during the three months ended September 30, 2023 included a gain of $2.5 million on the sale of a previously utilized facility in Burlington, Ontario. We received $2.7 million in net proceeds from the sale. We closed this previously utilized facility during the second quarter of fiscal 2023 because it was no longer strategic to the future of the business.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rates for the three months ended September 30, 2023 and September 30, 2022 were zero. The effective tax rates during both periods were impacted by valuation allowances of $0.2 million and $1.4 million, respectively, placed on deferred tax assets generated during the quarters. We placed a valuation allowance on our deferred tax assets in the second quarter of fiscal 2022 due to the existence of a cumulative loss over a three-year period. We will continue to place valuation allowances on newly generated deferred tax assets and will realize the benefit associated with the deferred tax assets for which the valuation allowance has been provided to the extent we generate taxable income in the future.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we had a net loss of $3.2 million or $0.12 per fully diluted share, compared to a net loss of $6.5 million, or $0.24 per fully diluted share, in the three months ended September 30, 2022.</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Storage and Terminal Solutions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Storage and Terminal Solutions segment was $90.1 million in the three months ended September 30, 2023 compared to $76.9 million in the same period last year. The increase in segment revenue is primarily a result of higher volumes of specialty vessel capital projects.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segment gross margin was 5.5% for the three months ended September 30, 2023 compared to a gross margin of 9.8% in the same period last year. The first quarter fiscal 2024 segment gross margin was negatively impacted by the under-recovery of construction overhead costs. We have allocated additional resources to this segment to support recent awards and additional revenue in the second half of fiscal 2024. As these revenues increase, we expect to reach full recovery of construction overhead costs in the second half of fiscal 2024. The fiscal 2023 segment gross margin was positively impacted by strong project execution, partially offset by low revenue volume, which led to under-recovery of construction overhead costs.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Utility and Power Infrastructure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Utility and Power Infrastructure segment was $32.4 million in the three months ended September 30, 2023 compared to $44.9 million in the same period last year. The decrease is primarily due to a net decrease in natural gas peak shaving capital work and lower volumes of power delivery work. The decrease related to natural gas peak shaving capital work is temporary as we expect recently awarded large peak shaving projects to ramp up in the first half of fiscal 2024 driving higher revenue in the second half of the fiscal year.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segment gross margin was 11.4% for the three months ended September 30, 2023 compared to a gross margin of 3.8% in the same period last year. The segment gross margin for the first quarter of fiscal 2024 was positively impacted by strong project execution which led to favorable project closeouts. This was partially offset by the under-recovery of construction overhead costs due low revenue volumes. The segment gross margin for first quarter ended September 30, 2022 was negatively impacted by low revenue volume, which led to the under-recovery of construction overhead costs, and work on a large capital project with a previously reduced gross margin.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Process and Industrial Facilities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Process and Industrial Facilities segment was $75.1 million in the three months ended September 30, 2023 compared to $86.6 million in the same period last year. The decrease was primarily due to lower volumes of midstream gas processing capital work and the sale of the industrial cleaning business during the fourth quarter of fiscal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segment gross margin was 6.8% for the three months ended September 30, 2023 compared to 5.0% in the same period last year. The segment gross margin in the first quarter of fiscal 2024 was negatively impacted by the under-recovery of construction overhead costs due to low revenue volume. Otherwise, project execution was generally strong in this segment including the completion of a midstream gas processing project in line with our previous forecast. The segment gross margin in the first quarter of fiscal 2023 was negatively impacted by work on a midstream gas processing project that experienced increases in forecasted costs to complete in the prior year, which reduced the remaining margin realized on the project. In addition, revenue volumes were still too low to fully recover construction overhead costs, which negatively impacted segment gross margin.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Corporate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 were $9.7 million during the three months ended September 30, 2023 compared to $7.9 million in the same period last year. The increase was primarily due to higher cash-settled stock-based compensation due to an increase in the price of our stock and legal costs related to a jury trial that resulted in a verdict in our favor, see Note 6 - Commitments and Contingencies, Litigation, for more information.</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Adjusted Net Loss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presented Adjusted net loss, which we define as Net loss before restructuring costs, gain on sale of assets, and the tax impact of these adjustments because we believe it better depicts our core operating results. We believe that the line item on our Condensed Consolidated Statements of Income entitled “Net loss” is the most directly comparable GAAP measure to Adjusted net loss. Since Adjusted net loss is not a measure of performance calculated in accordance with GAAP, it should not be considered in isolation of, or as a substitute for, Net loss as an indicator of operating performance. Adjusted net loss, as we calculate it, may not be comparable to similarly titled measures employed by other companies. In addition, this measure is not a measure of our ability to fund our cash needs. As Adjusted net loss excludes certain financial information compared with Net loss, the most directly comparable GAAP financial measure, users of this financial information should consider the type of events and transactions that are excluded. Our non-GAAP performance measure, Adjusted net loss, has certain material limitations as follows: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It does not include restructuring costs. Restructuring costs represent material costs that were incurred and are oftentimes cash expenses. Therefore, any measure that excludes restructuring costs has material limitations.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It does not include gain on the sale of assets. While this sale occurred outside the normal course of business, any measure that excludes this gain has inherent limitations since the sale resulted in a material inflow of cash.</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Net loss to Adjusted net loss follows:</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0"/>
        </w:rPr>
        <w:t>Reconciliation of Net Loss to Adjusted Net Loss</w:t>
      </w:r>
      <w:r>
        <w:rPr>
          <w:rFonts w:ascii="Times New Roman;sans-serif" w:hAnsi="Times New Roman;sans-serif"/>
          <w:b/>
          <w:color w:val="000000"/>
          <w:sz w:val="13"/>
        </w:rPr>
        <w:t>(1)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before="0" w:after="0"/>
        <w:jc w:val="center"/>
        <w:rPr/>
      </w:pPr>
      <w:r>
        <w:rPr/>
      </w:r>
    </w:p>
    <w:tbl>
      <w:tblPr>
        <w:tblW w:w="6720" w:type="dxa"/>
        <w:jc w:val="left"/>
        <w:tblInd w:w="0" w:type="dxa"/>
        <w:tblLayout w:type="fixed"/>
        <w:tblCellMar>
          <w:top w:w="28" w:type="dxa"/>
          <w:left w:w="28" w:type="dxa"/>
          <w:bottom w:w="28" w:type="dxa"/>
          <w:right w:w="28" w:type="dxa"/>
        </w:tblCellMar>
      </w:tblPr>
      <w:tblGrid>
        <w:gridCol w:w="879"/>
        <w:gridCol w:w="772"/>
        <w:gridCol w:w="778"/>
        <w:gridCol w:w="109"/>
        <w:gridCol w:w="109"/>
        <w:gridCol w:w="109"/>
        <w:gridCol w:w="109"/>
        <w:gridCol w:w="109"/>
        <w:gridCol w:w="142"/>
        <w:gridCol w:w="142"/>
        <w:gridCol w:w="322"/>
        <w:gridCol w:w="1057"/>
        <w:gridCol w:w="166"/>
        <w:gridCol w:w="109"/>
        <w:gridCol w:w="109"/>
        <w:gridCol w:w="109"/>
        <w:gridCol w:w="317"/>
        <w:gridCol w:w="1041"/>
        <w:gridCol w:w="232"/>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917" w:type="dxa"/>
            <w:gridSpan w:val="6"/>
            <w:tcBorders/>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Gain on sale of assets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Tax impact of adjustments</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(5,703)</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2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(1)Beginning with the first quarter of fiscal 2024, the definition of Adjusted net loss and Adjusted loss per share was updated to no longer include changes in the valuation allowance of deferred tax assets. Prior period information has been adjusted to conform to the updated definition of Adjusted net loss and Adjusted loss per share.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(2)Represents gain on the sale of our Burlington, ON office. See Item 1, Note 3 - Property, Plant and Equipment, Burlington Office Disposal,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(3)Represents the tax impact of the adjustments to Net loss, calculated using the applicable effective tax rate of the adjustment.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EBITDA</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presented Adjusted EBITDA, which we define as Net loss before restructuring costs, gain on sale of assets, stock-based compensation, interest expense, and depreciation and amortization, because it is used by the financial community as a method of measuring our performance and of evaluating the market value of companies considered to be in similar businesses. We believe that the line item on our Condensed Consolidated Statements of Income entitled “Net loss” is the most directly comparable GAAP measure to Adjusted EBITDA. Since Adjusted EBITDA is not a measure of performance calculated in accordance with GAAP, it should not be considered in isolation of, or as a substitute for, Net loss as an indicator of operating performance. Adjusted EBITDA, as we calculate it, may not be comparable to similarly titled measures employed by other companies. In addition, this measure is not a measure of our ability to fund our cash needs. As Adjusted EBITDA excludes certain financial information compared with Net loss, the most directly comparable GAAP financial measure, users of this financial information should consider the type of events and transactions that are excluded. Our non-GAAP performance measure, Adjusted EBITDA, has certain material limitations as follows: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It does not include restructuring costs. Restructuring costs represent material costs that were incurred and are oftentimes cash expenses. Therefore, any measure that excludes restructuring costs has material limitations.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It does not include gain on the sale of assets. While this sale occurred outside the normal course of business, any measure that excludes this gain has inherent limitations since the sale resulted in a material inflow of cash.</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It does not include equity-settled stock-based compensation expense. Stock-based compensation represents material amounts of equity that are awarded to our employees and directors for services rendered. While the expense is non-cash, we historically release vested shares out of our treasury stock, which has been replenished by using cash to periodically repurchase our stock. Therefore, any measure that excludes stock-based compensation has material limitations.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It does not include interest expense. Because we have borrowed money to finance our operations and acquisitions,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Net loss to Adjusted EBITDA follows:</w:t>
      </w:r>
    </w:p>
    <w:p>
      <w:pPr>
        <w:pStyle w:val="TextBody"/>
        <w:bidi w:val="0"/>
        <w:spacing w:lineRule="auto" w:line="288" w:before="0" w:after="0"/>
        <w:jc w:val="left"/>
        <w:rPr>
          <w:color w:val="000000"/>
        </w:rPr>
      </w:pPr>
      <w:r>
        <w:rPr>
          <w:color w:val="000000"/>
        </w:rPr>
        <w:t> </w:t>
      </w:r>
    </w:p>
    <w:tbl>
      <w:tblPr>
        <w:tblW w:w="5944" w:type="dxa"/>
        <w:jc w:val="center"/>
        <w:tblInd w:w="0" w:type="dxa"/>
        <w:tblLayout w:type="fixed"/>
        <w:tblCellMar>
          <w:top w:w="28" w:type="dxa"/>
          <w:left w:w="28" w:type="dxa"/>
          <w:bottom w:w="28" w:type="dxa"/>
          <w:right w:w="28" w:type="dxa"/>
        </w:tblCellMar>
      </w:tblPr>
      <w:tblGrid>
        <w:gridCol w:w="940"/>
        <w:gridCol w:w="820"/>
        <w:gridCol w:w="835"/>
        <w:gridCol w:w="109"/>
        <w:gridCol w:w="109"/>
        <w:gridCol w:w="120"/>
        <w:gridCol w:w="120"/>
        <w:gridCol w:w="120"/>
        <w:gridCol w:w="120"/>
        <w:gridCol w:w="238"/>
        <w:gridCol w:w="780"/>
        <w:gridCol w:w="122"/>
        <w:gridCol w:w="109"/>
        <w:gridCol w:w="109"/>
        <w:gridCol w:w="109"/>
        <w:gridCol w:w="236"/>
        <w:gridCol w:w="776"/>
        <w:gridCol w:w="172"/>
      </w:tblGrid>
      <w:tr>
        <w:trPr/>
        <w:tc>
          <w:tcPr>
            <w:tcW w:w="94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511" w:type="dxa"/>
            <w:gridSpan w:val="6"/>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1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Gain on sale of assets</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Stock-based compensation</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(1)Represents gain on the sale of our Burlington, ON office. See Item 1, Note 3 - Property, Plant and Equipment, Burlington Office Disposal, for more information.</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(2)Represents only the equity-settled portion of our stock-based compensation expense.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Seasonality and Other Factors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can exhibit seasonal fluctuations, especially in our Process and Industrial Facilities and Utility and Power Infrastructure segments, for a variety of reasons. Turnarounds and planned outages at customer facilities are typically scheduled in the spring or fall, when the demand for energy is lower. Within the Utility and Power Infrastructure segment, transmission and distribution work is generally scheduled by the public utilities when the demand for electricity is at its lowest. Therefore, revenue volume in the summer months is typically lower than in other periods throughout the year.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can also be affected, both positively and negatively, by seasonal factors such as energy demand or weather conditions including hurricanes, snowstorms, wildfires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factors impacting operating results in all segments come from decreased work volume during holidays, work site permitting delays or customers accelerating or postponing work. The differing types, sizes, and durations of our contracts, combined with their geographic diversity and stages of completion, often results in fluctuations in our operating results.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overhead cost structure is generally fixed. Significant fluctuations in revenue usually leads to over or under-recovery of fixed overhead costs, which can have a material impact on our gross margin and profitability.</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define liquidity as the ongoing ability to pay our liabilities as they become due, fund business operations and meet all monetary contractual obligations. Our primary sources of liquidity at September 30, 2023 were unrestricted cash and cash equivalents on hand, capacity under our ABL Facility, and cash generated from operations. Unrestricted cash and cash equivalents at September 30, 2023 totaled $27.4 million and availability under the ABL Facility totaled $52.9 million, resulting in total liquidity of $80.3 million.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cash and cash equivalents, restricted cash and total cash in the Condensed Consolidated Balance Sheets (in thousands):</w:t>
      </w:r>
    </w:p>
    <w:tbl>
      <w:tblPr>
        <w:tblW w:w="7478" w:type="dxa"/>
        <w:jc w:val="left"/>
        <w:tblInd w:w="0" w:type="dxa"/>
        <w:tblLayout w:type="fixed"/>
        <w:tblCellMar>
          <w:top w:w="28" w:type="dxa"/>
          <w:left w:w="28" w:type="dxa"/>
          <w:bottom w:w="28" w:type="dxa"/>
          <w:right w:w="28" w:type="dxa"/>
        </w:tblCellMar>
      </w:tblPr>
      <w:tblGrid>
        <w:gridCol w:w="1429"/>
        <w:gridCol w:w="1254"/>
        <w:gridCol w:w="1261"/>
        <w:gridCol w:w="109"/>
        <w:gridCol w:w="109"/>
        <w:gridCol w:w="109"/>
        <w:gridCol w:w="231"/>
        <w:gridCol w:w="790"/>
        <w:gridCol w:w="119"/>
        <w:gridCol w:w="109"/>
        <w:gridCol w:w="109"/>
        <w:gridCol w:w="109"/>
        <w:gridCol w:w="109"/>
        <w:gridCol w:w="109"/>
        <w:gridCol w:w="109"/>
        <w:gridCol w:w="109"/>
        <w:gridCol w:w="109"/>
        <w:gridCol w:w="109"/>
        <w:gridCol w:w="211"/>
        <w:gridCol w:w="721"/>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changes in our liquidity for the three months ended September 30, 2023 (in thousands):</w:t>
      </w:r>
    </w:p>
    <w:tbl>
      <w:tblPr>
        <w:tblW w:w="4731" w:type="dxa"/>
        <w:jc w:val="left"/>
        <w:tblInd w:w="0" w:type="dxa"/>
        <w:tblLayout w:type="fixed"/>
        <w:tblCellMar>
          <w:top w:w="28" w:type="dxa"/>
          <w:left w:w="28" w:type="dxa"/>
          <w:bottom w:w="28" w:type="dxa"/>
          <w:right w:w="28" w:type="dxa"/>
        </w:tblCellMar>
      </w:tblPr>
      <w:tblGrid>
        <w:gridCol w:w="1319"/>
        <w:gridCol w:w="1161"/>
        <w:gridCol w:w="1165"/>
        <w:gridCol w:w="211"/>
        <w:gridCol w:w="721"/>
        <w:gridCol w:w="154"/>
      </w:tblGrid>
      <w:tr>
        <w:trPr/>
        <w:tc>
          <w:tcPr>
            <w:tcW w:w="131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Liquidity at June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by operating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asset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Increase in availability under ABL Facility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by financing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Liquidity at September 30,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routinely impact our short-term liquidity and may impact our long-term liquidity include, but are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costs and estimated earnings in excess of billings on uncompleted contracts and billings on uncompleted contracts in excess of costs due to contract terms that determine the timing of billings to customers and the collection of those billings: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some cost-plus and fixed-price customer contracts are billed based on milestones which may require us to incur significant expenditures prior to collections from our customers;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some fixed-price customer contracts allow for significant upfront billings at the beginning of a project, which temporarily increases liquidity near term;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time and material contracts are normally billed in arrears. Therefore, we are routinely required to carry these costs until they can be billed and collected;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some of our large construction projects may require security in the form of letters of credit or significant retentions. Retentions are normally held until certain contractual milestones are achieved;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 changes in working capital, including the timing of tax payments and refunds;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capital expenditures.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factors that may impact both short and long-term liquidity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contract disputes;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collection issues, including those caused by weak commodity prices, economic slowdowns or other factors which can lead to credit deterioration of our customers;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strategic investments in new operations or divestitures of existing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borrowing constraints under our ABL Facility and maintaining compliance with all covenants contained in the ABL Facility;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acquisitions and disposals of businesses or assets;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purchases of shares under our stock buyback program.</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ABL Credit Facility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9, 2021, the Company and our primary U.S. and Canada operating subsidiaries entered into an asset-based credit agreement, which was amended on October 5, 2022 (as amended, the "ABL Facility"), with Bank of Montreal, as Administrative Agent, Swing Line Lender and a Letter of Credit Issuer, and the lenders named therein. The maximum amount of loans under the ABL Facility is limited to $90.0 million. The ABL Facility's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and the assets of our co-borrowers and guarantors under the ABL Facility.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ABL Facility matures, and any outstanding amounts become due and payable, on September 9, 2026. At September 30, 2023, our borrowing base was $72.9 million, we had $10.0 million of outstanding borrowings, and we had $10.0 million in letters of credit outstanding, which resulted in availability of $52.9 million under the ABL Facility. We repaid all outstanding borrowings in November 2023.</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ABL Facility bear interest through maturity at a variable rate based upon, at our option, an annual rate of either a base rate (“Base Rate”), an Adjusted Term Secured Overnight Financing Rate ("Adjusted Term SOFR"), or at the Canadian Prime Rate, plus an applicable margin. The Adjusted Term SOFR is defined as (i) the SOFR plus (ii) 11.448 basis points for a one-month tenor and 26.161 basis points for a three-month tenor; provided that the Adjusted Term SOFR cannot be below zero. The Base Rate is defined as a fluctuating interest rate equal to the greater of: (i) rate of interest announced by Bank of Montreal from time to time as its prime rate; (ii) the U.S. federal funds rate plus 0.50%; (iii) Adjusted Term SOFR for one month period plus 1.00%; or (iv) 1.00%. Depending on the amount of average availability, the applicable margin is between 1.00% to 1.50% for Base Rate and Canadian Prime Rate borrowings, which includes either U.S. or Canadian prime rate, and between 2.00% and 2.50% for Adjusted Term SOFR borrowings. Interest is payable either (i) monthly for Base Rate or Canadian Prime Rate borrowings or (ii) the last day of the interest period for Adjusted Term SOFR borrowings, as set forth in the ABL Facility. The fee for undrawn amounts is 0.25% per annum and is due quarterly. The interest rate in effect for borrowings outstanding at September 30, 2023, including applicable margin, was approximately 7.68%.</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ABL Facility contains customary conditions to borrowings, events of default and covenants, including, but not limited to, covenants that restrict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commitments under the ABL Facility then in effect, a consolidated Fixed Charge Coverage Ratio of at least 1.00 to 1.00 must be maintained. We were in compliance with all covenants of the ABL Facility as of September 30, 2023.</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 xml:space="preserve">Cash Flow for the Three Months Ended September 30, 2023 </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used by Operating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used by operating activities for the three months ended September 30, 2023 totaled $28.9 million. The various components are as follows: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Net Cash Used by Operating Activities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left"/>
        <w:rPr>
          <w:color w:val="000000"/>
        </w:rPr>
      </w:pPr>
      <w:r>
        <w:rPr>
          <w:color w:val="000000"/>
        </w:rPr>
        <w:t> </w:t>
      </w:r>
    </w:p>
    <w:tbl>
      <w:tblPr>
        <w:tblW w:w="5811" w:type="dxa"/>
        <w:jc w:val="center"/>
        <w:tblInd w:w="0" w:type="dxa"/>
        <w:tblLayout w:type="fixed"/>
        <w:tblCellMar>
          <w:top w:w="28" w:type="dxa"/>
          <w:left w:w="28" w:type="dxa"/>
          <w:bottom w:w="28" w:type="dxa"/>
          <w:right w:w="28" w:type="dxa"/>
        </w:tblCellMar>
      </w:tblPr>
      <w:tblGrid>
        <w:gridCol w:w="1683"/>
        <w:gridCol w:w="1470"/>
        <w:gridCol w:w="1497"/>
        <w:gridCol w:w="211"/>
        <w:gridCol w:w="796"/>
        <w:gridCol w:w="154"/>
      </w:tblGrid>
      <w:tr>
        <w:trPr/>
        <w:tc>
          <w:tcPr>
            <w:tcW w:w="1683"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effect of changes in operating assets and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by operating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effect of changes in operating assets and liabilities at September 30, 2023 in comparison to June 30, 2023 include the following: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Accounts receivable, excluding credit losses recognized during the period, increased by $6.5 million during the three months ended September 30, 2023, which decreased cash flows from operating activities. The variance is primarily attributable to the timing of billing and collections.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Costs and estimated earnings in excess of billings on uncompleted contracts ("CIE") decreased $2.5 million, which increased cash flows from operating activities. Billings on uncompleted contracts in excess of costs and estimated earnings ("BIE") decreased $12.3 million, which decreased cash flows from operating activities. CIE and BIE balances can experience significant fluctuations based on business volumes and the timing of when job costs are incurred and the timing of customer billings and payments. The decrease in BIE was primarily due to continued work on capital projects that received upfront billings in the prior year.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Inventories, income taxes receivable, prepaid expenses, other current assets, operating right-of-use lease assets and other assets, non-current, increased $8.2 million during the three months ended September 30, 2023, which decreased cash flows from operating activities. These operating assets can fluctuate based on the timing of inventory builds and draw-downs, accrual and receipt of income taxes receivable; prepayments of certain expenses; lease commencement, passage of time, expiration, or termination of operating leases; business volumes; and other timing differences. The increase was primarily due to the payment of annual insurance premiums as well as inventory purchases associated with projects in our growing backlog.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Accounts payable, accrued wages and benefits, accrued insurance, operating lease liabilities, other accrued expenses, and other liabilities, non-current decreased by $3.6 million during the three months ended September 30, 2023, which decreased cash flows from operating activities. These operating liabilities can fluctuate based on the timing of vendor payments; accruals; lease commencement, lease payments, expiration, or termination of operating leases; business volumes; and other timing differences.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Provided by Investing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Investing activities provided $2.1 million of cash in the three months ended September 30, 2023 primarily due to proceeds from asset sales, partially offset by capital expenditures. During the first quarter of fiscal 2024, we sold a previously utilized facility in Burlington, Ontario for $2.7 million in net proceeds, which resulted in a gain of $2.5 million. We closed this previously utilized facility during the second quarter of fiscal 2023 because it was no longer strategic to the future of the business. Capital expenditures of $0.5 million during the first quarter of fiscal 2024 primarily consisted of transportation equipment.</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Used by Financing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Financing activities used $0.4 million of cash in the three months ended September 30, 2023 primarily due to $0.5 million paid to repurchase our stock for payment of withholding taxes due on equity-based compensation.</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Stock Repurchase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in the three months ended September 30, 2023 and have no current plans to repurchase stock. As of September 30, 2023, there were 1,349,037 shares available for repurchase under the Stock Buyback Program. The terms of our ABL Facility limit share repurchases to $2.5 million per fiscal year provided that we meet certain availability thresholds and do not violate our Fixed Charge Coverage Ratio financial covenant.</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Treasury Shares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had 678,379 treasury shares as of September 30, 2023 and intend to utilize these treasury shares in connection with equity awards under the our stock incentive plans and for sales to the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critical accounting policies from those reported in our fiscal 2023 Annual Report on Form 10-K filed with the SEC. For more information on our critical accounting policies, see Part II, Item 7 of our fiscal 2023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market risk faced by us from those reported in our Annual Report on Form 10-K for the fiscal year ended June 30, 2023, filed with the Securities and Exchange Commission. For more information on market risk, see Part II, Item 7A in our fiscal 2023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carried out an evaluation, under the supervision and with the participation of our management, including our Chief Executive Officer and our Chief Financial Officer, of the effectiveness of the design and operation of our disclosure controls and procedures as of September 30, 2023. Based on the foregoing, our Chief Executive Officer and Chief Financial Officer concluded that our disclosure controls and procedures were effective at the reasonable assurance level at September 30, 2023.</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controls over financial reporting that have materially affected, or are reasonably likely to materially affect our internal controls over financial reporting during the quarter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a number of legal proceedings. See Part I., Item 1. Financial Statements, Note 6 - Commitments and Contingencies, Litigation, for a description of our material ongoing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in our Risk Factors from those reported in Item 1A of Part I of our Annual Report on Form 10-K for the fiscal year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information with respect to purchases we made of our common stock during the first quarter of fiscal year 2024.</w:t>
      </w:r>
    </w:p>
    <w:tbl>
      <w:tblPr>
        <w:tblW w:w="9140" w:type="dxa"/>
        <w:jc w:val="left"/>
        <w:tblInd w:w="0" w:type="dxa"/>
        <w:tblLayout w:type="fixed"/>
        <w:tblCellMar>
          <w:top w:w="28" w:type="dxa"/>
          <w:left w:w="28" w:type="dxa"/>
          <w:bottom w:w="28" w:type="dxa"/>
          <w:right w:w="28" w:type="dxa"/>
        </w:tblCellMar>
      </w:tblPr>
      <w:tblGrid>
        <w:gridCol w:w="1114"/>
        <w:gridCol w:w="985"/>
        <w:gridCol w:w="990"/>
        <w:gridCol w:w="375"/>
        <w:gridCol w:w="375"/>
        <w:gridCol w:w="376"/>
        <w:gridCol w:w="109"/>
        <w:gridCol w:w="109"/>
        <w:gridCol w:w="109"/>
        <w:gridCol w:w="289"/>
        <w:gridCol w:w="701"/>
        <w:gridCol w:w="151"/>
        <w:gridCol w:w="109"/>
        <w:gridCol w:w="109"/>
        <w:gridCol w:w="109"/>
        <w:gridCol w:w="420"/>
        <w:gridCol w:w="420"/>
        <w:gridCol w:w="421"/>
        <w:gridCol w:w="109"/>
        <w:gridCol w:w="109"/>
        <w:gridCol w:w="109"/>
        <w:gridCol w:w="488"/>
        <w:gridCol w:w="488"/>
        <w:gridCol w:w="566"/>
      </w:tblGrid>
      <w:tr>
        <w:trPr/>
        <w:tc>
          <w:tcPr>
            <w:tcW w:w="1114"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w:t>
              <w:br/>
              <w:t>of 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w:t>
              <w:br/>
              <w:t>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w:t>
              <w:br/>
              <w:t>of Shares</w:t>
              <w:br/>
              <w:t>Purchased as</w:t>
              <w:br/>
              <w:t>Part of Publicly</w:t>
              <w:br/>
              <w:t>Announced</w:t>
              <w:br/>
              <w:t>Plans or</w:t>
              <w:br/>
              <w:t>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w:t>
              <w:br/>
              <w:t>Number of</w:t>
              <w:br/>
              <w:t>Shares That</w:t>
              <w:br/>
              <w:t>May Yet Be</w:t>
              <w:br/>
              <w:t>Purchased</w:t>
              <w:br/>
              <w:t>Under the Plans</w:t>
              <w:br/>
              <w:t>or Programs (C)</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July 1 to July 31, 2023</w:t>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Buyback Program (A)</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1,349,037 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Transactions (B)</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August 1 to August 31, 2023</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Buyback Program (A)</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1,349,037 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Transactions (B)</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55,324 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1 to September 30, 2023</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Buyback Program (A)</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1,349,037 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Transactions (B)</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(A)Represents shares purchased under our Stock Buyback Program.</w:t>
      </w:r>
    </w:p>
    <w:p>
      <w:pPr>
        <w:pStyle w:val="TextBody"/>
        <w:bidi w:val="0"/>
        <w:spacing w:lineRule="auto" w:line="288" w:before="18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(B)Represents shares withheld to satisfy the employee’s tax withholding obligation that is incurred upon the vesting of deferred shares granted under our stock incentive plans.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The terms of our ABL Facility also limit share repurchases to $2.5 million per fiscal year provided that we meet certain availability thresholds and we do not violate our Fixed Charge Coverage Ratio financial covenant. We made no repurchases under the program in the first quarter of fiscal 2024 and have no current plans to repurchase stock.</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concerning mine safety violations or other regulatory matters required to be disclosed in this quarterly report under Section 1503(a) of the Dodd-Frank Act and Item 104 of Regulation S-K is included in Exhibit 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6. Exhibits:</w:t>
      </w:r>
      <w:r>
        <w:rPr>
          <w:color w:val="000000"/>
        </w:rPr>
        <w: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included as exhibits to this Quarterly Report on Form 10-Q. Any exhibits below incorporated by reference herein are indicated as such by the information supplied in the parenthetical hereafter.</w:t>
      </w:r>
    </w:p>
    <w:tbl>
      <w:tblPr>
        <w:tblW w:w="10205" w:type="dxa"/>
        <w:jc w:val="left"/>
        <w:tblInd w:w="0" w:type="dxa"/>
        <w:tblLayout w:type="fixed"/>
        <w:tblCellMar>
          <w:top w:w="28" w:type="dxa"/>
          <w:left w:w="28" w:type="dxa"/>
          <w:bottom w:w="28" w:type="dxa"/>
          <w:right w:w="28" w:type="dxa"/>
        </w:tblCellMar>
      </w:tblPr>
      <w:tblGrid>
        <w:gridCol w:w="515"/>
        <w:gridCol w:w="454"/>
        <w:gridCol w:w="411"/>
        <w:gridCol w:w="109"/>
        <w:gridCol w:w="109"/>
        <w:gridCol w:w="109"/>
        <w:gridCol w:w="2478"/>
        <w:gridCol w:w="2478"/>
        <w:gridCol w:w="3542"/>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3542"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mtrxx2023x9x30x.htm">
              <w:r>
                <w:rPr>
                  <w:rStyle w:val="InternetLink"/>
                  <w:rFonts w:ascii="Times New Roman;sans-serif" w:hAnsi="Times New Roman;sans-serif"/>
                  <w:b w:val="false"/>
                  <w:color w:val="0000FF"/>
                  <w:sz w:val="20"/>
                  <w:u w:val="single"/>
                </w:rPr>
                <w:t>Certification Pursuant to Section 302 of Sarbanes-Oxley Act of 2002 – CEO.</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mtrxx2023x9x30x.htm">
              <w:r>
                <w:rPr>
                  <w:rStyle w:val="InternetLink"/>
                  <w:rFonts w:ascii="Times New Roman;sans-serif" w:hAnsi="Times New Roman;sans-serif"/>
                  <w:b w:val="false"/>
                  <w:color w:val="0000FF"/>
                  <w:sz w:val="20"/>
                  <w:u w:val="single"/>
                </w:rPr>
                <w:t>Certification Pursuant to Section 302 of Sarbanes-Oxley Act of 2002 – CFO.</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mtrxx2023x9x30x.htm">
              <w:r>
                <w:rPr>
                  <w:rStyle w:val="InternetLink"/>
                  <w:rFonts w:ascii="Times New Roman;sans-serif" w:hAnsi="Times New Roman;sans-serif"/>
                  <w:b w:val="false"/>
                  <w:color w:val="0000FF"/>
                  <w:sz w:val="20"/>
                  <w:u w:val="single"/>
                </w:rPr>
                <w:t>Certification Pursuant to 18 U.S.C. 1350 (section 906 of Sarbanes-Oxley Act of 2002) – CEO.</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mtrxx2023x9x30x.htm">
              <w:r>
                <w:rPr>
                  <w:rStyle w:val="InternetLink"/>
                  <w:rFonts w:ascii="Times New Roman;sans-serif" w:hAnsi="Times New Roman;sans-serif"/>
                  <w:b w:val="false"/>
                  <w:color w:val="0000FF"/>
                  <w:sz w:val="20"/>
                  <w:u w:val="single"/>
                </w:rPr>
                <w:t>Certification Pursuant to 18 U.S.C. 1350 (section 906 of Sarbanes-Oxley Act of 2002) – CFO.</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5-mtrxx2023x9x30x.htm">
              <w:r>
                <w:rPr>
                  <w:rStyle w:val="InternetLink"/>
                  <w:rFonts w:ascii="Times New Roman;sans-serif" w:hAnsi="Times New Roman;sans-serif"/>
                  <w:b w:val="false"/>
                  <w:color w:val="0000FF"/>
                  <w:sz w:val="20"/>
                  <w:u w:val="single"/>
                </w:rPr>
                <w:t>Mine Safety Disclosure.</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Schema Document.</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Labels Linkbase Document.</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before="18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81b1c884dee49e2928192377e94265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5773" w:type="dxa"/>
        <w:jc w:val="left"/>
        <w:tblInd w:w="0" w:type="dxa"/>
        <w:tblLayout w:type="fixed"/>
        <w:tblCellMar>
          <w:top w:w="28" w:type="dxa"/>
          <w:left w:w="28" w:type="dxa"/>
          <w:bottom w:w="28" w:type="dxa"/>
          <w:right w:w="28" w:type="dxa"/>
        </w:tblCellMar>
      </w:tblPr>
      <w:tblGrid>
        <w:gridCol w:w="216"/>
        <w:gridCol w:w="191"/>
        <w:gridCol w:w="192"/>
        <w:gridCol w:w="534"/>
        <w:gridCol w:w="534"/>
        <w:gridCol w:w="536"/>
        <w:gridCol w:w="1045"/>
        <w:gridCol w:w="1045"/>
        <w:gridCol w:w="1480"/>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MATRIX SERVICE COMPANY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9, 2023</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Kevin S. Cavanah</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Kevin S. Cavanah </w:t>
              <w:br/>
              <w:t>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R. Hewitt, certify that: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Matrix Service Company;</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jc w:val="left"/>
        <w:rPr/>
      </w:pPr>
      <w:r>
        <w:rPr/>
      </w:r>
    </w:p>
    <w:tbl>
      <w:tblPr>
        <w:tblW w:w="3220" w:type="dxa"/>
        <w:jc w:val="left"/>
        <w:tblInd w:w="0" w:type="dxa"/>
        <w:tblLayout w:type="fixed"/>
        <w:tblCellMar>
          <w:top w:w="28" w:type="dxa"/>
          <w:left w:w="28" w:type="dxa"/>
          <w:bottom w:w="28" w:type="dxa"/>
          <w:right w:w="28" w:type="dxa"/>
        </w:tblCellMar>
      </w:tblPr>
      <w:tblGrid>
        <w:gridCol w:w="254"/>
        <w:gridCol w:w="225"/>
        <w:gridCol w:w="226"/>
        <w:gridCol w:w="680"/>
        <w:gridCol w:w="680"/>
        <w:gridCol w:w="683"/>
        <w:gridCol w:w="138"/>
        <w:gridCol w:w="138"/>
        <w:gridCol w:w="196"/>
      </w:tblGrid>
      <w:tr>
        <w:trPr/>
        <w:tc>
          <w:tcPr>
            <w:tcW w:w="25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9, 2023</w:t>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R. Hewitt</w:t>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 Hewitt</w:t>
            </w:r>
          </w:p>
        </w:tc>
        <w:tc>
          <w:tcPr>
            <w:tcW w:w="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Kevin S. Cavanah, certify that: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Matrix Service Company;</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3582" w:type="dxa"/>
        <w:jc w:val="left"/>
        <w:tblInd w:w="0" w:type="dxa"/>
        <w:tblLayout w:type="fixed"/>
        <w:tblCellMar>
          <w:top w:w="28" w:type="dxa"/>
          <w:left w:w="28" w:type="dxa"/>
          <w:bottom w:w="28" w:type="dxa"/>
          <w:right w:w="28" w:type="dxa"/>
        </w:tblCellMar>
      </w:tblPr>
      <w:tblGrid>
        <w:gridCol w:w="283"/>
        <w:gridCol w:w="250"/>
        <w:gridCol w:w="252"/>
        <w:gridCol w:w="756"/>
        <w:gridCol w:w="756"/>
        <w:gridCol w:w="759"/>
        <w:gridCol w:w="154"/>
        <w:gridCol w:w="154"/>
        <w:gridCol w:w="218"/>
      </w:tblGrid>
      <w:tr>
        <w:trPr/>
        <w:tc>
          <w:tcPr>
            <w:tcW w:w="28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9, 2023</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S. Cavanah</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S. Cavanah</w:t>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3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Sarbanes-Oxley Act of 2002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Matrix Service Company (the “Company”) on Form 10-Q for the period ending September 30, 2023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220" w:type="dxa"/>
        <w:jc w:val="left"/>
        <w:tblInd w:w="0" w:type="dxa"/>
        <w:tblLayout w:type="fixed"/>
        <w:tblCellMar>
          <w:top w:w="28" w:type="dxa"/>
          <w:left w:w="28" w:type="dxa"/>
          <w:bottom w:w="28" w:type="dxa"/>
          <w:right w:w="28" w:type="dxa"/>
        </w:tblCellMar>
      </w:tblPr>
      <w:tblGrid>
        <w:gridCol w:w="254"/>
        <w:gridCol w:w="225"/>
        <w:gridCol w:w="226"/>
        <w:gridCol w:w="680"/>
        <w:gridCol w:w="680"/>
        <w:gridCol w:w="683"/>
        <w:gridCol w:w="138"/>
        <w:gridCol w:w="138"/>
        <w:gridCol w:w="196"/>
      </w:tblGrid>
      <w:tr>
        <w:trPr/>
        <w:tc>
          <w:tcPr>
            <w:tcW w:w="25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9, 2023</w:t>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R. Hewitt</w:t>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 Hewitt</w:t>
            </w:r>
          </w:p>
        </w:tc>
        <w:tc>
          <w:tcPr>
            <w:tcW w:w="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3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Sarbanes-Oxley Act of 2002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Matrix Service Company (the “Company”) on Form 10-Q for the period ending September 30, 2023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582" w:type="dxa"/>
        <w:jc w:val="left"/>
        <w:tblInd w:w="0" w:type="dxa"/>
        <w:tblLayout w:type="fixed"/>
        <w:tblCellMar>
          <w:top w:w="28" w:type="dxa"/>
          <w:left w:w="28" w:type="dxa"/>
          <w:bottom w:w="28" w:type="dxa"/>
          <w:right w:w="28" w:type="dxa"/>
        </w:tblCellMar>
      </w:tblPr>
      <w:tblGrid>
        <w:gridCol w:w="283"/>
        <w:gridCol w:w="250"/>
        <w:gridCol w:w="252"/>
        <w:gridCol w:w="756"/>
        <w:gridCol w:w="756"/>
        <w:gridCol w:w="759"/>
        <w:gridCol w:w="154"/>
        <w:gridCol w:w="154"/>
        <w:gridCol w:w="218"/>
      </w:tblGrid>
      <w:tr>
        <w:trPr/>
        <w:tc>
          <w:tcPr>
            <w:tcW w:w="28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9, 2023</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S. Cavanah</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S. Cavanah</w:t>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left"/>
        <w:rPr>
          <w:color w:val="000000"/>
        </w:rPr>
      </w:pPr>
      <w:r>
        <w:rPr>
          <w:color w:val="000000"/>
        </w:rPr>
        <w:t>                                                    </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45" w:before="0" w:after="0"/>
        <w:jc w:val="right"/>
        <w:rPr>
          <w:rFonts w:ascii="Times New Roman;sans-serif" w:hAnsi="Times New Roman;sans-serif"/>
          <w:b/>
          <w:color w:val="000000"/>
          <w:sz w:val="20"/>
        </w:rPr>
      </w:pPr>
      <w:r>
        <w:rPr>
          <w:rFonts w:ascii="Times New Roman;sans-serif" w:hAnsi="Times New Roman;sans-serif"/>
          <w:b/>
          <w:color w:val="000000"/>
          <w:sz w:val="20"/>
        </w:rPr>
        <w:t>Exhibit 95</w:t>
      </w:r>
    </w:p>
    <w:p>
      <w:pPr>
        <w:pStyle w:val="TextBody"/>
        <w:bidi w:val="0"/>
        <w:spacing w:before="100" w:after="283"/>
        <w:jc w:val="left"/>
        <w:rPr/>
      </w:pPr>
      <w:r>
        <w:rPr/>
      </w:r>
    </w:p>
    <w:p>
      <w:pPr>
        <w:pStyle w:val="TextBody"/>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pStyle w:val="TextBody"/>
        <w:bidi w:val="0"/>
        <w:spacing w:lineRule="auto" w:line="345"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for the three months ended September 30, 2023:</w:t>
      </w:r>
    </w:p>
    <w:tbl>
      <w:tblPr>
        <w:tblW w:w="10205" w:type="dxa"/>
        <w:jc w:val="center"/>
        <w:tblInd w:w="0" w:type="dxa"/>
        <w:tblLayout w:type="fixed"/>
        <w:tblCellMar>
          <w:top w:w="28" w:type="dxa"/>
          <w:left w:w="28" w:type="dxa"/>
          <w:bottom w:w="28" w:type="dxa"/>
          <w:right w:w="28" w:type="dxa"/>
        </w:tblCellMar>
      </w:tblPr>
      <w:tblGrid>
        <w:gridCol w:w="368"/>
        <w:gridCol w:w="323"/>
        <w:gridCol w:w="325"/>
        <w:gridCol w:w="219"/>
        <w:gridCol w:w="219"/>
        <w:gridCol w:w="220"/>
        <w:gridCol w:w="186"/>
        <w:gridCol w:w="186"/>
        <w:gridCol w:w="187"/>
        <w:gridCol w:w="215"/>
        <w:gridCol w:w="215"/>
        <w:gridCol w:w="217"/>
        <w:gridCol w:w="197"/>
        <w:gridCol w:w="197"/>
        <w:gridCol w:w="199"/>
        <w:gridCol w:w="186"/>
        <w:gridCol w:w="186"/>
        <w:gridCol w:w="187"/>
        <w:gridCol w:w="320"/>
        <w:gridCol w:w="320"/>
        <w:gridCol w:w="321"/>
        <w:gridCol w:w="241"/>
        <w:gridCol w:w="241"/>
        <w:gridCol w:w="243"/>
        <w:gridCol w:w="319"/>
        <w:gridCol w:w="319"/>
        <w:gridCol w:w="320"/>
        <w:gridCol w:w="350"/>
        <w:gridCol w:w="350"/>
        <w:gridCol w:w="352"/>
        <w:gridCol w:w="275"/>
        <w:gridCol w:w="275"/>
        <w:gridCol w:w="276"/>
        <w:gridCol w:w="256"/>
        <w:gridCol w:w="256"/>
        <w:gridCol w:w="257"/>
        <w:gridCol w:w="252"/>
        <w:gridCol w:w="252"/>
        <w:gridCol w:w="378"/>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0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Mine or Operating Name/MSHA Identification Number</w:t>
            </w:r>
          </w:p>
        </w:tc>
        <w:tc>
          <w:tcPr>
            <w:tcW w:w="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Section 104 S&amp;S Citations</w:t>
            </w:r>
            <w:r>
              <w:rPr>
                <w:rFonts w:ascii="Times New Roman;sans-serif" w:hAnsi="Times New Roman;sans-serif"/>
                <w:b w:val="false"/>
                <w:color w:val="000000"/>
                <w:sz w:val="8"/>
              </w:rPr>
              <w:t>(1)</w:t>
            </w:r>
          </w:p>
        </w:tc>
        <w:tc>
          <w:tcPr>
            <w:tcW w:w="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Section 104(b) Orders</w:t>
            </w:r>
            <w:r>
              <w:rPr>
                <w:rFonts w:ascii="Times New Roman;sans-serif" w:hAnsi="Times New Roman;sans-serif"/>
                <w:b w:val="false"/>
                <w:color w:val="000000"/>
                <w:sz w:val="8"/>
              </w:rPr>
              <w:t>(2)</w:t>
            </w:r>
          </w:p>
        </w:tc>
        <w:tc>
          <w:tcPr>
            <w:tcW w:w="6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Section 104(d) Citations and Orders</w:t>
            </w:r>
            <w:r>
              <w:rPr>
                <w:rFonts w:ascii="Times New Roman;sans-serif" w:hAnsi="Times New Roman;sans-serif"/>
                <w:b w:val="false"/>
                <w:color w:val="000000"/>
                <w:sz w:val="8"/>
              </w:rPr>
              <w:t>(3)</w:t>
            </w:r>
          </w:p>
        </w:tc>
        <w:tc>
          <w:tcPr>
            <w:tcW w:w="5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Section 110(b)(2) Violations</w:t>
            </w:r>
            <w:r>
              <w:rPr>
                <w:rFonts w:ascii="Times New Roman;sans-serif" w:hAnsi="Times New Roman;sans-serif"/>
                <w:b w:val="false"/>
                <w:color w:val="000000"/>
                <w:sz w:val="8"/>
              </w:rPr>
              <w:t>(4)</w:t>
            </w:r>
          </w:p>
        </w:tc>
        <w:tc>
          <w:tcPr>
            <w:tcW w:w="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Section 107(a) Orders</w:t>
            </w:r>
            <w:r>
              <w:rPr>
                <w:rFonts w:ascii="Times New Roman;sans-serif" w:hAnsi="Times New Roman;sans-serif"/>
                <w:b w:val="false"/>
                <w:color w:val="000000"/>
                <w:sz w:val="8"/>
              </w:rPr>
              <w:t>(5)</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Total Dollar Value of MSHA Assessments Proposed ($)</w:t>
            </w:r>
          </w:p>
        </w:tc>
        <w:tc>
          <w:tcPr>
            <w:tcW w:w="7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Total Number of Mining Related Fatalities</w:t>
            </w:r>
          </w:p>
        </w:tc>
        <w:tc>
          <w:tcPr>
            <w:tcW w:w="9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Received Notice of Pattern of Violations Under Section 104(e)</w:t>
            </w:r>
            <w:r>
              <w:rPr>
                <w:rFonts w:ascii="Times New Roman;sans-serif" w:hAnsi="Times New Roman;sans-serif"/>
                <w:b w:val="false"/>
                <w:color w:val="000000"/>
                <w:sz w:val="8"/>
              </w:rPr>
              <w:t>(6)</w:t>
            </w:r>
            <w:r>
              <w:rPr>
                <w:color w:val="000000"/>
              </w:rPr>
              <w:t xml:space="preserve"> </w:t>
            </w:r>
            <w:r>
              <w:rPr>
                <w:rFonts w:ascii="Times New Roman;sans-serif" w:hAnsi="Times New Roman;sans-serif"/>
                <w:b w:val="false"/>
                <w:color w:val="000000"/>
                <w:sz w:val="12"/>
              </w:rPr>
              <w:t>(yes/no)</w:t>
            </w:r>
          </w:p>
        </w:tc>
        <w:tc>
          <w:tcPr>
            <w:tcW w:w="1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Received Notice of Potential to Have Pattern of Violations Under Section 104(e)</w:t>
            </w:r>
            <w:r>
              <w:rPr>
                <w:rFonts w:ascii="Times New Roman;sans-serif" w:hAnsi="Times New Roman;sans-serif"/>
                <w:b w:val="false"/>
                <w:color w:val="000000"/>
                <w:sz w:val="8"/>
              </w:rPr>
              <w:t xml:space="preserve">(7) </w:t>
            </w:r>
            <w:r>
              <w:rPr>
                <w:rFonts w:ascii="Times New Roman;sans-serif" w:hAnsi="Times New Roman;sans-serif"/>
                <w:b w:val="false"/>
                <w:color w:val="000000"/>
                <w:sz w:val="12"/>
              </w:rPr>
              <w:t>(yes/no)</w:t>
            </w:r>
          </w:p>
        </w:tc>
        <w:tc>
          <w:tcPr>
            <w:tcW w:w="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Total Number of Legal Actions Pending as of Last Day of Period</w:t>
            </w:r>
          </w:p>
        </w:tc>
        <w:tc>
          <w:tcPr>
            <w:tcW w:w="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Total Number of Legal Actions Initiated During Period</w:t>
            </w:r>
          </w:p>
        </w:tc>
        <w:tc>
          <w:tcPr>
            <w:tcW w:w="8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Total Number of Legal Actions Resolved During Period</w:t>
            </w:r>
          </w:p>
        </w:tc>
      </w:tr>
      <w:tr>
        <w:trPr/>
        <w:tc>
          <w:tcPr>
            <w:tcW w:w="101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10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None</w:t>
            </w:r>
          </w:p>
        </w:tc>
        <w:tc>
          <w:tcPr>
            <w:tcW w:w="658" w:type="dxa"/>
            <w:gridSpan w:val="3"/>
            <w:tcBorders>
              <w:top w:val="single" w:sz="8" w:space="0" w:color="000000"/>
              <w:left w:val="single" w:sz="8" w:space="0" w:color="000000"/>
              <w:bottom w:val="single" w:sz="8" w:space="0" w:color="000000"/>
            </w:tcBorders>
            <w:tcMar>
              <w:top w:w="30" w:type="dxa"/>
              <w:left w:w="4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59" w:type="dxa"/>
            <w:gridSpan w:val="3"/>
            <w:tcBorders>
              <w:top w:val="single" w:sz="8" w:space="0" w:color="000000"/>
              <w:left w:val="single" w:sz="8" w:space="0" w:color="000000"/>
              <w:bottom w:val="single" w:sz="8" w:space="0" w:color="000000"/>
            </w:tcBorders>
            <w:tcMar>
              <w:top w:w="30" w:type="dxa"/>
              <w:left w:w="4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47" w:type="dxa"/>
            <w:gridSpan w:val="3"/>
            <w:tcBorders>
              <w:top w:val="single" w:sz="8" w:space="0" w:color="000000"/>
              <w:left w:val="single" w:sz="8" w:space="0" w:color="000000"/>
              <w:bottom w:val="single" w:sz="8" w:space="0" w:color="000000"/>
            </w:tcBorders>
            <w:tcMar>
              <w:top w:w="30" w:type="dxa"/>
              <w:left w:w="4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93" w:type="dxa"/>
            <w:gridSpan w:val="3"/>
            <w:tcBorders>
              <w:top w:val="single" w:sz="8" w:space="0" w:color="000000"/>
              <w:left w:val="single" w:sz="8" w:space="0" w:color="000000"/>
              <w:bottom w:val="single" w:sz="8" w:space="0" w:color="000000"/>
            </w:tcBorders>
            <w:tcMar>
              <w:top w:w="30" w:type="dxa"/>
              <w:left w:w="4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59" w:type="dxa"/>
            <w:gridSpan w:val="3"/>
            <w:tcBorders>
              <w:top w:val="single" w:sz="8" w:space="0" w:color="000000"/>
              <w:left w:val="single" w:sz="8" w:space="0" w:color="000000"/>
              <w:bottom w:val="single" w:sz="8" w:space="0" w:color="000000"/>
            </w:tcBorders>
            <w:tcMar>
              <w:top w:w="30" w:type="dxa"/>
              <w:left w:w="4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61" w:type="dxa"/>
            <w:gridSpan w:val="3"/>
            <w:tcBorders>
              <w:top w:val="single" w:sz="8" w:space="0" w:color="000000"/>
              <w:left w:val="single" w:sz="8" w:space="0" w:color="000000"/>
              <w:bottom w:val="single" w:sz="8" w:space="0" w:color="000000"/>
            </w:tcBorders>
            <w:tcMar>
              <w:top w:w="30" w:type="dxa"/>
              <w:left w:w="4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25" w:type="dxa"/>
            <w:gridSpan w:val="3"/>
            <w:tcBorders>
              <w:top w:val="single" w:sz="8" w:space="0" w:color="000000"/>
              <w:left w:val="single" w:sz="8" w:space="0" w:color="000000"/>
              <w:bottom w:val="single" w:sz="8" w:space="0" w:color="000000"/>
            </w:tcBorders>
            <w:tcMar>
              <w:top w:w="30" w:type="dxa"/>
              <w:left w:w="4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5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N/A</w:t>
            </w:r>
          </w:p>
        </w:tc>
        <w:tc>
          <w:tcPr>
            <w:tcW w:w="105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N/A</w:t>
            </w:r>
          </w:p>
        </w:tc>
        <w:tc>
          <w:tcPr>
            <w:tcW w:w="826" w:type="dxa"/>
            <w:gridSpan w:val="3"/>
            <w:tcBorders>
              <w:top w:val="single" w:sz="8" w:space="0" w:color="000000"/>
              <w:left w:val="single" w:sz="8" w:space="0" w:color="000000"/>
              <w:bottom w:val="single" w:sz="8" w:space="0" w:color="000000"/>
            </w:tcBorders>
            <w:tcMar>
              <w:top w:w="30" w:type="dxa"/>
              <w:left w:w="4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69" w:type="dxa"/>
            <w:gridSpan w:val="3"/>
            <w:tcBorders>
              <w:top w:val="single" w:sz="8" w:space="0" w:color="000000"/>
              <w:left w:val="single" w:sz="8" w:space="0" w:color="000000"/>
              <w:bottom w:val="single" w:sz="8" w:space="0" w:color="000000"/>
            </w:tcBorders>
            <w:tcMar>
              <w:top w:w="30" w:type="dxa"/>
              <w:left w:w="4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882" w:type="dxa"/>
            <w:gridSpan w:val="3"/>
            <w:tcBorders>
              <w:top w:val="single" w:sz="8" w:space="0" w:color="000000"/>
              <w:left w:val="single" w:sz="8" w:space="0" w:color="000000"/>
              <w:bottom w:val="single" w:sz="8" w:space="0" w:color="000000"/>
              <w:right w:val="single" w:sz="8" w:space="0" w:color="000000"/>
            </w:tcBorders>
            <w:tcMar>
              <w:top w:w="30" w:type="dxa"/>
              <w:left w:w="42" w:type="dxa"/>
              <w:bottom w:w="30" w:type="dxa"/>
              <w:right w:w="42"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hanging="225"/>
        <w:jc w:val="left"/>
        <w:rPr/>
      </w:pPr>
      <w:r>
        <w:rPr/>
      </w:r>
    </w:p>
    <w:p>
      <w:pPr>
        <w:pStyle w:val="TextBody"/>
        <w:bidi w:val="0"/>
        <w:spacing w:lineRule="auto" w:line="345" w:before="0" w:after="0"/>
        <w:ind w:left="0" w:right="0" w:hanging="225"/>
        <w:jc w:val="left"/>
        <w:rPr>
          <w:rFonts w:ascii="Times New Roman;sans-serif" w:hAnsi="Times New Roman;sans-serif"/>
          <w:b w:val="false"/>
          <w:color w:val="000000"/>
          <w:sz w:val="16"/>
        </w:rPr>
      </w:pPr>
      <w:r>
        <w:rPr>
          <w:rFonts w:ascii="Times New Roman;sans-serif" w:hAnsi="Times New Roman;sans-serif"/>
          <w:b w:val="false"/>
          <w:color w:val="000000"/>
          <w:sz w:val="16"/>
        </w:rPr>
        <w:t>(1) The total number of citations issued under section 104 of the Mine Act for violations of mandatory health or safety standards that could significantly and substantially contribute to a serious injury if left unabated.</w:t>
      </w:r>
    </w:p>
    <w:p>
      <w:pPr>
        <w:pStyle w:val="TextBody"/>
        <w:bidi w:val="0"/>
        <w:spacing w:lineRule="auto" w:line="345" w:before="40" w:after="283"/>
        <w:ind w:left="0" w:right="0" w:hanging="225"/>
        <w:jc w:val="left"/>
        <w:rPr>
          <w:rFonts w:ascii="Times New Roman;sans-serif" w:hAnsi="Times New Roman;sans-serif"/>
          <w:b w:val="false"/>
          <w:color w:val="000000"/>
          <w:sz w:val="16"/>
        </w:rPr>
      </w:pPr>
      <w:r>
        <w:rPr>
          <w:rFonts w:ascii="Times New Roman;sans-serif" w:hAnsi="Times New Roman;sans-serif"/>
          <w:b w:val="false"/>
          <w:color w:val="000000"/>
          <w:sz w:val="16"/>
        </w:rPr>
        <w:t>(2) The total number of orders issued under section 104(b) of the Mine Act, which represents a failure to abate a citation under section 104(a) within the period of time prescribed by MSHA.</w:t>
      </w:r>
    </w:p>
    <w:p>
      <w:pPr>
        <w:pStyle w:val="TextBody"/>
        <w:bidi w:val="0"/>
        <w:spacing w:lineRule="auto" w:line="345" w:before="40" w:after="283"/>
        <w:ind w:left="0" w:right="0" w:hanging="225"/>
        <w:jc w:val="left"/>
        <w:rPr>
          <w:rFonts w:ascii="Times New Roman;sans-serif" w:hAnsi="Times New Roman;sans-serif"/>
          <w:b w:val="false"/>
          <w:color w:val="000000"/>
          <w:sz w:val="16"/>
        </w:rPr>
      </w:pPr>
      <w:r>
        <w:rPr>
          <w:rFonts w:ascii="Times New Roman;sans-serif" w:hAnsi="Times New Roman;sans-serif"/>
          <w:b w:val="false"/>
          <w:color w:val="000000"/>
          <w:sz w:val="16"/>
        </w:rPr>
        <w:t>(3) The total number of citations and orders issued by MSHA under section 104(d) of the Mine Act for unwarrantable failure to comply with mandatory health or safety standards.</w:t>
      </w:r>
    </w:p>
    <w:p>
      <w:pPr>
        <w:pStyle w:val="TextBody"/>
        <w:bidi w:val="0"/>
        <w:spacing w:lineRule="auto" w:line="345"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 The total number of flagrant violations identified under section 110(b)(2) of the Mine Act.</w:t>
      </w:r>
    </w:p>
    <w:p>
      <w:pPr>
        <w:pStyle w:val="TextBody"/>
        <w:bidi w:val="0"/>
        <w:spacing w:lineRule="auto" w:line="345"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 The total number of orders issued under section 107(a) of the Mine Act for situations in which MSHA determined an imminent danger existed.</w:t>
      </w:r>
    </w:p>
    <w:p>
      <w:pPr>
        <w:pStyle w:val="TextBody"/>
        <w:bidi w:val="0"/>
        <w:spacing w:lineRule="auto" w:line="345"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 A written notice from the MSHA regarding a pattern of violations under section 104(e) of the Mine Act.</w:t>
      </w:r>
    </w:p>
    <w:p>
      <w:pPr>
        <w:pStyle w:val="TextBody"/>
        <w:bidi w:val="0"/>
        <w:spacing w:lineRule="auto" w:line="345"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 A written notice from the MSHA regarding a potential to have a pattern of violations under section 104(e) of the Mine Act.</w:t>
      </w:r>
    </w:p>
    <w:p>
      <w:pPr>
        <w:pStyle w:val="TextBody"/>
        <w:bidi w:val="0"/>
        <w:spacing w:before="0" w:after="0"/>
        <w:jc w:val="left"/>
        <w:rPr/>
      </w:pPr>
      <w:r>
        <w:rPr/>
      </w:r>
    </w:p>
    <w:p>
      <w:pPr>
        <w:pStyle w:val="TextBody"/>
        <w:bidi w:val="0"/>
        <w:spacing w:before="18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13840</Words>
  <Characters>77322</Characters>
  <CharactersWithSpaces>90349</CharactersWithSpaces>
  <Paragraphs>1502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