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3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760" w:hanging="482"/>
        <w:spacing w:after="0"/>
        <w:tabs>
          <w:tab w:leader="none" w:pos="7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60" w:hanging="482"/>
        <w:spacing w:after="0"/>
        <w:tabs>
          <w:tab w:leader="none" w:pos="7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3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5"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30"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As of November 3, 2020 there were 27,888,217 shares of the Company’s common stock, $0.01 par value per share, issued and 26,468,781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2"/>
        </w:trPr>
        <w:tc>
          <w:tcPr>
            <w:tcW w:w="100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360" w:type="dxa"/>
            <w:vAlign w:val="bottom"/>
          </w:tcPr>
          <w:p>
            <w:pPr>
              <w:spacing w:after="0"/>
              <w:rPr>
                <w:sz w:val="21"/>
                <w:szCs w:val="21"/>
                <w:color w:val="auto"/>
              </w:rPr>
            </w:pPr>
          </w:p>
        </w:tc>
        <w:tc>
          <w:tcPr>
            <w:tcW w:w="8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93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93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for the Three Months Ended September 30, 2020 and 2019</w:t>
              </w:r>
            </w:hyperlink>
          </w:p>
        </w:tc>
        <w:tc>
          <w:tcPr>
            <w:tcW w:w="920" w:type="dxa"/>
            <w:vAlign w:val="bottom"/>
          </w:tcPr>
          <w:p>
            <w:pPr>
              <w:jc w:val="center"/>
              <w:ind w:right="11"/>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0" w:type="dxa"/>
            <w:vAlign w:val="bottom"/>
          </w:tcPr>
          <w:p>
            <w:pPr>
              <w:spacing w:after="0"/>
              <w:rPr>
                <w:sz w:val="1"/>
                <w:szCs w:val="1"/>
                <w:color w:val="auto"/>
              </w:rPr>
            </w:pPr>
          </w:p>
        </w:tc>
      </w:tr>
      <w:tr>
        <w:trPr>
          <w:trHeight w:val="284"/>
        </w:trPr>
        <w:tc>
          <w:tcPr>
            <w:tcW w:w="1000" w:type="dxa"/>
            <w:vAlign w:val="bottom"/>
          </w:tcPr>
          <w:p>
            <w:pPr>
              <w:spacing w:after="0"/>
              <w:rPr>
                <w:sz w:val="24"/>
                <w:szCs w:val="24"/>
                <w:color w:val="auto"/>
              </w:rPr>
            </w:pPr>
          </w:p>
        </w:tc>
        <w:tc>
          <w:tcPr>
            <w:tcW w:w="9320" w:type="dxa"/>
            <w:vAlign w:val="bottom"/>
            <w:gridSpan w:val="3"/>
          </w:tcPr>
          <w:p>
            <w:pPr>
              <w:spacing w:after="0"/>
              <w:rPr>
                <w:rFonts w:ascii="Arial" w:cs="Arial" w:eastAsia="Arial" w:hAnsi="Arial"/>
                <w:sz w:val="18"/>
                <w:szCs w:val="18"/>
                <w:u w:val="single" w:color="auto"/>
                <w:color w:val="0000FF"/>
                <w:w w:val="93"/>
              </w:rPr>
            </w:pPr>
            <w:hyperlink w:anchor="page3">
              <w:r>
                <w:rPr>
                  <w:rFonts w:ascii="Arial" w:cs="Arial" w:eastAsia="Arial" w:hAnsi="Arial"/>
                  <w:sz w:val="18"/>
                  <w:szCs w:val="18"/>
                  <w:u w:val="single" w:color="auto"/>
                  <w:color w:val="0000FF"/>
                  <w:w w:val="93"/>
                </w:rPr>
                <w:t>Condensed Consolidated Statements of Comprehensive Income for the Three Months Ended September 30, 2020 and 2019</w:t>
              </w:r>
            </w:hyperlink>
          </w:p>
        </w:tc>
        <w:tc>
          <w:tcPr>
            <w:tcW w:w="920" w:type="dxa"/>
            <w:vAlign w:val="bottom"/>
          </w:tcPr>
          <w:p>
            <w:pPr>
              <w:jc w:val="center"/>
              <w:ind w:right="11"/>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932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September 30, 2020 and June 30, 2020</w:t>
              </w:r>
            </w:hyperlink>
          </w:p>
        </w:tc>
        <w:tc>
          <w:tcPr>
            <w:tcW w:w="920" w:type="dxa"/>
            <w:vAlign w:val="bottom"/>
          </w:tcPr>
          <w:p>
            <w:pPr>
              <w:jc w:val="center"/>
              <w:ind w:right="11"/>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932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for the Three Months Ended September 30, 2020 and 2019</w:t>
              </w:r>
            </w:hyperlink>
          </w:p>
        </w:tc>
        <w:tc>
          <w:tcPr>
            <w:tcW w:w="920" w:type="dxa"/>
            <w:vAlign w:val="bottom"/>
          </w:tcPr>
          <w:p>
            <w:pPr>
              <w:jc w:val="center"/>
              <w:ind w:right="11"/>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320" w:type="dxa"/>
            <w:vAlign w:val="bottom"/>
            <w:gridSpan w:val="3"/>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Changes in Stockholders’ Equity for the Three Months Ended September 30, 2020 and</w:t>
              </w:r>
            </w:hyperlink>
          </w:p>
        </w:tc>
        <w:tc>
          <w:tcPr>
            <w:tcW w:w="920" w:type="dxa"/>
            <w:vAlign w:val="bottom"/>
            <w:vMerge w:val="restart"/>
          </w:tcPr>
          <w:p>
            <w:pPr>
              <w:jc w:val="center"/>
              <w:ind w:right="11"/>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8">
              <w:r>
                <w:rPr>
                  <w:rFonts w:ascii="Arial" w:cs="Arial" w:eastAsia="Arial" w:hAnsi="Arial"/>
                  <w:sz w:val="18"/>
                  <w:szCs w:val="18"/>
                  <w:color w:val="0000FF"/>
                  <w:w w:val="84"/>
                </w:rPr>
                <w:t>2019</w:t>
              </w:r>
            </w:hyperlink>
          </w:p>
        </w:tc>
        <w:tc>
          <w:tcPr>
            <w:tcW w:w="87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320" w:type="dxa"/>
            <w:vAlign w:val="bottom"/>
            <w:gridSpan w:val="3"/>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920" w:type="dxa"/>
            <w:vAlign w:val="bottom"/>
          </w:tcPr>
          <w:p>
            <w:pPr>
              <w:jc w:val="center"/>
              <w:ind w:right="11"/>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320" w:type="dxa"/>
            <w:vAlign w:val="bottom"/>
            <w:gridSpan w:val="3"/>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932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32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500"/>
        </w:trPr>
        <w:tc>
          <w:tcPr>
            <w:tcW w:w="1000" w:type="dxa"/>
            <w:vAlign w:val="bottom"/>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PART II</w:t>
              </w:r>
            </w:hyperlink>
          </w:p>
        </w:tc>
        <w:tc>
          <w:tcPr>
            <w:tcW w:w="360" w:type="dxa"/>
            <w:vAlign w:val="bottom"/>
          </w:tcPr>
          <w:p>
            <w:pPr>
              <w:spacing w:after="0"/>
              <w:rPr>
                <w:sz w:val="24"/>
                <w:szCs w:val="24"/>
                <w:color w:val="auto"/>
              </w:rPr>
            </w:pPr>
          </w:p>
        </w:tc>
        <w:tc>
          <w:tcPr>
            <w:tcW w:w="8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1.</w:t>
            </w:r>
          </w:p>
        </w:tc>
        <w:tc>
          <w:tcPr>
            <w:tcW w:w="932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1A.</w:t>
            </w:r>
          </w:p>
        </w:tc>
        <w:tc>
          <w:tcPr>
            <w:tcW w:w="932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2.</w:t>
            </w:r>
          </w:p>
        </w:tc>
        <w:tc>
          <w:tcPr>
            <w:tcW w:w="932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Item 3.</w:t>
            </w:r>
          </w:p>
        </w:tc>
        <w:tc>
          <w:tcPr>
            <w:tcW w:w="932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Defaults Upon Senior Securities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4.</w:t>
            </w:r>
          </w:p>
        </w:tc>
        <w:tc>
          <w:tcPr>
            <w:tcW w:w="932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Item 5.</w:t>
            </w:r>
          </w:p>
        </w:tc>
        <w:tc>
          <w:tcPr>
            <w:tcW w:w="932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Other Information</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Item 6.</w:t>
            </w:r>
          </w:p>
        </w:tc>
        <w:tc>
          <w:tcPr>
            <w:tcW w:w="932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w:t>
              </w:r>
            </w:hyperlink>
          </w:p>
        </w:tc>
        <w:tc>
          <w:tcPr>
            <w:tcW w:w="3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ind w:right="11"/>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0" w:type="dxa"/>
            <w:vAlign w:val="bottom"/>
          </w:tcPr>
          <w:p>
            <w:pPr>
              <w:spacing w:after="0"/>
              <w:rPr>
                <w:sz w:val="1"/>
                <w:szCs w:val="1"/>
                <w:color w:val="auto"/>
              </w:rPr>
            </w:pPr>
          </w:p>
        </w:tc>
      </w:tr>
      <w:tr>
        <w:trPr>
          <w:trHeight w:val="993"/>
        </w:trPr>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4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8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338,097</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305,632</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32,465</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23,691</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8,774</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5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8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5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26,935</w:t>
            </w: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7"/>
              <w:spacing w:after="0" w:line="13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8"/>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0"/>
              </w:rPr>
              <w:t>Foreign currency translation gain (loss) (net of tax expense (benefit) of $12 and ($22) for the three months ended</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2020, and 2019,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100,036</w:t>
            </w:r>
          </w:p>
        </w:tc>
      </w:tr>
      <w:tr>
        <w:trPr>
          <w:trHeight w:val="230"/>
        </w:trPr>
        <w:tc>
          <w:tcPr>
            <w:tcW w:w="8560" w:type="dxa"/>
            <w:vAlign w:val="bottom"/>
          </w:tcPr>
          <w:p>
            <w:pPr>
              <w:ind w:left="320"/>
              <w:spacing w:after="0"/>
              <w:rPr>
                <w:sz w:val="20"/>
                <w:szCs w:val="20"/>
                <w:color w:val="auto"/>
              </w:rPr>
            </w:pPr>
            <w:r>
              <w:rPr>
                <w:rFonts w:ascii="Arial" w:cs="Arial" w:eastAsia="Arial" w:hAnsi="Arial"/>
                <w:sz w:val="18"/>
                <w:szCs w:val="18"/>
                <w:color w:val="auto"/>
              </w:rPr>
              <w:t>Accounts receivable, less allowances (September 30, 2020—$830 and June 30, 2020—$905)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160,671</w:t>
            </w: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r>
      <w:tr>
        <w:trPr>
          <w:trHeight w:val="230"/>
        </w:trPr>
        <w:tc>
          <w:tcPr>
            <w:tcW w:w="85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6,460</w:t>
            </w: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r>
      <w:tr>
        <w:trPr>
          <w:trHeight w:val="229"/>
        </w:trPr>
        <w:tc>
          <w:tcPr>
            <w:tcW w:w="8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335,160</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and buildings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42,695</w:t>
            </w:r>
          </w:p>
        </w:tc>
      </w:tr>
      <w:tr>
        <w:trPr>
          <w:trHeight w:val="229"/>
        </w:trPr>
        <w:tc>
          <w:tcPr>
            <w:tcW w:w="8560" w:type="dxa"/>
            <w:vAlign w:val="bottom"/>
          </w:tcPr>
          <w:p>
            <w:pPr>
              <w:ind w:left="32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94,154</w:t>
            </w: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Transportation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55,864</w:t>
            </w:r>
          </w:p>
        </w:tc>
      </w:tr>
      <w:tr>
        <w:trPr>
          <w:trHeight w:val="230"/>
        </w:trPr>
        <w:tc>
          <w:tcPr>
            <w:tcW w:w="8560" w:type="dxa"/>
            <w:vAlign w:val="bottom"/>
          </w:tcPr>
          <w:p>
            <w:pPr>
              <w:ind w:left="32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39,356</w:t>
            </w: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23"/>
        </w:trPr>
        <w:tc>
          <w:tcPr>
            <w:tcW w:w="8560" w:type="dxa"/>
            <w:vAlign w:val="bottom"/>
          </w:tcPr>
          <w:p>
            <w:pPr>
              <w:ind w:left="12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236,496</w:t>
            </w: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(155,748)</w:t>
            </w:r>
          </w:p>
        </w:tc>
      </w:tr>
      <w:tr>
        <w:trPr>
          <w:trHeight w:val="223"/>
        </w:trPr>
        <w:tc>
          <w:tcPr>
            <w:tcW w:w="8560" w:type="dxa"/>
            <w:vAlign w:val="bottom"/>
          </w:tcPr>
          <w:p>
            <w:pPr>
              <w:ind w:left="1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80,748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60,369</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w:t>
            </w:r>
          </w:p>
        </w:tc>
        <w:tc>
          <w:tcPr>
            <w:tcW w:w="0" w:type="dxa"/>
            <w:vAlign w:val="bottom"/>
          </w:tcPr>
          <w:p>
            <w:pPr>
              <w:spacing w:after="0"/>
              <w:rPr>
                <w:sz w:val="1"/>
                <w:szCs w:val="1"/>
                <w:color w:val="auto"/>
              </w:rPr>
            </w:pPr>
          </w:p>
        </w:tc>
      </w:tr>
      <w:tr>
        <w:trPr>
          <w:trHeight w:val="229"/>
        </w:trPr>
        <w:tc>
          <w:tcPr>
            <w:tcW w:w="8560" w:type="dxa"/>
            <w:vAlign w:val="bottom"/>
          </w:tcPr>
          <w:p>
            <w:pPr>
              <w:ind w:left="3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30"/>
        </w:trPr>
        <w:tc>
          <w:tcPr>
            <w:tcW w:w="8560" w:type="dxa"/>
            <w:vAlign w:val="bottom"/>
          </w:tcPr>
          <w:p>
            <w:pPr>
              <w:ind w:left="32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175,947</w:t>
            </w:r>
          </w:p>
        </w:tc>
        <w:tc>
          <w:tcPr>
            <w:tcW w:w="0" w:type="dxa"/>
            <w:vAlign w:val="bottom"/>
          </w:tcPr>
          <w:p>
            <w:pPr>
              <w:spacing w:after="0"/>
              <w:rPr>
                <w:sz w:val="1"/>
                <w:szCs w:val="1"/>
                <w:color w:val="auto"/>
              </w:rPr>
            </w:pPr>
          </w:p>
        </w:tc>
      </w:tr>
      <w:tr>
        <w:trPr>
          <w:trHeight w:val="229"/>
        </w:trPr>
        <w:tc>
          <w:tcPr>
            <w:tcW w:w="85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0" w:type="dxa"/>
            <w:vAlign w:val="bottom"/>
          </w:tcPr>
          <w:p>
            <w:pPr>
              <w:spacing w:after="0"/>
              <w:rPr>
                <w:sz w:val="1"/>
                <w:szCs w:val="1"/>
                <w:color w:val="auto"/>
              </w:rPr>
            </w:pPr>
          </w:p>
        </w:tc>
      </w:tr>
      <w:tr>
        <w:trPr>
          <w:trHeight w:val="229"/>
        </w:trPr>
        <w:tc>
          <w:tcPr>
            <w:tcW w:w="8560" w:type="dxa"/>
            <w:vAlign w:val="bottom"/>
          </w:tcPr>
          <w:p>
            <w:pPr>
              <w:ind w:left="320"/>
              <w:spacing w:after="0"/>
              <w:rPr>
                <w:sz w:val="20"/>
                <w:szCs w:val="20"/>
                <w:color w:val="auto"/>
              </w:rPr>
            </w:pPr>
            <w:r>
              <w:rPr>
                <w:rFonts w:ascii="Arial" w:cs="Arial" w:eastAsia="Arial" w:hAnsi="Arial"/>
                <w:sz w:val="18"/>
                <w:szCs w:val="18"/>
                <w:color w:val="auto"/>
              </w:rPr>
              <w:t>Borrowings under senior secured revolving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209,421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Common stock—$.01 par value; 60,000,000 shares authorized; 27,888,217 shares issued as of September 30,</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2020 and June 30, 2020; 26,460,196 and 26,141,528 shares outstanding as of September 30, 2020 and June 30,</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138,966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337,274</w:t>
            </w:r>
          </w:p>
        </w:tc>
        <w:tc>
          <w:tcPr>
            <w:tcW w:w="0" w:type="dxa"/>
            <w:vAlign w:val="bottom"/>
          </w:tcPr>
          <w:p>
            <w:pPr>
              <w:spacing w:after="0"/>
              <w:rPr>
                <w:sz w:val="1"/>
                <w:szCs w:val="1"/>
                <w:color w:val="auto"/>
              </w:rPr>
            </w:pPr>
          </w:p>
        </w:tc>
      </w:tr>
      <w:tr>
        <w:trPr>
          <w:trHeight w:val="175"/>
        </w:trPr>
        <w:tc>
          <w:tcPr>
            <w:tcW w:w="8560" w:type="dxa"/>
            <w:vAlign w:val="bottom"/>
          </w:tcPr>
          <w:p>
            <w:pPr>
              <w:ind w:left="320"/>
              <w:spacing w:after="0" w:line="176" w:lineRule="exact"/>
              <w:rPr>
                <w:sz w:val="20"/>
                <w:szCs w:val="20"/>
                <w:color w:val="auto"/>
              </w:rPr>
            </w:pPr>
            <w:r>
              <w:rPr>
                <w:rFonts w:ascii="Arial" w:cs="Arial" w:eastAsia="Arial" w:hAnsi="Arial"/>
                <w:sz w:val="18"/>
                <w:szCs w:val="18"/>
                <w:color w:val="auto"/>
                <w:w w:val="90"/>
              </w:rPr>
              <w:t>Less: Treasury stock, at cost — 1,428,021 shares as of September 30, 2020, and 1,746,689 shares as of June 30,</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(22,342)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307,889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September 30,</w:t>
            </w:r>
          </w:p>
        </w:tc>
      </w:tr>
      <w:tr>
        <w:trPr>
          <w:trHeight w:val="188"/>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6,151</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(used) by 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4,779</w:t>
            </w:r>
          </w:p>
        </w:tc>
      </w:tr>
      <w:tr>
        <w:trPr>
          <w:trHeight w:val="229"/>
        </w:trPr>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8540" w:type="dxa"/>
            <w:vAlign w:val="bottom"/>
          </w:tcPr>
          <w:p>
            <w:pPr>
              <w:ind w:left="320"/>
              <w:spacing w:after="0"/>
              <w:rPr>
                <w:sz w:val="20"/>
                <w:szCs w:val="20"/>
                <w:color w:val="auto"/>
              </w:rPr>
            </w:pPr>
            <w:r>
              <w:rPr>
                <w:rFonts w:ascii="Arial" w:cs="Arial" w:eastAsia="Arial" w:hAnsi="Arial"/>
                <w:sz w:val="18"/>
                <w:szCs w:val="18"/>
                <w:color w:val="auto"/>
              </w:rPr>
              <w:t>Operating lease impairment due to restructuring</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30"/>
        </w:trPr>
        <w:tc>
          <w:tcPr>
            <w:tcW w:w="8540" w:type="dxa"/>
            <w:vAlign w:val="bottom"/>
          </w:tcPr>
          <w:p>
            <w:pPr>
              <w:ind w:left="32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854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3,594</w:t>
            </w:r>
          </w:p>
        </w:tc>
      </w:tr>
      <w:tr>
        <w:trPr>
          <w:trHeight w:val="230"/>
        </w:trPr>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30,087</w:t>
            </w:r>
          </w:p>
        </w:tc>
      </w:tr>
      <w:tr>
        <w:trPr>
          <w:trHeight w:val="229"/>
        </w:trPr>
        <w:tc>
          <w:tcPr>
            <w:tcW w:w="85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 and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854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(15,240)</w:t>
            </w:r>
          </w:p>
        </w:tc>
      </w:tr>
      <w:tr>
        <w:trPr>
          <w:trHeight w:val="230"/>
        </w:trPr>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r>
      <w:tr>
        <w:trPr>
          <w:trHeight w:val="230"/>
        </w:trPr>
        <w:tc>
          <w:tcPr>
            <w:tcW w:w="85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w:t>
            </w: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Advances under senior secured 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50,174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89,715</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139,889</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July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(478,703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(8,730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w w:val="98"/>
              </w:rPr>
              <w:t>Treasury shares purchased to satisfy tax withholding obligations (168,765</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203,365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306,020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Balances, July 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137,712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239,476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(7,751)</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(494,274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(4,053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Treasury shares purchased to satisfy tax withholding obligations (174,084</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3,024</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357,427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2020, included in the Company’s Annual Report on Form 10-K for the year then ended. The results of operations for the three month period ended September 30, 2020 may not necessarily be indicative of the results of operations for the full year ending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updated its significant accounting policies to include its accounting policy for recognizing credit losses as a result of adopting the Financial Accounting Standards Board ("FASB") Accounting Standards Update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on July 1, 2020, and our change in reportable segments effective July 1, 2020. The Company's other significant accounting policies are detailed in “Note 1 - Summary of Significant Accounting Policies” of our Annual Report on Form 10-K for the year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Credit Losses Standard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16, 2016, the FASB issued ASU 2016-13, Financial Instruments - Credit Losses (Topic 326), which changed how the Company accounts for credit losses, including those related to its accounts receivable and contract assets. Under this guidance, a financial asset (or a group of financial assets) are required to be presented at the net amount expected to be collected. The income statement reflects any increases or decreases of expected credit losses that have taken place during the period.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amendments in this update eliminate the probable initial recognition threshold and, instead, reflect the Company's current estimate of all lifetime expected credit losses on its accounts receivable and contract asset balances. The measurement of expected credit losses is based on relevant information about past events, including historical experience, current conditions, and reasonable and supportable forecasts that affect the collectibility of the reported amounts. The Company determines its allowance for credit losses by using a loss-rate methodology, in which it assesses historical write-offs against total receivables and contract asset balances over several periods. In addition, the Company places reserves on specific balances as needed based on the most recent estimates of collectibility. The Company's adoption of this standard on July 1, 2020 did not have a material impact on its estimate of the allowance for credit losses.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design,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 Refer to Note 9 - Segment Information, and Part I, Item 2 - Management's Discussion and Analysis - Results of Operations,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$490.4 million of remaining performance obligations yet to be satisfied as of September 30, 2020. The Company expects to recognize $386.0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difference between the beginning and ending balances of the Company's CIE and BIE primarily results from the timing of revenue recognized relative to its billings. The amount of revenue recognized during the three months ended September 30, 2020 that was included in the June 30, 2020 BIE balance was $41.2 million. This revenue consists primarily of work performed during the period on contracts with customers that had advance billings.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September 30, 2020 and June 30, 2020 included retentions to be collected within one year of $33.0 million and $37.3 million, respectively. Contract retentions collectible beyond one year are included in other assets in the Condensed Consolidated Balance Sheet and totaled $3.8 million as of September 30, 2020 and $1.6 million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8600" w:type="dxa"/>
        <w:tblCellMar>
          <w:top w:w="0" w:type="dxa"/>
          <w:left w:w="0" w:type="dxa"/>
          <w:bottom w:w="0" w:type="dxa"/>
          <w:right w:w="0" w:type="dxa"/>
        </w:tblCellMar>
      </w:tblPr>
      <w:tr>
        <w:trPr>
          <w:trHeight w:val="141"/>
        </w:trPr>
        <w:tc>
          <w:tcPr>
            <w:tcW w:w="1320" w:type="dxa"/>
            <w:vAlign w:val="bottom"/>
            <w:tcBorders>
              <w:top w:val="single" w:sz="8" w:color="auto"/>
            </w:tcBorders>
          </w:tcPr>
          <w:p>
            <w:pPr>
              <w:jc w:val="center"/>
              <w:ind w:right="8"/>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r>
      <w:tr>
        <w:trPr>
          <w:trHeight w:val="186"/>
        </w:trPr>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international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Contract Type Disaggregation: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r>
      <w:tr>
        <w:trPr>
          <w:trHeight w:val="23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161,377</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314,416</w:t>
            </w:r>
          </w:p>
        </w:tc>
      </w:tr>
      <w:tr>
        <w:trPr>
          <w:trHeight w:val="229"/>
        </w:trPr>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21,170</w:t>
            </w:r>
          </w:p>
        </w:tc>
      </w:tr>
      <w:tr>
        <w:trPr>
          <w:trHeight w:val="230"/>
        </w:trPr>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182,771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338,097</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-624840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-334010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20" w:type="dxa"/>
            <w:vAlign w:val="bottom"/>
            <w:tcBorders>
              <w:top w:val="single" w:sz="8" w:color="auto"/>
            </w:tcBorders>
          </w:tcPr>
          <w:p>
            <w:pPr>
              <w:jc w:val="center"/>
              <w:ind w:right="8"/>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r>
      <w:tr>
        <w:trPr>
          <w:trHeight w:val="186"/>
        </w:trPr>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176,320</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161,777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338,097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Real estate leases accounted for approximately 90% of all right-of-use assets as of September 30, 2020. Most real estate and information technology equipment leases generally have fixed payments that follow an agreed upon payment schedule and have remaining lease terms ranging from less than a year to 15 years. Construction equipment leases generally have "month-to-month" lease terms that automatically renew as long as the equipment remains in use.</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September 30, 2020, the Company recognized a $0.2 million impairment of a right-of-use asset in connection with the closure of a leased office space. The impairment is included in restructuring costs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September 30, 2019</w:t>
            </w: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4860" w:type="dxa"/>
            <w:vAlign w:val="bottom"/>
            <w:gridSpan w:val="2"/>
          </w:tcPr>
          <w:p>
            <w:pPr>
              <w:ind w:left="640"/>
              <w:spacing w:after="0"/>
              <w:rPr>
                <w:sz w:val="20"/>
                <w:szCs w:val="20"/>
                <w:color w:val="auto"/>
              </w:rPr>
            </w:pPr>
            <w:r>
              <w:rPr>
                <w:rFonts w:ascii="Arial" w:cs="Arial" w:eastAsia="Arial" w:hAnsi="Arial"/>
                <w:sz w:val="18"/>
                <w:szCs w:val="18"/>
                <w:b w:val="1"/>
                <w:bCs w:val="1"/>
                <w:color w:val="auto"/>
              </w:rPr>
              <w:t>Location of Expense in Statements of Income</w:t>
            </w:r>
          </w:p>
        </w:tc>
        <w:tc>
          <w:tcPr>
            <w:tcW w:w="180" w:type="dxa"/>
            <w:vAlign w:val="bottom"/>
          </w:tcPr>
          <w:p>
            <w:pPr>
              <w:spacing w:after="0"/>
              <w:rPr>
                <w:sz w:val="18"/>
                <w:szCs w:val="18"/>
                <w:color w:val="auto"/>
              </w:rPr>
            </w:pPr>
          </w:p>
        </w:tc>
        <w:tc>
          <w:tcPr>
            <w:tcW w:w="3440" w:type="dxa"/>
            <w:vAlign w:val="bottom"/>
            <w:gridSpan w:val="4"/>
          </w:tcPr>
          <w:p>
            <w:pPr>
              <w:jc w:val="right"/>
              <w:ind w:right="1315"/>
              <w:spacing w:after="0"/>
              <w:rPr>
                <w:sz w:val="20"/>
                <w:szCs w:val="20"/>
                <w:color w:val="auto"/>
              </w:rPr>
            </w:pPr>
            <w:r>
              <w:rPr>
                <w:rFonts w:ascii="Arial" w:cs="Arial" w:eastAsia="Arial" w:hAnsi="Arial"/>
                <w:sz w:val="14"/>
                <w:szCs w:val="14"/>
                <w:color w:val="auto"/>
              </w:rPr>
              <w:t>(in thousands)</w:t>
            </w:r>
          </w:p>
        </w:tc>
      </w:tr>
      <w:tr>
        <w:trPr>
          <w:trHeight w:val="223"/>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Cost of revenue and selling, general and administrative expenses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r>
      <w:tr>
        <w:trPr>
          <w:trHeight w:val="229"/>
        </w:trPr>
        <w:tc>
          <w:tcPr>
            <w:tcW w:w="2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w:t>
            </w: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4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48"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the Company's Condensed Consolidated Balance Sheets, were as follows:</w:t>
      </w: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September 30, 2020</w:t>
            </w: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Maturity Analysis:</w:t>
            </w:r>
          </w:p>
        </w:tc>
        <w:tc>
          <w:tcPr>
            <w:tcW w:w="160" w:type="dxa"/>
            <w:vAlign w:val="bottom"/>
          </w:tcPr>
          <w:p>
            <w:pPr>
              <w:spacing w:after="0"/>
              <w:rPr>
                <w:sz w:val="18"/>
                <w:szCs w:val="18"/>
                <w:color w:val="auto"/>
              </w:rPr>
            </w:pPr>
          </w:p>
        </w:tc>
        <w:tc>
          <w:tcPr>
            <w:tcW w:w="1600" w:type="dxa"/>
            <w:vAlign w:val="bottom"/>
          </w:tcPr>
          <w:p>
            <w:pPr>
              <w:jc w:val="center"/>
              <w:ind w:right="95"/>
              <w:spacing w:after="0"/>
              <w:rPr>
                <w:sz w:val="20"/>
                <w:szCs w:val="20"/>
                <w:color w:val="auto"/>
              </w:rPr>
            </w:pPr>
            <w:r>
              <w:rPr>
                <w:rFonts w:ascii="Arial" w:cs="Arial" w:eastAsia="Arial" w:hAnsi="Arial"/>
                <w:sz w:val="14"/>
                <w:szCs w:val="14"/>
                <w:color w:val="auto"/>
                <w:w w:val="92"/>
              </w:rPr>
              <w:t>(in thousands)</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5,542</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2,862</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30,535</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25,405</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11240" w:type="dxa"/>
            <w:vAlign w:val="bottom"/>
            <w:gridSpan w:val="3"/>
          </w:tcPr>
          <w:p>
            <w:pPr>
              <w:spacing w:after="0"/>
              <w:rPr>
                <w:sz w:val="20"/>
                <w:szCs w:val="20"/>
                <w:color w:val="auto"/>
              </w:rPr>
            </w:pPr>
            <w:r>
              <w:rPr>
                <w:rFonts w:ascii="Arial" w:cs="Arial" w:eastAsia="Arial" w:hAnsi="Arial"/>
                <w:sz w:val="18"/>
                <w:szCs w:val="18"/>
                <w:color w:val="auto"/>
                <w:w w:val="95"/>
              </w:rPr>
              <w:t>The following is a summary of the weighted average remaining operating lease term and weighted average discount rate as of September 30, 2020:</w:t>
            </w:r>
          </w:p>
        </w:tc>
      </w:tr>
      <w:tr>
        <w:trPr>
          <w:trHeight w:val="189"/>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years</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566"/>
        </w:trPr>
        <w:tc>
          <w:tcPr>
            <w:tcW w:w="94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4"/>
        </w:trPr>
        <w:tc>
          <w:tcPr>
            <w:tcW w:w="9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9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September 30, 2020</w:t>
            </w:r>
          </w:p>
        </w:tc>
      </w:tr>
      <w:tr>
        <w:trPr>
          <w:trHeight w:val="185"/>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ind w:right="95"/>
              <w:spacing w:after="0"/>
              <w:rPr>
                <w:sz w:val="20"/>
                <w:szCs w:val="20"/>
                <w:color w:val="auto"/>
              </w:rPr>
            </w:pPr>
            <w:r>
              <w:rPr>
                <w:rFonts w:ascii="Arial" w:cs="Arial" w:eastAsia="Arial" w:hAnsi="Arial"/>
                <w:sz w:val="14"/>
                <w:szCs w:val="14"/>
                <w:color w:val="auto"/>
                <w:w w:val="92"/>
              </w:rPr>
              <w:t>(in thousands)</w:t>
            </w:r>
          </w:p>
        </w:tc>
      </w:tr>
      <w:tr>
        <w:trPr>
          <w:trHeight w:val="23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948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948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Storage and Terminal</w:t>
            </w:r>
          </w:p>
        </w:tc>
        <w:tc>
          <w:tcPr>
            <w:tcW w:w="34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tests its goodwill for impairment annually in May. While there continues to be uncertainty around the near-term level of spending by some of our customers due to the impacts of the COVID-19 pandemic on our markets and the economy, this uncertainty did not result in any impairment indicators as of September 30, 2020. We will continue to monitor the latest developments and perform interim tests for goodwill impairment as needed.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At September 30,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totaled $0.6 million and $0.9 million during the three months ended September 30, 2020 and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2020 amortizing intangible assets will be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remaining amortization expense at September 30, 2020</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Fourth Amended and Restated Credit Agreement (the "Prior Credit Agreement") that was in place at September 30, 2020, and which is described in Part II, Item 8. Financial Statements and Supplementary Data, Note 5 - Debt, in the Company's Annual Report on Form 10-K for the year ended June 30, 2020.</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are effective for the quarter ended September 30, 2020 and include the following:</w:t>
      </w:r>
    </w:p>
    <w:p>
      <w:pPr>
        <w:spacing w:after="0" w:line="252" w:lineRule="exact"/>
        <w:rPr>
          <w:sz w:val="20"/>
          <w:szCs w:val="20"/>
          <w:color w:val="auto"/>
        </w:rPr>
      </w:pPr>
    </w:p>
    <w:p>
      <w:pPr>
        <w:jc w:val="both"/>
        <w:ind w:left="1300" w:hanging="482"/>
        <w:spacing w:after="0" w:line="311" w:lineRule="auto"/>
        <w:tabs>
          <w:tab w:leader="none" w:pos="1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hanging="482"/>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40" w:hanging="474"/>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borrowings are outstanding at quarter end:</w:t>
      </w:r>
    </w:p>
    <w:p>
      <w:pPr>
        <w:spacing w:after="0" w:line="171" w:lineRule="exact"/>
        <w:rPr>
          <w:rFonts w:ascii="Arial" w:cs="Arial" w:eastAsia="Arial" w:hAnsi="Arial"/>
          <w:sz w:val="18"/>
          <w:szCs w:val="18"/>
          <w:color w:val="auto"/>
        </w:rPr>
      </w:pPr>
    </w:p>
    <w:p>
      <w:pPr>
        <w:jc w:val="both"/>
        <w:ind w:left="2600" w:hanging="486"/>
        <w:spacing w:after="0" w:line="259" w:lineRule="auto"/>
        <w:tabs>
          <w:tab w:leader="none" w:pos="2610" w:val="left"/>
        </w:tabs>
        <w:numPr>
          <w:ilvl w:val="2"/>
          <w:numId w:val="8"/>
        </w:numPr>
        <w:rPr>
          <w:rFonts w:ascii="Arial" w:cs="Arial" w:eastAsia="Arial" w:hAnsi="Arial"/>
          <w:sz w:val="18"/>
          <w:szCs w:val="18"/>
          <w:color w:val="auto"/>
        </w:rPr>
      </w:pPr>
      <w:r>
        <w:rPr>
          <w:rFonts w:ascii="Arial" w:cs="Arial" w:eastAsia="Arial" w:hAnsi="Arial"/>
          <w:sz w:val="18"/>
          <w:szCs w:val="18"/>
          <w:color w:val="auto"/>
        </w:rPr>
        <w:t>for the fiscal quarters ending September 30, 2020 through June 30, 2021, Covenant EBITDA, after deducting capital expenditures, dividends, and share repurchases in excess of $7.5 million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2600" w:hanging="486"/>
        <w:spacing w:after="0" w:line="277" w:lineRule="auto"/>
        <w:tabs>
          <w:tab w:leader="none" w:pos="2610" w:val="left"/>
        </w:tabs>
        <w:numPr>
          <w:ilvl w:val="2"/>
          <w:numId w:val="8"/>
        </w:numPr>
        <w:rPr>
          <w:rFonts w:ascii="Arial" w:cs="Arial" w:eastAsia="Arial" w:hAnsi="Arial"/>
          <w:sz w:val="18"/>
          <w:szCs w:val="18"/>
          <w:color w:val="auto"/>
        </w:rPr>
      </w:pPr>
      <w:r>
        <w:rPr>
          <w:rFonts w:ascii="Arial" w:cs="Arial" w:eastAsia="Arial" w:hAnsi="Arial"/>
          <w:sz w:val="18"/>
          <w:szCs w:val="18"/>
          <w:color w:val="auto"/>
        </w:rPr>
        <w:t>for all fiscal quarters ending on or after September 30, 2021, the FCCR is calculated the same except that all share repurchases for the previous four quarters are deducted from Covenant EBITDA.</w:t>
      </w:r>
    </w:p>
    <w:p>
      <w:pPr>
        <w:spacing w:after="0" w:line="116" w:lineRule="exact"/>
        <w:rPr>
          <w:rFonts w:ascii="Arial" w:cs="Arial" w:eastAsia="Arial" w:hAnsi="Arial"/>
          <w:sz w:val="18"/>
          <w:szCs w:val="18"/>
          <w:color w:val="auto"/>
        </w:rPr>
      </w:pPr>
    </w:p>
    <w:p>
      <w:pPr>
        <w:jc w:val="both"/>
        <w:ind w:left="1300" w:hanging="482"/>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is in compliance with all affirmative, negative, and financial covenants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Availability at September 30, 2020 under the senior secured revolving credit facility established under the Prior Credit Agreement was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w w:val="99"/>
              </w:rPr>
              <w:t>June 30,</w:t>
            </w:r>
          </w:p>
        </w:tc>
      </w:tr>
      <w:tr>
        <w:trPr>
          <w:trHeight w:val="188"/>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0"/>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5"/>
                <w:szCs w:val="15"/>
                <w:color w:val="auto"/>
              </w:rPr>
            </w:pP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162,864</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137,136</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Letters of credit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34,529</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93,399</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under the new $200.0 million senior secured revolving credit facility at September 30, 2020 would have been the same if the Credit Agreement had been in place on such date due to the capacity constraint.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rates for the three months ended September 30, 2020 and September 30, 2019 were (9.8)% and 30.6%, respectively. We expect our effective tax rate to be approximately 27.0% in fiscal 2021. The effective tax rate for the three months ended September 30, 2020 was negatively impacted by a $1.0 million deferred tax asset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deferred $7.4 million of U.S. payroll tax as of September 30, 2020 through provisions of the Coronavirus Aid, Relief, and Economic Security (CARES) Act (the "CARES Act"). The deferred payroll taxes are included within other liabilities in the consolidated balance sheets. The Company must repay half of the deferred payroll tax by December 31, 2021 and the remainder by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$13.9 million at September 30, 2020 and $14.5 million at June 30, 2020.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of fiscal 2020, the Company commenced litigation in an effort to collect $17.8 million in accounts receivable from an iron and steel customer following the deterioration of the relationship in the second quarter of fiscal 2020. Litigation is unpredictable, however, based on the terms of the contract with this customer, the Company is entitled to collect the full amount owed under the contract.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other known legal actions, including a contract dispute with a customer involving the construction of a crude terminal, will have a material impact on the Company’s financial position, results of operations or liquidity.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63"/>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374"/>
              <w:spacing w:after="0"/>
              <w:rPr>
                <w:sz w:val="20"/>
                <w:szCs w:val="20"/>
                <w:color w:val="auto"/>
              </w:rPr>
            </w:pPr>
            <w:r>
              <w:rPr>
                <w:rFonts w:ascii="Arial" w:cs="Arial" w:eastAsia="Arial" w:hAnsi="Arial"/>
                <w:sz w:val="13"/>
                <w:szCs w:val="13"/>
                <w:color w:val="auto"/>
                <w:w w:val="97"/>
              </w:rPr>
              <w:t>(In thousands, except per share data)</w:t>
            </w:r>
          </w:p>
        </w:tc>
      </w:tr>
      <w:tr>
        <w:trPr>
          <w:trHeight w:val="23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8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26,935</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0.22</w:t>
            </w: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are considered antidilutive and have been excluded from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antidilutive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3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r>
      <w:tr>
        <w:trPr>
          <w:trHeight w:val="186"/>
        </w:trPr>
        <w:tc>
          <w:tcPr>
            <w:tcW w:w="138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3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748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color w:val="auto"/>
        </w:rPr>
        <w:t>(In thousands)</w:t>
      </w:r>
    </w:p>
    <w:p>
      <w:pPr>
        <w:spacing w:after="0" w:line="32" w:lineRule="exact"/>
        <w:rPr>
          <w:sz w:val="20"/>
          <w:szCs w:val="20"/>
          <w:color w:val="auto"/>
        </w:rPr>
      </w:pPr>
    </w:p>
    <w:p>
      <w:pPr>
        <w:ind w:left="1080"/>
        <w:spacing w:after="0"/>
        <w:tabs>
          <w:tab w:leader="none" w:pos="24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420" w:hanging="1433"/>
        <w:spacing w:after="0"/>
        <w:tabs>
          <w:tab w:leader="none" w:pos="2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269</w:t>
      </w:r>
    </w:p>
    <w:p>
      <w:pPr>
        <w:spacing w:after="0" w:line="35" w:lineRule="exact"/>
        <w:rPr>
          <w:rFonts w:ascii="Arial" w:cs="Arial" w:eastAsia="Arial" w:hAnsi="Arial"/>
          <w:sz w:val="18"/>
          <w:szCs w:val="18"/>
          <w:color w:val="auto"/>
        </w:rPr>
      </w:pPr>
    </w:p>
    <w:p>
      <w:pPr>
        <w:ind w:left="2420" w:hanging="1433"/>
        <w:spacing w:after="0"/>
        <w:tabs>
          <w:tab w:leader="none" w:pos="2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748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160" w:space="320"/>
            <w:col w:w="27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design, and provides engineering, fabrication, and construction services for LNG utility peak shaving facilities.</w:t>
      </w:r>
    </w:p>
    <w:p>
      <w:pPr>
        <w:spacing w:after="0" w:line="210"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b w:val="1"/>
          <w:bCs w:val="1"/>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1"/>
              <w:spacing w:after="0" w:line="13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47,727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revenue</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inter-segment revenue</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154,877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135,493</w:t>
            </w:r>
          </w:p>
        </w:tc>
        <w:tc>
          <w:tcPr>
            <w:tcW w:w="0" w:type="dxa"/>
            <w:vAlign w:val="bottom"/>
          </w:tcPr>
          <w:p>
            <w:pPr>
              <w:spacing w:after="0"/>
              <w:rPr>
                <w:sz w:val="1"/>
                <w:szCs w:val="1"/>
                <w:color w:val="auto"/>
              </w:rPr>
            </w:pP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consolidated revenue</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338,097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19,742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gross profit</w:t>
            </w:r>
          </w:p>
        </w:tc>
        <w:tc>
          <w:tcPr>
            <w:tcW w:w="3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selling, general and administrative expenses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Restructuring costs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restructuring costs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operating income (loss)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780" w:type="dxa"/>
            <w:vAlign w:val="bottom"/>
            <w:vMerge w:val="restart"/>
          </w:tcPr>
          <w:p>
            <w:pPr>
              <w:jc w:val="right"/>
              <w:ind w:right="261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7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138,734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124,011</w:t>
            </w:r>
          </w:p>
        </w:tc>
      </w:tr>
      <w:tr>
        <w:trPr>
          <w:trHeight w:val="248"/>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half of fiscal 2020, the Company implemented a business improvement plan related to:</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strategic initiative to exit the domestic iron and steel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implementation of business improvements in the power delivery portion of the Utility and Power Infrastructure segment;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reduction of its cost structure following the decline in revenue caused by the COVID-19 pandemic and related market disruption and the decline in the price of crude oil.</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improvement plan consisted of discretionary cost reductions, workforce reductions and closures of certain offices in order to increase the utilization of the Company's staff and bring the cost structure of the business in line with the expected near-term decrease in revenue. The Company incurred $14.0 million of restructuring costs during fiscal 2020 and substantially completed its restructuring activities under the business improvement plan. However, the Company recognized a $0.3 million gain on restructuring activities during the three months ended September 30, 2020 as a result of various trailing restructuring expenses and credits. The restructuring reserve was $0.9 million as of September 30, 2020, which primarily relates to the unpaid portion of severance costs.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2020 Annual Report on Form 10-K filed with the SEC. For more information on our critical accounting policies, see Part II, Item 7 of our fiscal 2020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$13.9 million at September 30, 2020 and $14.5 million at June 30, 2020.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are evaluated for impairment in accordance with our policy for impairment of long-lived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COVID-19 pandemic persists, the Company's top priority has been to maintain a safe working environment for all employees, customers and business partners. We transitioned the majority of our administrative and engineering team members to remote working conditions in March 2020. At this time, we have returned to the office in select locations where predetermined criteria have been met, but the majority of our administrative and engineering team members continue to work remotely. Work at most customer locations continues to progress as our project teams in coordination with our clients created work processes to integrate the guidance from governmental agencies and leading health organizations to protect the health and safety of everyone on our job sites.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continues to be significant uncertainty regarding the near- and intermediate-term economic impacts from the COVID-19 pandemic, which continues to disrupt the markets we serve. In fiscal 2020, the Company implemented a business improvement plan related to:</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its strategic initiative to exit the domestic iron and steel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of business improvements in the power delivery portion of the Utility and Power Infrastructure segment;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reduction of its cost structure following the decline in revenue caused by the COVID-19 pandemic and related market disruption and the decline in the price of crude oil.</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improvement plan consisted of discretionary cost reductions, workforce reductions and closures of certain offices in order to increase the utilization of the Company's staff and bring the cost structure of the business in line with the expected near-term decrease in revenue. The Company incurred $14.0 million of restructuring costs during fiscal 2020 and substantially completed its restructuring activities under the business improvement plan. However, the Company recognized a $0.3 million gain on restructuring activities during the three months ended September 30, 2020 as a result of various trailing restructuring expenses and credits. These actions, along with lower incentive compensation, reduced first quarter of fiscal 2021 SG&amp;A and construction overhead costs by $15.9 million when compared to the same quarter last year. In addition to these actions, we have and will continue to look for opportunities to further reduce costs until we see project awards and revenue volume recover.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design,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112" w:lineRule="exact"/>
        <w:rPr>
          <w:sz w:val="20"/>
          <w:szCs w:val="20"/>
          <w:color w:val="auto"/>
        </w:rPr>
      </w:pPr>
    </w:p>
    <w:p>
      <w:pPr>
        <w:ind w:right="3480"/>
        <w:spacing w:after="0" w:line="440" w:lineRule="auto"/>
        <w:rPr>
          <w:sz w:val="20"/>
          <w:szCs w:val="20"/>
          <w:color w:val="auto"/>
        </w:rPr>
      </w:pPr>
      <w:r>
        <w:rPr>
          <w:rFonts w:ascii="Arial" w:cs="Arial" w:eastAsia="Arial" w:hAnsi="Arial"/>
          <w:sz w:val="18"/>
          <w:szCs w:val="18"/>
          <w:b w:val="1"/>
          <w:bCs w:val="1"/>
          <w:color w:val="auto"/>
        </w:rPr>
        <w:t xml:space="preserve">Three Months Ended September 30, 2020 Compared to the Three Months Ended September 30, 2019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Consolidated revenue was $182.8 million for the three months ended September 30, 2020, compared to $338.1 million in the same period in the prior fiscal year. On a segment basis, revenue decreased for the Process and Industrial Facilities and Storage and Terminal Solutions segments by $108.9 million, and $59.3 million, respectively. These decreases were partially offset by an increase in the Utility and Power Infrastructure segment of $12.9 million.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$14.4 million in the three months ended September 30, 2020 compared to $32.5 million in the same period in the prior fiscal year. Gross margin decreased to 7.9% in the three months ended September 30, 2020 compared to 9.6% in the same period in the prior fiscal year. Despite generally strong project execution, gross margins in fiscal 2021 were lower than fiscal 2020 due to lower than forecasted volumes, which led to higher under recovery of construction overhead costs.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SG&amp;A expenses were $18.1 million in the three months ended September 30, 2020 compared to $23.7 million in the same period a year earlier. The decrease is primarily attributable to cost reductions we implemented under our business improvement and restructuring plan that began in late fiscal 2020 and lower incentive compensation.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$0.4 million in each of the three months ended September 30, 2020 and September 30, 2019. Interest income was less than $0.1 million in the three months ended September 30, 2020 compared to $0.5 million in the same period a year ago primarily due to higher interest rates in the prior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rates for the three months ended September 30, 2020 and September 30, 2019 were (9.8)% and 30.6%, respectively. We expect our effective tax rate to be approximately 27.0% in fiscal 2021. The effective tax rate for the three months ended September 30, 2020 was negatively impacted by a $1.0 million deferred tax asset adjustment.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2020, we had a net loss of $3.0 million, or $0.12 per fully diluted share, compared to net income of $6.2 million, or $0.22 per fully diluted share, in the three months ended September 30, 2019.</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for the Utility and Power Infrastructure segment was $60.7 million in the three months ended September 30, 2020 compared to $47.7 million in the same period a year earlier. The increase is due to a higher volume of LNG utility peak shaving work, partially offset by lower volumes of power delivery and power generation work. The segment gross margin was 11.4% in fiscal 2021 compared to (0.4)% in fiscal 2020. The fiscal 2021 segment gross margin was positively impacted by strong project execution on LNG utility peak shaving capital projects and power delivery work. The fiscal 2020 segment gross margin was negatively impacted by lower than previously expected margins on a transmission and distribution upgrade project due to lower than expected productivity and craft retention incentives, and an LNG utility peak shaving capital project due to purchased equipment that was found to be under performing.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2020, the Company announced a business improvement plan for the former Electrical Infrastructure segment, which is now included in the Utility and Power Infrastructure segment. The plan included significant changes to the operations and management of the business, including changes to leadership and mid-level operational personnel, modifications to operational processes, and increased business development resources. During the second half of fiscal 2020, we implemented the planned personnel changes, added business development resources and strengthened business processes, which has led to improved project execution, which has continued through the first quarter of fiscal 2021. Continued improvement in the operating performance of this segment will be dependent upon the effectiveness and execution of the improvement plan, the markets we serve, the spending volumes of our existing clients and other external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Process and Industrial Facilities segment was $45.9 million in the three months ended September 30, 2020 compared to $154.9 million in the same period a year earlier. The decrease is primarily due to our strategic exit from the domestic iron and steel industry in the third quarter of fiscal 2020, lower volumes of turnaround, refinery maintenance, and midstream gas processing work. The segment gross margin was 8.0% for the three months ended September 30, 2020 compared to 8.8% in the same period last year. Project execution in fiscal 2021 has been strong, but gross margin was negatively impacted by lower volumes, which led to the under recovery of construction overhead costs. Fiscal 2020 was positively impacted by strong project execution on capital and repair and maintenance iron and steel work.</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short-term impact to the Company's refinery turnaround and maintenance operations as a result of the global pandemic continues to be significant. Although there have been project delays and suspensions of planned seasonal work, in most cases the revenue volumes are moving out in time, but not eliminated. The updated start dates on many of the delayed activities are uncertain and will depend on the needs of our clients, safety guidelines, and the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for the Storage and Terminal Solutions segment was $76.2 million in the three months ended September 30, 2020 compared to $135.5 million in the same period a year earlier. The decrease in segment revenue is primarily a result of lower volumes of tank and crude oil terminal capital work and repair and maintenance work. The segment gross margin was 5.0% in the three months ended September 30, 2020 compared to 14.6% in the three months ended September 30, 2019. The fiscal 2021 segment gross margin was negatively impacted by lower volumes, which led to the under recovery of construction overhead costs, and a lower than previously forecasted margin on a crude oil storage terminal capital project that is nearing completion. The fiscal 2020 segment gross margin was positively impacted by strong project execution on large capital projects and higher volumes than fiscal 2021, which led to better recovery of construction overhead costs.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COVID-19 pandemic, global energy demand, and regulatory issues, we continue to experience slower project award activity that began in the third quarter of fiscal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Unallocated corporate expenses included in operating income were $6.9 million during the three months ended September 30, 2020 compared to $7.8 million in the same period last year. The decrease is primarily attributable to lower incentive compensation and cost reductions we implemented under our business improvement plan in late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758,465</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102,733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(182,771)</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September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233,463</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678,427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impact of the COVID-19 pandemic and the resulting reduction in the price of crude oil, our customers continue to be cautious with their spending levels. Therefore, we have seen deferrals in award dates across the business and lengthening award cycles, especially in the Storage and Terminal Solutions segment. In the Process and Industrial Facilities segment, we continue to see delays in the timing of turnarounds. The updated start dates on many of the delayed activities is uncertain and will depend on the needs of our clients, safety guidelines, and the market.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volumes usually leads to over or under recovery of fixed overhead costs, which can have a material impact on our gross margin and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income (loss) before restructuring costs,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27" w:lineRule="exact"/>
        <w:rPr>
          <w:sz w:val="20"/>
          <w:szCs w:val="20"/>
          <w:color w:val="auto"/>
        </w:rPr>
      </w:pPr>
    </w:p>
    <w:p>
      <w:pPr>
        <w:ind w:left="980" w:right="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by the company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(loss) follows: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35"/>
              <w:spacing w:after="0" w:line="141"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83"/>
        </w:trPr>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6,151</w:t>
            </w: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2,711</w:t>
            </w:r>
          </w:p>
        </w:tc>
      </w:tr>
      <w:tr>
        <w:trPr>
          <w:trHeight w:val="230"/>
        </w:trPr>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-925195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-624840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-334010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760"/>
          </w:cols>
          <w:pgMar w:left="320" w:top="3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as of September 30, 2020 were cash and cash equivalents on hand, capacity under our senior secured revolving credit facility and cash and cash equivalents generated from operations before consideration of changes in working capital. Cash and cash equivalents on hand at September 30, 2020 totaled $82.2 million and availability under the senior secured revolving credit facility totaled $51.7 million resulting in available liquidity of $133.9 million as of September 30, 2020.</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continues to be significant uncertainty regarding the near- and intermediate-term business impacts from the COVID-19 pandemic. However, the Company continues to maintain a strong balance sheet and liquidity, which it expects to be sufficient to support its near- to intermediate-term needs. The Company continues to take the following actions:</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cost structure of the business based on the expected near-term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eliminating all non-critical capital expenditures;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little or no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September 30,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Liquidity as of June 30, 2020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193,435</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Net cash reduction due to changes in working capital</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(18,375)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increase due to other activity</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Change in credit facility capacity constraint</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(41,271)</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letters of credit outstanding</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of outstanding borrowings</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as of September 30, 2020</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detailed discussion of our credit agreement in effect at September 30, 2020 and as recently amended is provided under the caption "Senior Secured Revolving Credit Facility"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32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3" w:lineRule="exact"/>
        <w:rPr>
          <w:rFonts w:ascii="Arial" w:cs="Arial" w:eastAsia="Arial" w:hAnsi="Arial"/>
          <w:sz w:val="17"/>
          <w:szCs w:val="17"/>
          <w:color w:val="auto"/>
        </w:rPr>
      </w:pPr>
    </w:p>
    <w:p>
      <w:pPr>
        <w:ind w:left="1620" w:right="78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620" w:right="14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620" w:right="12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97" w:lineRule="exact"/>
        <w:rPr>
          <w:rFonts w:ascii="Arial" w:cs="Arial" w:eastAsia="Arial" w:hAnsi="Arial"/>
          <w:sz w:val="18"/>
          <w:szCs w:val="18"/>
          <w:color w:val="auto"/>
        </w:rPr>
      </w:pPr>
    </w:p>
    <w:p>
      <w:pPr>
        <w:ind w:left="1620" w:right="24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used by operating activities for the three months ended September 30, 2020 totaled $15.0 million. The various components are as follows: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Net Cash Used by Operating Activities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00"/>
          </w:cols>
          <w:pgMar w:left="320" w:top="368" w:right="379" w:bottom="1440" w:gutter="0" w:footer="0" w:header="0"/>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effect of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by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Cash effect of changes in operating assets and liabilities at September 30, 2020 in comparison to June 30, 2020 include the following: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760" w:hanging="759"/>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(3,037)</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6,002</w:t>
      </w:r>
    </w:p>
    <w:p>
      <w:pPr>
        <w:spacing w:after="0" w:line="2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289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(18,375)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840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660" w:hanging="659"/>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8401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55245</wp:posOffset>
            </wp:positionV>
            <wp:extent cx="840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9640" w:space="280"/>
            <w:col w:w="1280"/>
          </w:cols>
          <w:pgMar w:left="320" w:top="368" w:right="379" w:bottom="1440" w:gutter="0" w:footer="0" w:header="0"/>
          <w:type w:val="continuous"/>
        </w:sectPr>
      </w:pPr>
    </w:p>
    <w:p>
      <w:pPr>
        <w:spacing w:after="0" w:line="75" w:lineRule="exact"/>
        <w:rPr>
          <w:sz w:val="20"/>
          <w:szCs w:val="20"/>
          <w:color w:val="auto"/>
        </w:rPr>
      </w:pPr>
    </w:p>
    <w:p>
      <w:pPr>
        <w:ind w:left="980" w:right="100" w:hanging="324"/>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Accounts receivable, net of credit losses recognized during the period, increased $10.8 million during the three months ended September 30, 2020, which decreased cash flows from operating activities. The variance is primarily attributable to the timing of billing and collections.</w:t>
      </w:r>
    </w:p>
    <w:p>
      <w:pPr>
        <w:spacing w:after="0" w:line="150" w:lineRule="exact"/>
        <w:rPr>
          <w:rFonts w:ascii="Arial" w:cs="Arial" w:eastAsia="Arial" w:hAnsi="Arial"/>
          <w:sz w:val="16"/>
          <w:szCs w:val="16"/>
          <w:color w:val="auto"/>
        </w:rPr>
      </w:pPr>
    </w:p>
    <w:p>
      <w:pPr>
        <w:ind w:left="980" w:right="20" w:hanging="324"/>
        <w:spacing w:after="0" w:line="259"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$1.9 million, which increased cash flows from operating activities. Billings on uncompleted contracts in excess of costs and estimated earnings ("BIE") decreased $0.4 million, which decreased cash flows from operating activities. CIE and BIE balances can experience significant fluctuations based on the timing of when job costs are incurred and the invoicing of those job costs to the customer.</w:t>
      </w:r>
    </w:p>
    <w:p>
      <w:pPr>
        <w:spacing w:after="0" w:line="213" w:lineRule="exact"/>
        <w:rPr>
          <w:rFonts w:ascii="Arial" w:cs="Arial" w:eastAsia="Arial" w:hAnsi="Arial"/>
          <w:sz w:val="18"/>
          <w:szCs w:val="18"/>
          <w:color w:val="auto"/>
        </w:rPr>
      </w:pPr>
    </w:p>
    <w:p>
      <w:pPr>
        <w:ind w:left="980" w:right="620" w:hanging="324"/>
        <w:spacing w:after="0" w:line="342"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Inventories, income taxes receivable, other current assets, operating right-of-use assets and other assets increased $5.9 million, which decreased cash flows from operating activities. The increase was primarily related to annual prepayments of insurance.</w:t>
      </w:r>
    </w:p>
    <w:p>
      <w:pPr>
        <w:spacing w:after="0" w:line="150" w:lineRule="exact"/>
        <w:rPr>
          <w:rFonts w:ascii="Arial" w:cs="Arial" w:eastAsia="Arial" w:hAnsi="Arial"/>
          <w:sz w:val="16"/>
          <w:szCs w:val="16"/>
          <w:color w:val="auto"/>
        </w:rPr>
      </w:pPr>
    </w:p>
    <w:p>
      <w:pPr>
        <w:jc w:val="both"/>
        <w:ind w:left="980" w:right="160" w:hanging="324"/>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payable, accrued wages and benefits, accrued insurance, operating lease liabilities, and other accrued expenses decreased by $6.5 million during the three months ended September 30, 2020, which decreased cash flows from operating activities. The variance is primarily attributable to lower business volumes and the timing of vendor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right="180" w:hanging="324"/>
        <w:spacing w:after="0" w:line="308"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liabilities increased by $3.5 million, which increased cash flows from operating activities. This increase was primarily due to deferred payroll tax associated with the CARES Act. See Item 1. Financial Information, Note 6 - Income Taxes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activities used $1.7 million of cash in the three months ended September 30, 2020 primarily due to $2.8 million of capital expenditures, offset by $1.1 million of proceeds from other asset sales. Capital expenditures consisted of: $0.9 million for transportation equipment, $0.9 million for software and office equipment, $0.6 million for construction and fabrication equipment, and $0.4 million for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Financing activities used $1.5 million of cash in the three months ended September 30, 2020 primarily due to the repurchase of $1.5 million of Company stock for payment of withholding taxes due on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Fourth Amended and Restated Credit Agreement (the "Prior Credit Agreement") that was in place at September 30, 2020, and which is described in Part II, Item 8. Financial Statements and Supplementary Data, Note 5 - Debt, in the Company's Annual Report on Form 10-K for the year ended June 30, 2020.</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 The credit facility also includes a $200.0 million sublimit for total letters of credit.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are effective for the quarter ended September 30, 2020 and include the following:</w:t>
      </w:r>
    </w:p>
    <w:p>
      <w:pPr>
        <w:spacing w:after="0" w:line="252" w:lineRule="exact"/>
        <w:rPr>
          <w:sz w:val="20"/>
          <w:szCs w:val="20"/>
          <w:color w:val="auto"/>
        </w:rPr>
      </w:pPr>
    </w:p>
    <w:p>
      <w:pPr>
        <w:jc w:val="both"/>
        <w:ind w:left="1300" w:hanging="482"/>
        <w:spacing w:after="0" w:line="311" w:lineRule="auto"/>
        <w:tabs>
          <w:tab w:leader="none" w:pos="12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300" w:hanging="482"/>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40" w:hanging="474"/>
        <w:spacing w:after="0"/>
        <w:tabs>
          <w:tab w:leader="none" w:pos="19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borrowings are outstanding at quarter end:</w:t>
      </w:r>
    </w:p>
    <w:p>
      <w:pPr>
        <w:spacing w:after="0" w:line="171" w:lineRule="exact"/>
        <w:rPr>
          <w:rFonts w:ascii="Arial" w:cs="Arial" w:eastAsia="Arial" w:hAnsi="Arial"/>
          <w:sz w:val="18"/>
          <w:szCs w:val="18"/>
          <w:color w:val="auto"/>
        </w:rPr>
      </w:pPr>
    </w:p>
    <w:p>
      <w:pPr>
        <w:jc w:val="both"/>
        <w:ind w:left="2600" w:hanging="486"/>
        <w:spacing w:after="0" w:line="259" w:lineRule="auto"/>
        <w:tabs>
          <w:tab w:leader="none" w:pos="2610"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 the fiscal quarters ending September 30, 2020 through June 30, 2021, Covenant EBITDA, after deducting capital expenditures, dividends, and share repurchases in excess of $7.5 million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2600" w:hanging="486"/>
        <w:spacing w:after="0" w:line="277" w:lineRule="auto"/>
        <w:tabs>
          <w:tab w:leader="none" w:pos="2610"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 all fiscal quarters ending on or after September 30, 2021, the FCCR is calculated the same except that all share repurchases for the previous four quarters are deducted from Covenant EBITDA.</w:t>
      </w:r>
    </w:p>
    <w:p>
      <w:pPr>
        <w:spacing w:after="0" w:line="116" w:lineRule="exact"/>
        <w:rPr>
          <w:rFonts w:ascii="Arial" w:cs="Arial" w:eastAsia="Arial" w:hAnsi="Arial"/>
          <w:sz w:val="18"/>
          <w:szCs w:val="18"/>
          <w:color w:val="auto"/>
        </w:rPr>
      </w:pPr>
    </w:p>
    <w:p>
      <w:pPr>
        <w:jc w:val="both"/>
        <w:ind w:left="1300" w:hanging="482"/>
        <w:spacing w:after="0" w:line="26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is in compliance with all affirmative, negative, and financial covenants under the Credit Agreement.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Covenant EBITDA differs from Adjusted EBITDA, as reported under "Results of Operations - Non-GAAP Financial Measure,"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September 30, 2020 was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1"/>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5"/>
                <w:szCs w:val="15"/>
                <w:color w:val="auto"/>
              </w:rPr>
            </w:pPr>
          </w:p>
        </w:tc>
      </w:tr>
      <w:tr>
        <w:trPr>
          <w:trHeight w:val="23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162,864</w:t>
            </w:r>
          </w:p>
        </w:tc>
      </w:tr>
      <w:tr>
        <w:trPr>
          <w:trHeight w:val="223"/>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137,136</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Letters of credit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34,529</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93,399</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under the new $200.0 million senior secured revolving credit facility at September 30, 2020 would have been the same if the Credit Agreement had been in place on such date due to the capacity constraint.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6, 2018, the Board of Directors approved a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In addition, the FCCR covenant in our Credit Agreement may limit our ability to repurchase shares. The specific limitations are described in the Senior Secured Revolving Credit Facility section above.</w:t>
      </w:r>
    </w:p>
    <w:p>
      <w:pPr>
        <w:spacing w:after="0" w:line="1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There were 1,349,037 shares available for repurchase under the November 2018 Program as of September 30, 2020.</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1,428,021 treasury shares as of September 30, 2020 and intends to utilize these treasury shares in connection with equity awards under the Company’s stock incentive plans and for sales to the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980" w:right="66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2020 and listed from time to time in our filings with the Securities and Exchange Commission;</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COVID-19 pandemic) and in the oil, natural gas, power, agricultural and mining industries in particular;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COVID-19 concerns, permitting issues or other factors;</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to which our customers' businesses are affected;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2020, filed with the Securities and Exchange Commission. For more information on market risk, see Part II, Item 7A in our fiscal 2020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most of the Company's office staff transitioned to remote working environments in March 2020 and remains in that environment through the date of this filing. The Company has assessed the impact of this working arrangement on its internal controls over financial reporting and has determined that, while the manner in which some controls are being performed has changed to accommodate remote work, none of the control activities have changed in substance and the controls are operating effectively.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2020. Based on the foregoing, our Chief Executive Officer and Chief Financial Officer concluded that our disclosure controls and procedures were effective at the reasonable assurance level at September 30,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the Company of its common stock during the first quarter of fiscal year 2021.</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1"/>
                <w:szCs w:val="11"/>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1"/>
                <w:szCs w:val="11"/>
                <w:color w:val="auto"/>
              </w:rPr>
            </w:pPr>
          </w:p>
        </w:tc>
        <w:tc>
          <w:tcPr>
            <w:tcW w:w="14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2020</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2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2020</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tcPr>
          <w:p>
            <w:pPr>
              <w:ind w:left="320"/>
              <w:spacing w:after="0"/>
              <w:rPr>
                <w:sz w:val="20"/>
                <w:szCs w:val="20"/>
                <w:color w:val="auto"/>
              </w:rPr>
            </w:pPr>
            <w:r>
              <w:rPr>
                <w:rFonts w:ascii="Arial" w:cs="Arial" w:eastAsia="Arial" w:hAnsi="Arial"/>
                <w:sz w:val="18"/>
                <w:szCs w:val="18"/>
                <w:color w:val="auto"/>
              </w:rPr>
              <w:t>Employee Transactions (B)</w:t>
            </w:r>
          </w:p>
        </w:tc>
        <w:tc>
          <w:tcPr>
            <w:tcW w:w="1520" w:type="dxa"/>
            <w:vAlign w:val="bottom"/>
          </w:tcPr>
          <w:p>
            <w:pPr>
              <w:jc w:val="right"/>
              <w:spacing w:after="0"/>
              <w:rPr>
                <w:sz w:val="20"/>
                <w:szCs w:val="20"/>
                <w:color w:val="auto"/>
              </w:rPr>
            </w:pPr>
            <w:r>
              <w:rPr>
                <w:rFonts w:ascii="Arial" w:cs="Arial" w:eastAsia="Arial" w:hAnsi="Arial"/>
                <w:sz w:val="18"/>
                <w:szCs w:val="18"/>
                <w:color w:val="auto"/>
              </w:rPr>
              <w:t>168,765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2020</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2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80" w:hanging="329"/>
        <w:spacing w:after="0" w:line="268" w:lineRule="auto"/>
        <w:tabs>
          <w:tab w:leader="none" w:pos="5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described under the caption “Stock Repurchase Program and Treasury Shares” in the Liquidity and Capital Resources section of Part I, Item 2 of this Form 10-Q, on November 6, 2018, the Board of Directors approved a stock buyback program (the “November 2018 Program”), which replaced the December 2016 Program.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In addition, the Company may have to limit share repurchases at times if the repurchases put it at risk of violating the FCCR covenant in the Credit Agreement. Management's Discussion and Analysis of Financial Condition and Results of Operations</w:t>
      </w:r>
      <w:r>
        <w:rPr>
          <w:rFonts w:ascii="Arial" w:cs="Arial" w:eastAsia="Arial" w:hAnsi="Arial"/>
          <w:sz w:val="17"/>
          <w:szCs w:val="17"/>
          <w:b w:val="1"/>
          <w:bCs w:val="1"/>
          <w:color w:val="auto"/>
        </w:rPr>
        <w:t>–</w:t>
      </w:r>
      <w:r>
        <w:rPr>
          <w:rFonts w:ascii="Arial" w:cs="Arial" w:eastAsia="Arial" w:hAnsi="Arial"/>
          <w:sz w:val="17"/>
          <w:szCs w:val="17"/>
          <w:color w:val="auto"/>
        </w:rPr>
        <w:t>Liquidity and Capital Resources.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the Company entered into the Fifth Amended and Restated Credit Agreement (the "New Credit Agreement"), by and among the Company and certain foreign subsidiaries, as Borrowers, various subsidiaries of the Company, as Guarantors, JPMorgan Chase Bank, N.A., as Administrative Agent, Lead Arranger and Sole Bookrunner, and the other Lenders party thereto, which replaced the Fourth Amended and Restated Credit Agreement dated as of February 8, 2017, as previously amended. Key provisions of the New Credit Agreement are discussed in Note 5 of Item 1 of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0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w:t>
            </w:r>
          </w:p>
        </w:tc>
        <w:tc>
          <w:tcPr>
            <w:tcW w:w="85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Fifth Amended and Restated Credit Agreement dated as of November 2, 2020 among the Company and certain various</w:t>
              </w:r>
            </w:hyperlink>
          </w:p>
        </w:tc>
        <w:tc>
          <w:tcPr>
            <w:tcW w:w="560" w:type="dxa"/>
            <w:vAlign w:val="bottom"/>
            <w:gridSpan w:val="4"/>
          </w:tcPr>
          <w:p>
            <w:pPr>
              <w:spacing w:after="0"/>
              <w:rPr>
                <w:sz w:val="18"/>
                <w:szCs w:val="18"/>
                <w:color w:val="auto"/>
              </w:rPr>
            </w:pPr>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140" w:type="dxa"/>
            <w:vAlign w:val="bottom"/>
            <w:gridSpan w:val="9"/>
          </w:tcPr>
          <w:p>
            <w:pPr>
              <w:spacing w:after="0" w:line="156" w:lineRule="exact"/>
              <w:rPr>
                <w:rFonts w:ascii="Arial" w:cs="Arial" w:eastAsia="Arial" w:hAnsi="Arial"/>
                <w:sz w:val="18"/>
                <w:szCs w:val="18"/>
                <w:color w:val="0000FF"/>
                <w:w w:val="94"/>
              </w:rPr>
            </w:pPr>
            <w:hyperlink w:anchor="page41">
              <w:r>
                <w:rPr>
                  <w:rFonts w:ascii="Arial" w:cs="Arial" w:eastAsia="Arial" w:hAnsi="Arial"/>
                  <w:sz w:val="18"/>
                  <w:szCs w:val="18"/>
                  <w:color w:val="0000FF"/>
                  <w:w w:val="94"/>
                </w:rPr>
                <w:t>foreign subsidiaries, as Borrowers, various subsidiaries of the Company, as Guarantors, JPMorgan Chase Bank, N.A., as</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Administrative Agent, Lead Arranger and Sole Bookrunner, and the other lenders party thereto.</w:t>
              </w:r>
            </w:hyperlink>
          </w:p>
        </w:tc>
        <w:tc>
          <w:tcPr>
            <w:tcW w:w="180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10.2:</w:t>
            </w:r>
          </w:p>
        </w:tc>
        <w:tc>
          <w:tcPr>
            <w:tcW w:w="9140" w:type="dxa"/>
            <w:vAlign w:val="bottom"/>
            <w:gridSpan w:val="9"/>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Form of Restricted Stock Unit Award Agreement for Employees (2018 Stock and Incentive Compensation Plan) (filed as</w:t>
              </w:r>
            </w:hyperlink>
          </w:p>
        </w:tc>
      </w:tr>
      <w:tr>
        <w:trPr>
          <w:trHeight w:val="224"/>
        </w:trPr>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20" w:type="dxa"/>
            <w:vAlign w:val="bottom"/>
            <w:tcBorders>
              <w:top w:val="single" w:sz="8" w:color="0000FF"/>
            </w:tcBorders>
            <w:gridSpan w:val="7"/>
          </w:tcPr>
          <w:p>
            <w:pPr>
              <w:spacing w:after="0"/>
              <w:rPr>
                <w:rFonts w:ascii="Arial" w:cs="Arial" w:eastAsia="Arial" w:hAnsi="Arial"/>
                <w:sz w:val="18"/>
                <w:szCs w:val="18"/>
                <w:u w:val="single" w:color="auto"/>
                <w:color w:val="0000FF"/>
                <w:w w:val="94"/>
              </w:rPr>
            </w:pPr>
            <w:hyperlink r:id="rId71">
              <w:r>
                <w:rPr>
                  <w:rFonts w:ascii="Arial" w:cs="Arial" w:eastAsia="Arial" w:hAnsi="Arial"/>
                  <w:sz w:val="18"/>
                  <w:szCs w:val="18"/>
                  <w:u w:val="single" w:color="auto"/>
                  <w:color w:val="0000FF"/>
                  <w:w w:val="94"/>
                </w:rPr>
                <w:t>Exhibit 10.14 to our Annual Report on Form 10-K filed on September 3, 2020 and incorporated by reference herein).</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5"/>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10.3:</w:t>
            </w:r>
          </w:p>
        </w:tc>
        <w:tc>
          <w:tcPr>
            <w:tcW w:w="9140" w:type="dxa"/>
            <w:vAlign w:val="bottom"/>
            <w:gridSpan w:val="9"/>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Form of Long-Term Incentive Award Agreement (2018 Stock and Incentive Compensation Plan) (filed as Exhibit 10.15 to</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our Annual Report on Form 10-K filed on September 3, 2020 and incorporated by reference herein).</w:t>
              </w:r>
            </w:hyperlink>
          </w:p>
        </w:tc>
        <w:tc>
          <w:tcPr>
            <w:tcW w:w="320" w:type="dxa"/>
            <w:vAlign w:val="bottom"/>
          </w:tcPr>
          <w:p>
            <w:pPr>
              <w:spacing w:after="0"/>
              <w:rPr>
                <w:sz w:val="13"/>
                <w:szCs w:val="13"/>
                <w:color w:val="auto"/>
              </w:rPr>
            </w:pPr>
          </w:p>
        </w:tc>
      </w:tr>
      <w:tr>
        <w:trPr>
          <w:trHeight w:val="30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31.1:</w:t>
            </w:r>
          </w:p>
        </w:tc>
        <w:tc>
          <w:tcPr>
            <w:tcW w:w="722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Certification Pursuant to Section 302 of Sarbanes-Oxley Act of 2002 – CEO.</w:t>
              </w:r>
            </w:hyperlink>
          </w:p>
        </w:tc>
        <w:tc>
          <w:tcPr>
            <w:tcW w:w="1920" w:type="dxa"/>
            <w:vAlign w:val="bottom"/>
            <w:gridSpan w:val="5"/>
          </w:tcPr>
          <w:p>
            <w:pPr>
              <w:spacing w:after="0"/>
              <w:rPr>
                <w:sz w:val="24"/>
                <w:szCs w:val="24"/>
                <w:color w:val="auto"/>
              </w:rPr>
            </w:pP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31.2:</w:t>
            </w:r>
          </w:p>
        </w:tc>
        <w:tc>
          <w:tcPr>
            <w:tcW w:w="9140" w:type="dxa"/>
            <w:vAlign w:val="bottom"/>
            <w:gridSpan w:val="9"/>
          </w:tcPr>
          <w:p>
            <w:pPr>
              <w:spacing w:after="0"/>
              <w:rPr>
                <w:rFonts w:ascii="Arial" w:cs="Arial" w:eastAsia="Arial" w:hAnsi="Arial"/>
                <w:sz w:val="18"/>
                <w:szCs w:val="18"/>
                <w:color w:val="0000FF"/>
              </w:rPr>
            </w:pPr>
            <w:hyperlink w:anchor="page199">
              <w:r>
                <w:rPr>
                  <w:rFonts w:ascii="Arial" w:cs="Arial" w:eastAsia="Arial" w:hAnsi="Arial"/>
                  <w:sz w:val="18"/>
                  <w:szCs w:val="18"/>
                  <w:u w:val="single" w:color="auto"/>
                  <w:color w:val="0000FF"/>
                </w:rPr>
                <w:t>Certification Pursuant to Section 302 of Sarbanes-Oxley Act of 2002 – CFO</w:t>
              </w:r>
              <w:r>
                <w:rPr>
                  <w:rFonts w:ascii="Arial" w:cs="Arial" w:eastAsia="Arial" w:hAnsi="Arial"/>
                  <w:sz w:val="18"/>
                  <w:szCs w:val="18"/>
                  <w:color w:val="0000FF"/>
                </w:rPr>
                <w:t>.</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32.1:</w:t>
            </w:r>
          </w:p>
        </w:tc>
        <w:tc>
          <w:tcPr>
            <w:tcW w:w="9140" w:type="dxa"/>
            <w:vAlign w:val="bottom"/>
            <w:gridSpan w:val="9"/>
          </w:tcPr>
          <w:p>
            <w:pPr>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Certification Pursuant to 18 U.S.C. 1350 (section 906 of Sarbanes-Oxley Act of 2002) – CEO.</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32.2:</w:t>
            </w:r>
          </w:p>
        </w:tc>
        <w:tc>
          <w:tcPr>
            <w:tcW w:w="9140" w:type="dxa"/>
            <w:vAlign w:val="bottom"/>
            <w:gridSpan w:val="9"/>
          </w:tcPr>
          <w:p>
            <w:pPr>
              <w:spacing w:after="0"/>
              <w:rPr>
                <w:rFonts w:ascii="Arial" w:cs="Arial" w:eastAsia="Arial" w:hAnsi="Arial"/>
                <w:sz w:val="18"/>
                <w:szCs w:val="18"/>
                <w:u w:val="single" w:color="auto"/>
                <w:color w:val="0000FF"/>
              </w:rPr>
            </w:pPr>
            <w:hyperlink w:anchor="page201">
              <w:r>
                <w:rPr>
                  <w:rFonts w:ascii="Arial" w:cs="Arial" w:eastAsia="Arial" w:hAnsi="Arial"/>
                  <w:sz w:val="18"/>
                  <w:szCs w:val="18"/>
                  <w:u w:val="single" w:color="auto"/>
                  <w:color w:val="0000FF"/>
                </w:rPr>
                <w:t>Certification Pursuant to 18 U.S.C. 1350 (section 906 of Sarbanes-Oxley Act of 2002) – CFO.</w:t>
              </w:r>
            </w:hyperlink>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95:</w:t>
            </w:r>
          </w:p>
        </w:tc>
        <w:tc>
          <w:tcPr>
            <w:tcW w:w="9140" w:type="dxa"/>
            <w:vAlign w:val="bottom"/>
            <w:gridSpan w:val="9"/>
          </w:tcPr>
          <w:p>
            <w:pPr>
              <w:spacing w:after="0"/>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Mine Safety Disclosure.</w:t>
              </w:r>
            </w:hyperlink>
          </w:p>
        </w:tc>
      </w:tr>
      <w:tr>
        <w:trPr>
          <w:trHeight w:val="22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9140" w:type="dxa"/>
            <w:vAlign w:val="bottom"/>
            <w:gridSpan w:val="9"/>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9140" w:type="dxa"/>
            <w:vAlign w:val="bottom"/>
            <w:gridSpan w:val="9"/>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91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9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914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9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104</w:t>
            </w:r>
          </w:p>
        </w:tc>
        <w:tc>
          <w:tcPr>
            <w:tcW w:w="91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91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tcPr>
          <w:p>
            <w:pPr>
              <w:ind w:left="338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35"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6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487045</wp:posOffset>
            </wp:positionV>
            <wp:extent cx="6986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513080</wp:posOffset>
            </wp:positionV>
            <wp:extent cx="6986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FIFTH AMENDED AND RESTATED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CREDIT AGREEMENT</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November 2, 2020</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among</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MATRIX SERVICE COMPANY,</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The Other Borrowers Party Hereto,</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The Lenders Party Hereto,</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Administrative Agent</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WELLS FARGO 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BANK OF MONTREAL,</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BANK OF AMERICA, N.A.,</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Co-Syndication Agents</w:t>
      </w: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BOKF d/b/a BANK OF OKLAHOMA,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Co-Documentation Agent</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 *</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6986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377825</wp:posOffset>
            </wp:positionV>
            <wp:extent cx="6986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41" w:name="page42"/>
    <w:bookmarkEnd w:id="4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480" w:type="dxa"/>
            <w:vAlign w:val="bottom"/>
          </w:tcPr>
          <w:p>
            <w:pPr>
              <w:ind w:left="4440"/>
              <w:spacing w:after="0"/>
              <w:rPr>
                <w:sz w:val="20"/>
                <w:szCs w:val="20"/>
                <w:color w:val="auto"/>
              </w:rPr>
            </w:pPr>
            <w:r>
              <w:rPr>
                <w:rFonts w:ascii="Arial" w:cs="Arial" w:eastAsia="Arial" w:hAnsi="Arial"/>
                <w:sz w:val="22"/>
                <w:szCs w:val="22"/>
                <w:b w:val="1"/>
                <w:bCs w:val="1"/>
                <w:color w:val="auto"/>
              </w:rPr>
              <w:t>TABLE OF CONTENTS</w:t>
            </w:r>
          </w:p>
        </w:tc>
        <w:tc>
          <w:tcPr>
            <w:tcW w:w="1940" w:type="dxa"/>
            <w:vAlign w:val="bottom"/>
          </w:tcPr>
          <w:p>
            <w:pPr>
              <w:spacing w:after="0"/>
              <w:rPr>
                <w:sz w:val="24"/>
                <w:szCs w:val="24"/>
                <w:color w:val="auto"/>
              </w:rPr>
            </w:pPr>
          </w:p>
        </w:tc>
      </w:tr>
      <w:tr>
        <w:trPr>
          <w:trHeight w:val="743"/>
        </w:trPr>
        <w:tc>
          <w:tcPr>
            <w:tcW w:w="8480" w:type="dxa"/>
            <w:vAlign w:val="bottom"/>
          </w:tcPr>
          <w:p>
            <w:pPr>
              <w:spacing w:after="0"/>
              <w:rPr>
                <w:sz w:val="20"/>
                <w:szCs w:val="20"/>
                <w:color w:val="auto"/>
              </w:rPr>
            </w:pPr>
            <w:r>
              <w:rPr>
                <w:rFonts w:ascii="Arial" w:cs="Arial" w:eastAsia="Arial" w:hAnsi="Arial"/>
                <w:sz w:val="22"/>
                <w:szCs w:val="22"/>
                <w:color w:val="auto"/>
              </w:rPr>
              <w:t>Article I Definitions</w:t>
            </w:r>
          </w:p>
        </w:tc>
        <w:tc>
          <w:tcPr>
            <w:tcW w:w="1940" w:type="dxa"/>
            <w:vAlign w:val="bottom"/>
          </w:tcPr>
          <w:p>
            <w:pPr>
              <w:ind w:left="1740"/>
              <w:spacing w:after="0"/>
              <w:rPr>
                <w:sz w:val="20"/>
                <w:szCs w:val="20"/>
                <w:color w:val="auto"/>
              </w:rPr>
            </w:pPr>
            <w:r>
              <w:rPr>
                <w:rFonts w:ascii="Arial" w:cs="Arial" w:eastAsia="Arial" w:hAnsi="Arial"/>
                <w:sz w:val="22"/>
                <w:szCs w:val="22"/>
                <w:color w:val="auto"/>
              </w:rPr>
              <w:t>1</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1.01 Defined Terms</w:t>
            </w:r>
          </w:p>
        </w:tc>
        <w:tc>
          <w:tcPr>
            <w:tcW w:w="1940" w:type="dxa"/>
            <w:vAlign w:val="bottom"/>
          </w:tcPr>
          <w:p>
            <w:pPr>
              <w:ind w:left="1740"/>
              <w:spacing w:after="0"/>
              <w:rPr>
                <w:sz w:val="20"/>
                <w:szCs w:val="20"/>
                <w:color w:val="auto"/>
              </w:rPr>
            </w:pPr>
            <w:r>
              <w:rPr>
                <w:rFonts w:ascii="Arial" w:cs="Arial" w:eastAsia="Arial" w:hAnsi="Arial"/>
                <w:sz w:val="22"/>
                <w:szCs w:val="22"/>
                <w:color w:val="auto"/>
              </w:rPr>
              <w:t>1</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1.02 Classification of Loans and Borrowings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42</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1.03 Terms Generally</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42</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1.04 Accounting Terms; GAAP</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43</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1.05 Currency Matters; Determination of U</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43</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1.06 Interest Rates; LIBOR Notification</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44</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1.07 Letter of Credit Amounts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45</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1.08 Divisions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45</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Article II The Credits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45</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2.01 Loans and Revolving Commitments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45</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2.02 Loans and Borrowings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46</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2.03 Requests for Revolving Borrowings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47</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2.04 Increase in Revolving Commitments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48</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2.05 Swingline Loans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49</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2.06 Letters of Credit</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51</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2.07 Funding of Borrowings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56</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2.08 Interest Elections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57</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2.09 Termination and Reduction of Revolving Commitments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59</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2.10 Repayment of Loans; Evidence of Debt</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59</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2.11 Prepayment of Loans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60</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2.12 Fees; Cost of Audits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61</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2.13 Interest</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62</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2.14 Market Disruption; Alternate Rate of Interest; Illegality</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64</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2.15 Increased Costs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68</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2.16 Break Funding Payments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70</w:t>
            </w:r>
          </w:p>
        </w:tc>
      </w:tr>
      <w:tr>
        <w:trPr>
          <w:trHeight w:val="527"/>
        </w:trPr>
        <w:tc>
          <w:tcPr>
            <w:tcW w:w="8480" w:type="dxa"/>
            <w:vAlign w:val="bottom"/>
          </w:tcPr>
          <w:p>
            <w:pPr>
              <w:spacing w:after="0"/>
              <w:rPr>
                <w:sz w:val="20"/>
                <w:szCs w:val="20"/>
                <w:color w:val="auto"/>
              </w:rPr>
            </w:pPr>
            <w:r>
              <w:rPr>
                <w:rFonts w:ascii="Arial" w:cs="Arial" w:eastAsia="Arial" w:hAnsi="Arial"/>
                <w:sz w:val="22"/>
                <w:szCs w:val="22"/>
                <w:color w:val="auto"/>
              </w:rPr>
              <w:t>Section 2.17 Taxes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70</w:t>
            </w:r>
          </w:p>
        </w:tc>
      </w:tr>
      <w:tr>
        <w:trPr>
          <w:trHeight w:val="526"/>
        </w:trPr>
        <w:tc>
          <w:tcPr>
            <w:tcW w:w="8480" w:type="dxa"/>
            <w:vAlign w:val="bottom"/>
          </w:tcPr>
          <w:p>
            <w:pPr>
              <w:spacing w:after="0"/>
              <w:rPr>
                <w:sz w:val="20"/>
                <w:szCs w:val="20"/>
                <w:color w:val="auto"/>
              </w:rPr>
            </w:pPr>
            <w:r>
              <w:rPr>
                <w:rFonts w:ascii="Arial" w:cs="Arial" w:eastAsia="Arial" w:hAnsi="Arial"/>
                <w:sz w:val="22"/>
                <w:szCs w:val="22"/>
                <w:color w:val="auto"/>
              </w:rPr>
              <w:t>Section 2.18 Payments Generally; Pro Rata Treatment; Sharing of Set-offs</w:t>
            </w:r>
          </w:p>
        </w:tc>
        <w:tc>
          <w:tcPr>
            <w:tcW w:w="1940" w:type="dxa"/>
            <w:vAlign w:val="bottom"/>
          </w:tcPr>
          <w:p>
            <w:pPr>
              <w:ind w:left="1740"/>
              <w:spacing w:after="0"/>
              <w:rPr>
                <w:sz w:val="20"/>
                <w:szCs w:val="20"/>
                <w:color w:val="auto"/>
              </w:rPr>
            </w:pPr>
            <w:r>
              <w:rPr>
                <w:rFonts w:ascii="Arial" w:cs="Arial" w:eastAsia="Arial" w:hAnsi="Arial"/>
                <w:sz w:val="22"/>
                <w:szCs w:val="22"/>
                <w:color w:val="auto"/>
                <w:w w:val="73"/>
              </w:rPr>
              <w:t>76</w:t>
            </w:r>
          </w:p>
        </w:tc>
      </w:tr>
    </w:tbl>
    <w:p>
      <w:pPr>
        <w:sectPr>
          <w:pgSz w:w="11900" w:h="16861" w:orient="portrait"/>
          <w:cols w:equalWidth="0" w:num="1">
            <w:col w:w="10420"/>
          </w:cols>
          <w:pgMar w:left="340" w:top="1422" w:right="11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760" w:type="dxa"/>
            <w:vAlign w:val="bottom"/>
            <w:gridSpan w:val="2"/>
          </w:tcPr>
          <w:p>
            <w:pPr>
              <w:spacing w:after="0"/>
              <w:rPr>
                <w:sz w:val="20"/>
                <w:szCs w:val="20"/>
                <w:color w:val="auto"/>
              </w:rPr>
            </w:pPr>
            <w:r>
              <w:rPr>
                <w:rFonts w:ascii="Arial" w:cs="Arial" w:eastAsia="Arial" w:hAnsi="Arial"/>
                <w:sz w:val="22"/>
                <w:szCs w:val="22"/>
                <w:color w:val="auto"/>
              </w:rPr>
              <w:t>Section 2.19 Mitigation Obligations; Replacement of the Lenders</w:t>
            </w:r>
          </w:p>
        </w:tc>
        <w:tc>
          <w:tcPr>
            <w:tcW w:w="16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527"/>
        </w:trPr>
        <w:tc>
          <w:tcPr>
            <w:tcW w:w="8760" w:type="dxa"/>
            <w:vAlign w:val="bottom"/>
            <w:gridSpan w:val="2"/>
          </w:tcPr>
          <w:p>
            <w:pPr>
              <w:spacing w:after="0"/>
              <w:rPr>
                <w:sz w:val="20"/>
                <w:szCs w:val="20"/>
                <w:color w:val="auto"/>
              </w:rPr>
            </w:pPr>
            <w:r>
              <w:rPr>
                <w:rFonts w:ascii="Arial" w:cs="Arial" w:eastAsia="Arial" w:hAnsi="Arial"/>
                <w:sz w:val="22"/>
                <w:szCs w:val="22"/>
                <w:color w:val="auto"/>
              </w:rPr>
              <w:t>Section 2.20 Defaulting Lenders</w:t>
            </w:r>
          </w:p>
        </w:tc>
        <w:tc>
          <w:tcPr>
            <w:tcW w:w="16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527"/>
        </w:trPr>
        <w:tc>
          <w:tcPr>
            <w:tcW w:w="8760" w:type="dxa"/>
            <w:vAlign w:val="bottom"/>
            <w:gridSpan w:val="2"/>
          </w:tcPr>
          <w:p>
            <w:pPr>
              <w:spacing w:after="0"/>
              <w:rPr>
                <w:sz w:val="20"/>
                <w:szCs w:val="20"/>
                <w:color w:val="auto"/>
              </w:rPr>
            </w:pPr>
            <w:r>
              <w:rPr>
                <w:rFonts w:ascii="Arial" w:cs="Arial" w:eastAsia="Arial" w:hAnsi="Arial"/>
                <w:sz w:val="22"/>
                <w:szCs w:val="22"/>
                <w:color w:val="auto"/>
              </w:rPr>
              <w:t>Section 2.21 Illegality</w:t>
            </w:r>
          </w:p>
        </w:tc>
        <w:tc>
          <w:tcPr>
            <w:tcW w:w="16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527"/>
        </w:trPr>
        <w:tc>
          <w:tcPr>
            <w:tcW w:w="8760" w:type="dxa"/>
            <w:vAlign w:val="bottom"/>
            <w:gridSpan w:val="2"/>
          </w:tcPr>
          <w:p>
            <w:pPr>
              <w:spacing w:after="0"/>
              <w:rPr>
                <w:sz w:val="20"/>
                <w:szCs w:val="20"/>
                <w:color w:val="auto"/>
              </w:rPr>
            </w:pPr>
            <w:r>
              <w:rPr>
                <w:rFonts w:ascii="Arial" w:cs="Arial" w:eastAsia="Arial" w:hAnsi="Arial"/>
                <w:sz w:val="22"/>
                <w:szCs w:val="22"/>
                <w:color w:val="auto"/>
              </w:rPr>
              <w:t>Section 2.22 Borrower Representative</w:t>
            </w:r>
          </w:p>
        </w:tc>
        <w:tc>
          <w:tcPr>
            <w:tcW w:w="16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526"/>
        </w:trPr>
        <w:tc>
          <w:tcPr>
            <w:tcW w:w="8760" w:type="dxa"/>
            <w:vAlign w:val="bottom"/>
            <w:gridSpan w:val="2"/>
          </w:tcPr>
          <w:p>
            <w:pPr>
              <w:spacing w:after="0"/>
              <w:rPr>
                <w:sz w:val="20"/>
                <w:szCs w:val="20"/>
                <w:color w:val="auto"/>
              </w:rPr>
            </w:pPr>
            <w:r>
              <w:rPr>
                <w:rFonts w:ascii="Arial" w:cs="Arial" w:eastAsia="Arial" w:hAnsi="Arial"/>
                <w:sz w:val="22"/>
                <w:szCs w:val="22"/>
                <w:color w:val="auto"/>
              </w:rPr>
              <w:t>Article III Representations and Warranties</w:t>
            </w:r>
          </w:p>
        </w:tc>
        <w:tc>
          <w:tcPr>
            <w:tcW w:w="16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527"/>
        </w:trPr>
        <w:tc>
          <w:tcPr>
            <w:tcW w:w="8760" w:type="dxa"/>
            <w:vAlign w:val="bottom"/>
            <w:gridSpan w:val="2"/>
          </w:tcPr>
          <w:p>
            <w:pPr>
              <w:spacing w:after="0"/>
              <w:rPr>
                <w:sz w:val="20"/>
                <w:szCs w:val="20"/>
                <w:color w:val="auto"/>
              </w:rPr>
            </w:pPr>
            <w:r>
              <w:rPr>
                <w:rFonts w:ascii="Arial" w:cs="Arial" w:eastAsia="Arial" w:hAnsi="Arial"/>
                <w:sz w:val="22"/>
                <w:szCs w:val="22"/>
                <w:color w:val="auto"/>
              </w:rPr>
              <w:t>Section 3.01 Organization; Powers</w:t>
            </w:r>
          </w:p>
        </w:tc>
        <w:tc>
          <w:tcPr>
            <w:tcW w:w="16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527"/>
        </w:trPr>
        <w:tc>
          <w:tcPr>
            <w:tcW w:w="8760" w:type="dxa"/>
            <w:vAlign w:val="bottom"/>
            <w:gridSpan w:val="2"/>
          </w:tcPr>
          <w:p>
            <w:pPr>
              <w:spacing w:after="0"/>
              <w:rPr>
                <w:sz w:val="20"/>
                <w:szCs w:val="20"/>
                <w:color w:val="auto"/>
              </w:rPr>
            </w:pPr>
            <w:r>
              <w:rPr>
                <w:rFonts w:ascii="Arial" w:cs="Arial" w:eastAsia="Arial" w:hAnsi="Arial"/>
                <w:sz w:val="22"/>
                <w:szCs w:val="22"/>
                <w:color w:val="auto"/>
              </w:rPr>
              <w:t>Section 3.02 Authorization; Enforceability</w:t>
            </w:r>
          </w:p>
        </w:tc>
        <w:tc>
          <w:tcPr>
            <w:tcW w:w="16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3.03</w:t>
            </w:r>
          </w:p>
        </w:tc>
        <w:tc>
          <w:tcPr>
            <w:tcW w:w="7640" w:type="dxa"/>
            <w:vAlign w:val="bottom"/>
          </w:tcPr>
          <w:p>
            <w:pPr>
              <w:ind w:left="20"/>
              <w:spacing w:after="0"/>
              <w:rPr>
                <w:sz w:val="20"/>
                <w:szCs w:val="20"/>
                <w:color w:val="auto"/>
              </w:rPr>
            </w:pPr>
            <w:r>
              <w:rPr>
                <w:rFonts w:ascii="Arial" w:cs="Arial" w:eastAsia="Arial" w:hAnsi="Arial"/>
                <w:sz w:val="22"/>
                <w:szCs w:val="22"/>
                <w:color w:val="auto"/>
              </w:rPr>
              <w:t>Governmental Approvals; No Conflicts</w:t>
            </w:r>
          </w:p>
        </w:tc>
        <w:tc>
          <w:tcPr>
            <w:tcW w:w="16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526"/>
        </w:trPr>
        <w:tc>
          <w:tcPr>
            <w:tcW w:w="1120" w:type="dxa"/>
            <w:vAlign w:val="bottom"/>
          </w:tcPr>
          <w:p>
            <w:pPr>
              <w:spacing w:after="0"/>
              <w:rPr>
                <w:sz w:val="20"/>
                <w:szCs w:val="20"/>
                <w:color w:val="auto"/>
              </w:rPr>
            </w:pPr>
            <w:r>
              <w:rPr>
                <w:rFonts w:ascii="Arial" w:cs="Arial" w:eastAsia="Arial" w:hAnsi="Arial"/>
                <w:sz w:val="22"/>
                <w:szCs w:val="22"/>
                <w:color w:val="auto"/>
                <w:w w:val="89"/>
              </w:rPr>
              <w:t>Section 3.04</w:t>
            </w:r>
          </w:p>
        </w:tc>
        <w:tc>
          <w:tcPr>
            <w:tcW w:w="7640" w:type="dxa"/>
            <w:vAlign w:val="bottom"/>
          </w:tcPr>
          <w:p>
            <w:pPr>
              <w:ind w:left="20"/>
              <w:spacing w:after="0"/>
              <w:rPr>
                <w:sz w:val="20"/>
                <w:szCs w:val="20"/>
                <w:color w:val="auto"/>
              </w:rPr>
            </w:pPr>
            <w:r>
              <w:rPr>
                <w:rFonts w:ascii="Arial" w:cs="Arial" w:eastAsia="Arial" w:hAnsi="Arial"/>
                <w:sz w:val="22"/>
                <w:szCs w:val="22"/>
                <w:color w:val="auto"/>
              </w:rPr>
              <w:t>Financial Condition; No Material Adverse Change; Absence of Default</w:t>
            </w:r>
          </w:p>
        </w:tc>
        <w:tc>
          <w:tcPr>
            <w:tcW w:w="16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3.05</w:t>
            </w:r>
          </w:p>
        </w:tc>
        <w:tc>
          <w:tcPr>
            <w:tcW w:w="7640" w:type="dxa"/>
            <w:vAlign w:val="bottom"/>
          </w:tcPr>
          <w:p>
            <w:pPr>
              <w:ind w:left="20"/>
              <w:spacing w:after="0"/>
              <w:rPr>
                <w:sz w:val="20"/>
                <w:szCs w:val="20"/>
                <w:color w:val="auto"/>
              </w:rPr>
            </w:pPr>
            <w:r>
              <w:rPr>
                <w:rFonts w:ascii="Arial" w:cs="Arial" w:eastAsia="Arial" w:hAnsi="Arial"/>
                <w:sz w:val="22"/>
                <w:szCs w:val="22"/>
                <w:color w:val="auto"/>
              </w:rPr>
              <w:t>Properties</w:t>
            </w:r>
          </w:p>
        </w:tc>
        <w:tc>
          <w:tcPr>
            <w:tcW w:w="16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3.06</w:t>
            </w:r>
          </w:p>
        </w:tc>
        <w:tc>
          <w:tcPr>
            <w:tcW w:w="7640" w:type="dxa"/>
            <w:vAlign w:val="bottom"/>
          </w:tcPr>
          <w:p>
            <w:pPr>
              <w:ind w:left="20"/>
              <w:spacing w:after="0"/>
              <w:rPr>
                <w:sz w:val="20"/>
                <w:szCs w:val="20"/>
                <w:color w:val="auto"/>
              </w:rPr>
            </w:pPr>
            <w:r>
              <w:rPr>
                <w:rFonts w:ascii="Arial" w:cs="Arial" w:eastAsia="Arial" w:hAnsi="Arial"/>
                <w:sz w:val="22"/>
                <w:szCs w:val="22"/>
                <w:color w:val="auto"/>
              </w:rPr>
              <w:t>Litigation and Environmental Matters</w:t>
            </w:r>
          </w:p>
        </w:tc>
        <w:tc>
          <w:tcPr>
            <w:tcW w:w="1660" w:type="dxa"/>
            <w:vAlign w:val="bottom"/>
          </w:tcPr>
          <w:p>
            <w:pPr>
              <w:jc w:val="right"/>
              <w:spacing w:after="0"/>
              <w:rPr>
                <w:sz w:val="20"/>
                <w:szCs w:val="20"/>
                <w:color w:val="auto"/>
              </w:rPr>
            </w:pPr>
            <w:r>
              <w:rPr>
                <w:rFonts w:ascii="Arial" w:cs="Arial" w:eastAsia="Arial" w:hAnsi="Arial"/>
                <w:sz w:val="22"/>
                <w:szCs w:val="22"/>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420"/>
          </w:cols>
          <w:pgMar w:left="340" w:top="334" w:right="1139" w:bottom="1440" w:gutter="0" w:footer="0" w:header="0"/>
        </w:sectPr>
      </w:pPr>
    </w:p>
    <w:bookmarkStart w:id="43" w:name="page44"/>
    <w:bookmarkEnd w:id="43"/>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Section 3.07 Compliance with Laws and Agreements</w:t>
            </w:r>
          </w:p>
        </w:tc>
        <w:tc>
          <w:tcPr>
            <w:tcW w:w="2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3.08 Investment Company Status</w:t>
            </w:r>
          </w:p>
        </w:tc>
        <w:tc>
          <w:tcPr>
            <w:tcW w:w="2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3.09 Taxes</w:t>
            </w:r>
          </w:p>
        </w:tc>
        <w:tc>
          <w:tcPr>
            <w:tcW w:w="2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3.10 ERISA; Canadian Pension and Benefit Plans</w:t>
            </w:r>
          </w:p>
        </w:tc>
        <w:tc>
          <w:tcPr>
            <w:tcW w:w="270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3.11 Plan Assets; Prohibited Transactions; ERISA</w:t>
            </w:r>
          </w:p>
        </w:tc>
        <w:tc>
          <w:tcPr>
            <w:tcW w:w="2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3.12 Disclosure</w:t>
            </w:r>
          </w:p>
        </w:tc>
        <w:tc>
          <w:tcPr>
            <w:tcW w:w="270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3.13 Subsidiaries</w:t>
            </w:r>
          </w:p>
        </w:tc>
        <w:tc>
          <w:tcPr>
            <w:tcW w:w="2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3.14 Material Agreements</w:t>
            </w:r>
          </w:p>
        </w:tc>
        <w:tc>
          <w:tcPr>
            <w:tcW w:w="2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3.15 Post-Retirement Benefits</w:t>
            </w:r>
          </w:p>
        </w:tc>
        <w:tc>
          <w:tcPr>
            <w:tcW w:w="2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3.16 Solvency</w:t>
            </w:r>
          </w:p>
        </w:tc>
        <w:tc>
          <w:tcPr>
            <w:tcW w:w="2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3.17 Payment and Performance Bonds</w:t>
            </w:r>
          </w:p>
        </w:tc>
        <w:tc>
          <w:tcPr>
            <w:tcW w:w="2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3.18 Commercial Tort Claims</w:t>
            </w:r>
          </w:p>
        </w:tc>
        <w:tc>
          <w:tcPr>
            <w:tcW w:w="2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3.19 Anti-Corruption Laws and Sanctions</w:t>
            </w:r>
          </w:p>
        </w:tc>
        <w:tc>
          <w:tcPr>
            <w:tcW w:w="2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3.20 Affected Financial Institution</w:t>
            </w:r>
          </w:p>
        </w:tc>
        <w:tc>
          <w:tcPr>
            <w:tcW w:w="2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3.21 Plan Assets</w:t>
            </w:r>
          </w:p>
        </w:tc>
        <w:tc>
          <w:tcPr>
            <w:tcW w:w="27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Article IV Conditions</w:t>
            </w:r>
          </w:p>
        </w:tc>
        <w:tc>
          <w:tcPr>
            <w:tcW w:w="270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4.01 Effective Date</w:t>
            </w:r>
          </w:p>
        </w:tc>
        <w:tc>
          <w:tcPr>
            <w:tcW w:w="270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4.02 Each Credit Event</w:t>
            </w:r>
          </w:p>
        </w:tc>
        <w:tc>
          <w:tcPr>
            <w:tcW w:w="27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Article V Affirmative Covenants</w:t>
            </w:r>
          </w:p>
        </w:tc>
        <w:tc>
          <w:tcPr>
            <w:tcW w:w="27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5.01 Financial Statements; Other Information</w:t>
            </w:r>
          </w:p>
        </w:tc>
        <w:tc>
          <w:tcPr>
            <w:tcW w:w="27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5.02 Notices of Material Events</w:t>
            </w:r>
          </w:p>
        </w:tc>
        <w:tc>
          <w:tcPr>
            <w:tcW w:w="270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5.03 Existence; Conduct of Business</w:t>
            </w:r>
          </w:p>
        </w:tc>
        <w:tc>
          <w:tcPr>
            <w:tcW w:w="270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5.04 Payment of Obligations</w:t>
            </w:r>
          </w:p>
        </w:tc>
        <w:tc>
          <w:tcPr>
            <w:tcW w:w="270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5.05 Maintenance of Properties; Insurance</w:t>
            </w:r>
          </w:p>
        </w:tc>
        <w:tc>
          <w:tcPr>
            <w:tcW w:w="270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5.06 Books and Records; Inspection Rights</w:t>
            </w:r>
          </w:p>
        </w:tc>
        <w:tc>
          <w:tcPr>
            <w:tcW w:w="270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5.07 Compliance with Laws</w:t>
            </w:r>
          </w:p>
        </w:tc>
        <w:tc>
          <w:tcPr>
            <w:tcW w:w="270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5.08 Use of Proceeds and Letters of Credit</w:t>
            </w:r>
          </w:p>
        </w:tc>
        <w:tc>
          <w:tcPr>
            <w:tcW w:w="270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527"/>
        </w:trPr>
        <w:tc>
          <w:tcPr>
            <w:tcW w:w="7720" w:type="dxa"/>
            <w:vAlign w:val="bottom"/>
          </w:tcPr>
          <w:p>
            <w:pPr>
              <w:spacing w:after="0"/>
              <w:rPr>
                <w:sz w:val="20"/>
                <w:szCs w:val="20"/>
                <w:color w:val="auto"/>
              </w:rPr>
            </w:pPr>
            <w:r>
              <w:rPr>
                <w:rFonts w:ascii="Arial" w:cs="Arial" w:eastAsia="Arial" w:hAnsi="Arial"/>
                <w:sz w:val="22"/>
                <w:szCs w:val="22"/>
                <w:color w:val="auto"/>
              </w:rPr>
              <w:t>Section 5.09 Additional Subsidiaries; Subsidiary Guarantors</w:t>
            </w:r>
          </w:p>
        </w:tc>
        <w:tc>
          <w:tcPr>
            <w:tcW w:w="270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526"/>
        </w:trPr>
        <w:tc>
          <w:tcPr>
            <w:tcW w:w="7720" w:type="dxa"/>
            <w:vAlign w:val="bottom"/>
          </w:tcPr>
          <w:p>
            <w:pPr>
              <w:spacing w:after="0"/>
              <w:rPr>
                <w:sz w:val="20"/>
                <w:szCs w:val="20"/>
                <w:color w:val="auto"/>
              </w:rPr>
            </w:pPr>
            <w:r>
              <w:rPr>
                <w:rFonts w:ascii="Arial" w:cs="Arial" w:eastAsia="Arial" w:hAnsi="Arial"/>
                <w:sz w:val="22"/>
                <w:szCs w:val="22"/>
                <w:color w:val="auto"/>
              </w:rPr>
              <w:t>Section 5.10 Collateral Records</w:t>
            </w:r>
          </w:p>
        </w:tc>
        <w:tc>
          <w:tcPr>
            <w:tcW w:w="2700" w:type="dxa"/>
            <w:vAlign w:val="bottom"/>
          </w:tcPr>
          <w:p>
            <w:pPr>
              <w:jc w:val="right"/>
              <w:spacing w:after="0"/>
              <w:rPr>
                <w:sz w:val="20"/>
                <w:szCs w:val="20"/>
                <w:color w:val="auto"/>
              </w:rPr>
            </w:pPr>
            <w:r>
              <w:rPr>
                <w:rFonts w:ascii="Arial" w:cs="Arial" w:eastAsia="Arial" w:hAnsi="Arial"/>
                <w:sz w:val="22"/>
                <w:szCs w:val="22"/>
                <w:color w:val="auto"/>
              </w:rPr>
              <w:t>97</w:t>
            </w:r>
          </w:p>
        </w:tc>
      </w:tr>
    </w:tbl>
    <w:p>
      <w:pPr>
        <w:sectPr>
          <w:pgSz w:w="11900" w:h="16838" w:orient="portrait"/>
          <w:cols w:equalWidth="0" w:num="1">
            <w:col w:w="10420"/>
          </w:cols>
          <w:pgMar w:left="340" w:top="1440" w:right="11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300" w:type="dxa"/>
            <w:vAlign w:val="bottom"/>
            <w:gridSpan w:val="2"/>
          </w:tcPr>
          <w:p>
            <w:pPr>
              <w:spacing w:after="0"/>
              <w:rPr>
                <w:sz w:val="20"/>
                <w:szCs w:val="20"/>
                <w:color w:val="auto"/>
              </w:rPr>
            </w:pPr>
            <w:r>
              <w:rPr>
                <w:rFonts w:ascii="Arial" w:cs="Arial" w:eastAsia="Arial" w:hAnsi="Arial"/>
                <w:sz w:val="22"/>
                <w:szCs w:val="22"/>
                <w:color w:val="auto"/>
              </w:rPr>
              <w:t>Section 5.11 Security Interests</w:t>
            </w:r>
          </w:p>
        </w:tc>
        <w:tc>
          <w:tcPr>
            <w:tcW w:w="2240" w:type="dxa"/>
            <w:vAlign w:val="bottom"/>
          </w:tcPr>
          <w:p>
            <w:pPr>
              <w:ind w:left="1920"/>
              <w:spacing w:after="0"/>
              <w:rPr>
                <w:sz w:val="20"/>
                <w:szCs w:val="20"/>
                <w:color w:val="auto"/>
              </w:rPr>
            </w:pPr>
            <w:r>
              <w:rPr>
                <w:rFonts w:ascii="Arial" w:cs="Arial" w:eastAsia="Arial" w:hAnsi="Arial"/>
                <w:sz w:val="22"/>
                <w:szCs w:val="22"/>
                <w:color w:val="auto"/>
              </w:rPr>
              <w:t>97</w:t>
            </w:r>
          </w:p>
        </w:tc>
      </w:tr>
      <w:tr>
        <w:trPr>
          <w:trHeight w:val="527"/>
        </w:trPr>
        <w:tc>
          <w:tcPr>
            <w:tcW w:w="8300" w:type="dxa"/>
            <w:vAlign w:val="bottom"/>
            <w:gridSpan w:val="2"/>
          </w:tcPr>
          <w:p>
            <w:pPr>
              <w:spacing w:after="0"/>
              <w:rPr>
                <w:sz w:val="20"/>
                <w:szCs w:val="20"/>
                <w:color w:val="auto"/>
              </w:rPr>
            </w:pPr>
            <w:r>
              <w:rPr>
                <w:rFonts w:ascii="Arial" w:cs="Arial" w:eastAsia="Arial" w:hAnsi="Arial"/>
                <w:sz w:val="22"/>
                <w:szCs w:val="22"/>
                <w:color w:val="auto"/>
              </w:rPr>
              <w:t>Section 5.12 Canadian Benefit Plans</w:t>
            </w:r>
          </w:p>
        </w:tc>
        <w:tc>
          <w:tcPr>
            <w:tcW w:w="2240" w:type="dxa"/>
            <w:vAlign w:val="bottom"/>
          </w:tcPr>
          <w:p>
            <w:pPr>
              <w:ind w:left="1920"/>
              <w:spacing w:after="0"/>
              <w:rPr>
                <w:sz w:val="20"/>
                <w:szCs w:val="20"/>
                <w:color w:val="auto"/>
              </w:rPr>
            </w:pPr>
            <w:r>
              <w:rPr>
                <w:rFonts w:ascii="Arial" w:cs="Arial" w:eastAsia="Arial" w:hAnsi="Arial"/>
                <w:sz w:val="22"/>
                <w:szCs w:val="22"/>
                <w:color w:val="auto"/>
              </w:rPr>
              <w:t>98</w:t>
            </w:r>
          </w:p>
        </w:tc>
      </w:tr>
      <w:tr>
        <w:trPr>
          <w:trHeight w:val="527"/>
        </w:trPr>
        <w:tc>
          <w:tcPr>
            <w:tcW w:w="8300" w:type="dxa"/>
            <w:vAlign w:val="bottom"/>
            <w:gridSpan w:val="2"/>
          </w:tcPr>
          <w:p>
            <w:pPr>
              <w:spacing w:after="0"/>
              <w:rPr>
                <w:sz w:val="20"/>
                <w:szCs w:val="20"/>
                <w:color w:val="auto"/>
              </w:rPr>
            </w:pPr>
            <w:r>
              <w:rPr>
                <w:rFonts w:ascii="Arial" w:cs="Arial" w:eastAsia="Arial" w:hAnsi="Arial"/>
                <w:sz w:val="22"/>
                <w:szCs w:val="22"/>
                <w:color w:val="auto"/>
              </w:rPr>
              <w:t>Section 5.13 Post-Closing Obligations</w:t>
            </w:r>
          </w:p>
        </w:tc>
        <w:tc>
          <w:tcPr>
            <w:tcW w:w="2240" w:type="dxa"/>
            <w:vAlign w:val="bottom"/>
          </w:tcPr>
          <w:p>
            <w:pPr>
              <w:ind w:left="1920"/>
              <w:spacing w:after="0"/>
              <w:rPr>
                <w:sz w:val="20"/>
                <w:szCs w:val="20"/>
                <w:color w:val="auto"/>
              </w:rPr>
            </w:pPr>
            <w:r>
              <w:rPr>
                <w:rFonts w:ascii="Arial" w:cs="Arial" w:eastAsia="Arial" w:hAnsi="Arial"/>
                <w:sz w:val="22"/>
                <w:szCs w:val="22"/>
                <w:color w:val="auto"/>
              </w:rPr>
              <w:t>98</w:t>
            </w:r>
          </w:p>
        </w:tc>
      </w:tr>
      <w:tr>
        <w:trPr>
          <w:trHeight w:val="526"/>
        </w:trPr>
        <w:tc>
          <w:tcPr>
            <w:tcW w:w="8300" w:type="dxa"/>
            <w:vAlign w:val="bottom"/>
            <w:gridSpan w:val="2"/>
          </w:tcPr>
          <w:p>
            <w:pPr>
              <w:spacing w:after="0"/>
              <w:rPr>
                <w:sz w:val="20"/>
                <w:szCs w:val="20"/>
                <w:color w:val="auto"/>
              </w:rPr>
            </w:pPr>
            <w:r>
              <w:rPr>
                <w:rFonts w:ascii="Arial" w:cs="Arial" w:eastAsia="Arial" w:hAnsi="Arial"/>
                <w:sz w:val="22"/>
                <w:szCs w:val="22"/>
                <w:color w:val="auto"/>
              </w:rPr>
              <w:t>Article VI Negative Covenants</w:t>
            </w:r>
          </w:p>
        </w:tc>
        <w:tc>
          <w:tcPr>
            <w:tcW w:w="2240" w:type="dxa"/>
            <w:vAlign w:val="bottom"/>
          </w:tcPr>
          <w:p>
            <w:pPr>
              <w:ind w:left="1920"/>
              <w:spacing w:after="0"/>
              <w:rPr>
                <w:sz w:val="20"/>
                <w:szCs w:val="20"/>
                <w:color w:val="auto"/>
              </w:rPr>
            </w:pPr>
            <w:r>
              <w:rPr>
                <w:rFonts w:ascii="Arial" w:cs="Arial" w:eastAsia="Arial" w:hAnsi="Arial"/>
                <w:sz w:val="22"/>
                <w:szCs w:val="22"/>
                <w:color w:val="auto"/>
              </w:rPr>
              <w:t>98</w:t>
            </w:r>
          </w:p>
        </w:tc>
      </w:tr>
      <w:tr>
        <w:trPr>
          <w:trHeight w:val="527"/>
        </w:trPr>
        <w:tc>
          <w:tcPr>
            <w:tcW w:w="8300" w:type="dxa"/>
            <w:vAlign w:val="bottom"/>
            <w:gridSpan w:val="2"/>
          </w:tcPr>
          <w:p>
            <w:pPr>
              <w:spacing w:after="0"/>
              <w:rPr>
                <w:sz w:val="20"/>
                <w:szCs w:val="20"/>
                <w:color w:val="auto"/>
              </w:rPr>
            </w:pPr>
            <w:r>
              <w:rPr>
                <w:rFonts w:ascii="Arial" w:cs="Arial" w:eastAsia="Arial" w:hAnsi="Arial"/>
                <w:sz w:val="22"/>
                <w:szCs w:val="22"/>
                <w:color w:val="auto"/>
              </w:rPr>
              <w:t>Section 6.01 Indebtedness</w:t>
            </w:r>
          </w:p>
        </w:tc>
        <w:tc>
          <w:tcPr>
            <w:tcW w:w="2240" w:type="dxa"/>
            <w:vAlign w:val="bottom"/>
          </w:tcPr>
          <w:p>
            <w:pPr>
              <w:ind w:left="1920"/>
              <w:spacing w:after="0"/>
              <w:rPr>
                <w:sz w:val="20"/>
                <w:szCs w:val="20"/>
                <w:color w:val="auto"/>
              </w:rPr>
            </w:pPr>
            <w:r>
              <w:rPr>
                <w:rFonts w:ascii="Arial" w:cs="Arial" w:eastAsia="Arial" w:hAnsi="Arial"/>
                <w:sz w:val="22"/>
                <w:szCs w:val="22"/>
                <w:color w:val="auto"/>
              </w:rPr>
              <w:t>98</w:t>
            </w:r>
          </w:p>
        </w:tc>
      </w:tr>
      <w:tr>
        <w:trPr>
          <w:trHeight w:val="527"/>
        </w:trPr>
        <w:tc>
          <w:tcPr>
            <w:tcW w:w="8300" w:type="dxa"/>
            <w:vAlign w:val="bottom"/>
            <w:gridSpan w:val="2"/>
          </w:tcPr>
          <w:p>
            <w:pPr>
              <w:spacing w:after="0"/>
              <w:rPr>
                <w:sz w:val="20"/>
                <w:szCs w:val="20"/>
                <w:color w:val="auto"/>
              </w:rPr>
            </w:pPr>
            <w:r>
              <w:rPr>
                <w:rFonts w:ascii="Arial" w:cs="Arial" w:eastAsia="Arial" w:hAnsi="Arial"/>
                <w:sz w:val="22"/>
                <w:szCs w:val="22"/>
                <w:color w:val="auto"/>
              </w:rPr>
              <w:t>Section 6.02 Liens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100</w:t>
            </w:r>
          </w:p>
        </w:tc>
      </w:tr>
      <w:tr>
        <w:trPr>
          <w:trHeight w:val="527"/>
        </w:trPr>
        <w:tc>
          <w:tcPr>
            <w:tcW w:w="8300" w:type="dxa"/>
            <w:vAlign w:val="bottom"/>
            <w:gridSpan w:val="2"/>
          </w:tcPr>
          <w:p>
            <w:pPr>
              <w:spacing w:after="0"/>
              <w:rPr>
                <w:sz w:val="20"/>
                <w:szCs w:val="20"/>
                <w:color w:val="auto"/>
              </w:rPr>
            </w:pPr>
            <w:r>
              <w:rPr>
                <w:rFonts w:ascii="Arial" w:cs="Arial" w:eastAsia="Arial" w:hAnsi="Arial"/>
                <w:sz w:val="22"/>
                <w:szCs w:val="22"/>
                <w:color w:val="auto"/>
              </w:rPr>
              <w:t>Section 6.03 Fundamental Changes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101</w:t>
            </w:r>
          </w:p>
        </w:tc>
      </w:tr>
      <w:tr>
        <w:trPr>
          <w:trHeight w:val="526"/>
        </w:trPr>
        <w:tc>
          <w:tcPr>
            <w:tcW w:w="8300" w:type="dxa"/>
            <w:vAlign w:val="bottom"/>
            <w:gridSpan w:val="2"/>
          </w:tcPr>
          <w:p>
            <w:pPr>
              <w:spacing w:after="0"/>
              <w:rPr>
                <w:sz w:val="20"/>
                <w:szCs w:val="20"/>
                <w:color w:val="auto"/>
              </w:rPr>
            </w:pPr>
            <w:r>
              <w:rPr>
                <w:rFonts w:ascii="Arial" w:cs="Arial" w:eastAsia="Arial" w:hAnsi="Arial"/>
                <w:sz w:val="22"/>
                <w:szCs w:val="22"/>
                <w:color w:val="auto"/>
              </w:rPr>
              <w:t>Section 6.04 Investments, Loans, Advances, Guarantees and Acquisitions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102</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6.05</w:t>
            </w:r>
          </w:p>
        </w:tc>
        <w:tc>
          <w:tcPr>
            <w:tcW w:w="7180" w:type="dxa"/>
            <w:vAlign w:val="bottom"/>
          </w:tcPr>
          <w:p>
            <w:pPr>
              <w:ind w:left="20"/>
              <w:spacing w:after="0"/>
              <w:rPr>
                <w:sz w:val="20"/>
                <w:szCs w:val="20"/>
                <w:color w:val="auto"/>
              </w:rPr>
            </w:pPr>
            <w:r>
              <w:rPr>
                <w:rFonts w:ascii="Arial" w:cs="Arial" w:eastAsia="Arial" w:hAnsi="Arial"/>
                <w:sz w:val="22"/>
                <w:szCs w:val="22"/>
                <w:color w:val="auto"/>
              </w:rPr>
              <w:t>Swap Agreements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104</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6.06</w:t>
            </w:r>
          </w:p>
        </w:tc>
        <w:tc>
          <w:tcPr>
            <w:tcW w:w="7180" w:type="dxa"/>
            <w:vAlign w:val="bottom"/>
          </w:tcPr>
          <w:p>
            <w:pPr>
              <w:ind w:left="20"/>
              <w:spacing w:after="0"/>
              <w:rPr>
                <w:sz w:val="20"/>
                <w:szCs w:val="20"/>
                <w:color w:val="auto"/>
              </w:rPr>
            </w:pPr>
            <w:r>
              <w:rPr>
                <w:rFonts w:ascii="Arial" w:cs="Arial" w:eastAsia="Arial" w:hAnsi="Arial"/>
                <w:sz w:val="22"/>
                <w:szCs w:val="22"/>
                <w:color w:val="auto"/>
              </w:rPr>
              <w:t>Restricted Payments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104</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6.07</w:t>
            </w:r>
          </w:p>
        </w:tc>
        <w:tc>
          <w:tcPr>
            <w:tcW w:w="7180" w:type="dxa"/>
            <w:vAlign w:val="bottom"/>
          </w:tcPr>
          <w:p>
            <w:pPr>
              <w:ind w:left="20"/>
              <w:spacing w:after="0"/>
              <w:rPr>
                <w:sz w:val="20"/>
                <w:szCs w:val="20"/>
                <w:color w:val="auto"/>
              </w:rPr>
            </w:pPr>
            <w:r>
              <w:rPr>
                <w:rFonts w:ascii="Arial" w:cs="Arial" w:eastAsia="Arial" w:hAnsi="Arial"/>
                <w:sz w:val="22"/>
                <w:szCs w:val="22"/>
                <w:color w:val="auto"/>
              </w:rPr>
              <w:t>Transactions with Affiliates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105</w:t>
            </w:r>
          </w:p>
        </w:tc>
      </w:tr>
      <w:tr>
        <w:trPr>
          <w:trHeight w:val="526"/>
        </w:trPr>
        <w:tc>
          <w:tcPr>
            <w:tcW w:w="1120" w:type="dxa"/>
            <w:vAlign w:val="bottom"/>
          </w:tcPr>
          <w:p>
            <w:pPr>
              <w:spacing w:after="0"/>
              <w:rPr>
                <w:sz w:val="20"/>
                <w:szCs w:val="20"/>
                <w:color w:val="auto"/>
              </w:rPr>
            </w:pPr>
            <w:r>
              <w:rPr>
                <w:rFonts w:ascii="Arial" w:cs="Arial" w:eastAsia="Arial" w:hAnsi="Arial"/>
                <w:sz w:val="22"/>
                <w:szCs w:val="22"/>
                <w:color w:val="auto"/>
                <w:w w:val="89"/>
              </w:rPr>
              <w:t>Section 6.08</w:t>
            </w:r>
          </w:p>
        </w:tc>
        <w:tc>
          <w:tcPr>
            <w:tcW w:w="7180" w:type="dxa"/>
            <w:vAlign w:val="bottom"/>
          </w:tcPr>
          <w:p>
            <w:pPr>
              <w:ind w:left="20"/>
              <w:spacing w:after="0"/>
              <w:rPr>
                <w:sz w:val="20"/>
                <w:szCs w:val="20"/>
                <w:color w:val="auto"/>
              </w:rPr>
            </w:pPr>
            <w:r>
              <w:rPr>
                <w:rFonts w:ascii="Arial" w:cs="Arial" w:eastAsia="Arial" w:hAnsi="Arial"/>
                <w:sz w:val="22"/>
                <w:szCs w:val="22"/>
                <w:color w:val="auto"/>
              </w:rPr>
              <w:t>Restrictive Agreements</w:t>
            </w:r>
          </w:p>
        </w:tc>
        <w:tc>
          <w:tcPr>
            <w:tcW w:w="2240" w:type="dxa"/>
            <w:vAlign w:val="bottom"/>
          </w:tcPr>
          <w:p>
            <w:pPr>
              <w:ind w:left="1920"/>
              <w:spacing w:after="0"/>
              <w:rPr>
                <w:sz w:val="20"/>
                <w:szCs w:val="20"/>
                <w:color w:val="auto"/>
              </w:rPr>
            </w:pPr>
            <w:r>
              <w:rPr>
                <w:rFonts w:ascii="Arial" w:cs="Arial" w:eastAsia="Arial" w:hAnsi="Arial"/>
                <w:sz w:val="22"/>
                <w:szCs w:val="22"/>
                <w:color w:val="auto"/>
                <w:w w:val="81"/>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540"/>
          </w:cols>
          <w:pgMar w:left="340" w:top="172" w:right="1019" w:bottom="1440" w:gutter="0" w:footer="0" w:header="0"/>
        </w:sectPr>
      </w:pPr>
    </w:p>
    <w:bookmarkStart w:id="45" w:name="page46"/>
    <w:bookmarkEnd w:id="4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360" w:type="dxa"/>
            <w:vAlign w:val="bottom"/>
          </w:tcPr>
          <w:p>
            <w:pPr>
              <w:spacing w:after="0"/>
              <w:rPr>
                <w:sz w:val="20"/>
                <w:szCs w:val="20"/>
                <w:color w:val="auto"/>
              </w:rPr>
            </w:pPr>
            <w:r>
              <w:rPr>
                <w:rFonts w:ascii="Arial" w:cs="Arial" w:eastAsia="Arial" w:hAnsi="Arial"/>
                <w:sz w:val="22"/>
                <w:szCs w:val="22"/>
                <w:color w:val="auto"/>
              </w:rPr>
              <w:t>Section 6.09 Amendments to Agreements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105</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6.10 Sale of Accounts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105</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6.11 Sale and Leaseback Transactions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106</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6.12 Leverage Ratio</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106</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6.13 Fixed Charge Coverage Ratio</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106</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6.14 Employee Pension Benefit Plan; Canadian Pension Plans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106</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Article VII Events of Default</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107</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7.01 Events of Default</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107</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7.02 Cash Collateral</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110</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Article VIII The Administrative Agent</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110</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8.01 Authorization and Action</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110</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8.02 Administrative Agent’s Reliance, Limitation of Liability, Etc</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113</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8.03 Posting of Communications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114</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8.04 The Administrative Agent Individually</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116</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8.05 Successor Administrative Agent</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116</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8.06 Acknowledgements of Lenders and Issuing Banks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117</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8.07 Collateral Matters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118</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8.08 Credit Bidding</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118</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8.09 Certain ERISA Matters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120</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Article IX Miscellaneous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121</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9.01 Notices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121</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9.02 Waivers; Amendments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123</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9.03 Expenses; Limitation of Liability; Indemnity; Etc</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124</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9.04 Successors and Assigns</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126</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9.05 Disclosure</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130</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9.06 Survival</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130</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9.07 Counterparts; Integration; Effectiveness; Electronic Execution</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131</w:t>
            </w:r>
          </w:p>
        </w:tc>
      </w:tr>
      <w:tr>
        <w:trPr>
          <w:trHeight w:val="527"/>
        </w:trPr>
        <w:tc>
          <w:tcPr>
            <w:tcW w:w="8360" w:type="dxa"/>
            <w:vAlign w:val="bottom"/>
          </w:tcPr>
          <w:p>
            <w:pPr>
              <w:spacing w:after="0"/>
              <w:rPr>
                <w:sz w:val="20"/>
                <w:szCs w:val="20"/>
                <w:color w:val="auto"/>
              </w:rPr>
            </w:pPr>
            <w:r>
              <w:rPr>
                <w:rFonts w:ascii="Arial" w:cs="Arial" w:eastAsia="Arial" w:hAnsi="Arial"/>
                <w:sz w:val="22"/>
                <w:szCs w:val="22"/>
                <w:color w:val="auto"/>
              </w:rPr>
              <w:t>Section 9.08 Severability</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132</w:t>
            </w:r>
          </w:p>
        </w:tc>
      </w:tr>
      <w:tr>
        <w:trPr>
          <w:trHeight w:val="526"/>
        </w:trPr>
        <w:tc>
          <w:tcPr>
            <w:tcW w:w="8360" w:type="dxa"/>
            <w:vAlign w:val="bottom"/>
          </w:tcPr>
          <w:p>
            <w:pPr>
              <w:spacing w:after="0"/>
              <w:rPr>
                <w:sz w:val="20"/>
                <w:szCs w:val="20"/>
                <w:color w:val="auto"/>
              </w:rPr>
            </w:pPr>
            <w:r>
              <w:rPr>
                <w:rFonts w:ascii="Arial" w:cs="Arial" w:eastAsia="Arial" w:hAnsi="Arial"/>
                <w:sz w:val="22"/>
                <w:szCs w:val="22"/>
                <w:color w:val="auto"/>
              </w:rPr>
              <w:t>Section 9.09 Right of Set-off</w:t>
            </w:r>
          </w:p>
        </w:tc>
        <w:tc>
          <w:tcPr>
            <w:tcW w:w="2180" w:type="dxa"/>
            <w:vAlign w:val="bottom"/>
          </w:tcPr>
          <w:p>
            <w:pPr>
              <w:ind w:left="1860"/>
              <w:spacing w:after="0"/>
              <w:rPr>
                <w:sz w:val="20"/>
                <w:szCs w:val="20"/>
                <w:color w:val="auto"/>
              </w:rPr>
            </w:pPr>
            <w:r>
              <w:rPr>
                <w:rFonts w:ascii="Arial" w:cs="Arial" w:eastAsia="Arial" w:hAnsi="Arial"/>
                <w:sz w:val="22"/>
                <w:szCs w:val="22"/>
                <w:color w:val="auto"/>
                <w:w w:val="81"/>
              </w:rPr>
              <w:t>132</w:t>
            </w:r>
          </w:p>
        </w:tc>
      </w:tr>
    </w:tbl>
    <w:p>
      <w:pPr>
        <w:sectPr>
          <w:pgSz w:w="11900" w:h="16838" w:orient="portrait"/>
          <w:cols w:equalWidth="0" w:num="1">
            <w:col w:w="10540"/>
          </w:cols>
          <w:pgMar w:left="340" w:top="1440" w:right="101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9.10 Governing Law; Jurisdiction; Consent to Service of Process</w:t>
            </w:r>
          </w:p>
        </w:tc>
        <w:tc>
          <w:tcPr>
            <w:tcW w:w="15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527"/>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9.11 WAIVER OF JURY TRIAL</w:t>
            </w:r>
          </w:p>
        </w:tc>
        <w:tc>
          <w:tcPr>
            <w:tcW w:w="15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527"/>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9.12 Headings</w:t>
            </w:r>
          </w:p>
        </w:tc>
        <w:tc>
          <w:tcPr>
            <w:tcW w:w="15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526"/>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9.13 Confidentiality</w:t>
            </w:r>
          </w:p>
        </w:tc>
        <w:tc>
          <w:tcPr>
            <w:tcW w:w="15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527"/>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9.14 Interest Rate Limitation</w:t>
            </w:r>
          </w:p>
        </w:tc>
        <w:tc>
          <w:tcPr>
            <w:tcW w:w="15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527"/>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9.15 No Fiduciary Duty</w:t>
            </w:r>
          </w:p>
        </w:tc>
        <w:tc>
          <w:tcPr>
            <w:tcW w:w="15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527"/>
        </w:trPr>
        <w:tc>
          <w:tcPr>
            <w:tcW w:w="8960" w:type="dxa"/>
            <w:vAlign w:val="bottom"/>
            <w:gridSpan w:val="2"/>
          </w:tcPr>
          <w:p>
            <w:pPr>
              <w:spacing w:after="0"/>
              <w:rPr>
                <w:sz w:val="20"/>
                <w:szCs w:val="20"/>
                <w:color w:val="auto"/>
              </w:rPr>
            </w:pPr>
            <w:r>
              <w:rPr>
                <w:rFonts w:ascii="Arial" w:cs="Arial" w:eastAsia="Arial" w:hAnsi="Arial"/>
                <w:sz w:val="22"/>
                <w:szCs w:val="22"/>
                <w:color w:val="auto"/>
              </w:rPr>
              <w:t>Section 9.16 USA PATRIOT Act</w:t>
            </w:r>
          </w:p>
        </w:tc>
        <w:tc>
          <w:tcPr>
            <w:tcW w:w="15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526"/>
        </w:trPr>
        <w:tc>
          <w:tcPr>
            <w:tcW w:w="1120" w:type="dxa"/>
            <w:vAlign w:val="bottom"/>
          </w:tcPr>
          <w:p>
            <w:pPr>
              <w:spacing w:after="0"/>
              <w:rPr>
                <w:sz w:val="20"/>
                <w:szCs w:val="20"/>
                <w:color w:val="auto"/>
              </w:rPr>
            </w:pPr>
            <w:r>
              <w:rPr>
                <w:rFonts w:ascii="Arial" w:cs="Arial" w:eastAsia="Arial" w:hAnsi="Arial"/>
                <w:sz w:val="22"/>
                <w:szCs w:val="22"/>
                <w:color w:val="auto"/>
                <w:w w:val="89"/>
              </w:rPr>
              <w:t>Section 9.17</w:t>
            </w:r>
          </w:p>
        </w:tc>
        <w:tc>
          <w:tcPr>
            <w:tcW w:w="7840" w:type="dxa"/>
            <w:vAlign w:val="bottom"/>
          </w:tcPr>
          <w:p>
            <w:pPr>
              <w:ind w:left="20"/>
              <w:spacing w:after="0"/>
              <w:rPr>
                <w:sz w:val="20"/>
                <w:szCs w:val="20"/>
                <w:color w:val="auto"/>
              </w:rPr>
            </w:pPr>
            <w:r>
              <w:rPr>
                <w:rFonts w:ascii="Arial" w:cs="Arial" w:eastAsia="Arial" w:hAnsi="Arial"/>
                <w:sz w:val="22"/>
                <w:szCs w:val="22"/>
                <w:color w:val="auto"/>
              </w:rPr>
              <w:t>Judgment Currency Conversion</w:t>
            </w:r>
          </w:p>
        </w:tc>
        <w:tc>
          <w:tcPr>
            <w:tcW w:w="15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9.18</w:t>
            </w:r>
          </w:p>
        </w:tc>
        <w:tc>
          <w:tcPr>
            <w:tcW w:w="7840" w:type="dxa"/>
            <w:vAlign w:val="bottom"/>
          </w:tcPr>
          <w:p>
            <w:pPr>
              <w:ind w:left="20"/>
              <w:spacing w:after="0"/>
              <w:rPr>
                <w:sz w:val="20"/>
                <w:szCs w:val="20"/>
                <w:color w:val="auto"/>
              </w:rPr>
            </w:pPr>
            <w:r>
              <w:rPr>
                <w:rFonts w:ascii="Arial" w:cs="Arial" w:eastAsia="Arial" w:hAnsi="Arial"/>
                <w:sz w:val="22"/>
                <w:szCs w:val="22"/>
                <w:color w:val="auto"/>
              </w:rPr>
              <w:t>MIRE Events</w:t>
            </w:r>
          </w:p>
        </w:tc>
        <w:tc>
          <w:tcPr>
            <w:tcW w:w="15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9.19</w:t>
            </w:r>
          </w:p>
        </w:tc>
        <w:tc>
          <w:tcPr>
            <w:tcW w:w="7840" w:type="dxa"/>
            <w:vAlign w:val="bottom"/>
          </w:tcPr>
          <w:p>
            <w:pPr>
              <w:ind w:left="20"/>
              <w:spacing w:after="0"/>
              <w:rPr>
                <w:sz w:val="20"/>
                <w:szCs w:val="20"/>
                <w:color w:val="auto"/>
              </w:rPr>
            </w:pPr>
            <w:r>
              <w:rPr>
                <w:rFonts w:ascii="Arial" w:cs="Arial" w:eastAsia="Arial" w:hAnsi="Arial"/>
                <w:sz w:val="22"/>
                <w:szCs w:val="22"/>
                <w:color w:val="auto"/>
              </w:rPr>
              <w:t>Acknowledgement and Consent to Bail-In of Affected Financial Institutions</w:t>
            </w:r>
          </w:p>
        </w:tc>
        <w:tc>
          <w:tcPr>
            <w:tcW w:w="1580" w:type="dxa"/>
            <w:vAlign w:val="bottom"/>
          </w:tcPr>
          <w:p>
            <w:pPr>
              <w:jc w:val="right"/>
              <w:spacing w:after="0"/>
              <w:rPr>
                <w:sz w:val="20"/>
                <w:szCs w:val="20"/>
                <w:color w:val="auto"/>
              </w:rPr>
            </w:pPr>
            <w:r>
              <w:rPr>
                <w:rFonts w:ascii="Arial" w:cs="Arial" w:eastAsia="Arial" w:hAnsi="Arial"/>
                <w:sz w:val="22"/>
                <w:szCs w:val="22"/>
                <w:color w:val="auto"/>
              </w:rPr>
              <w:t>137</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9.20</w:t>
            </w:r>
          </w:p>
        </w:tc>
        <w:tc>
          <w:tcPr>
            <w:tcW w:w="7840" w:type="dxa"/>
            <w:vAlign w:val="bottom"/>
          </w:tcPr>
          <w:p>
            <w:pPr>
              <w:ind w:left="20"/>
              <w:spacing w:after="0"/>
              <w:rPr>
                <w:sz w:val="20"/>
                <w:szCs w:val="20"/>
                <w:color w:val="auto"/>
              </w:rPr>
            </w:pPr>
            <w:r>
              <w:rPr>
                <w:rFonts w:ascii="Arial" w:cs="Arial" w:eastAsia="Arial" w:hAnsi="Arial"/>
                <w:sz w:val="22"/>
                <w:szCs w:val="22"/>
                <w:color w:val="auto"/>
              </w:rPr>
              <w:t>Limitation of Liability of Foreign Borrowers</w:t>
            </w:r>
          </w:p>
        </w:tc>
        <w:tc>
          <w:tcPr>
            <w:tcW w:w="1580" w:type="dxa"/>
            <w:vAlign w:val="bottom"/>
          </w:tcPr>
          <w:p>
            <w:pPr>
              <w:jc w:val="right"/>
              <w:spacing w:after="0"/>
              <w:rPr>
                <w:sz w:val="20"/>
                <w:szCs w:val="20"/>
                <w:color w:val="auto"/>
              </w:rPr>
            </w:pPr>
            <w:r>
              <w:rPr>
                <w:rFonts w:ascii="Arial" w:cs="Arial" w:eastAsia="Arial" w:hAnsi="Arial"/>
                <w:sz w:val="22"/>
                <w:szCs w:val="22"/>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540"/>
          </w:cols>
          <w:pgMar w:left="340" w:top="172" w:right="1019" w:bottom="1440" w:gutter="0" w:footer="0" w:header="0"/>
        </w:sectPr>
      </w:pPr>
    </w:p>
    <w:bookmarkStart w:id="47" w:name="page48"/>
    <w:bookmarkEnd w:id="4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89"/>
              </w:rPr>
              <w:t>Section 9.21</w:t>
            </w:r>
          </w:p>
        </w:tc>
        <w:tc>
          <w:tcPr>
            <w:tcW w:w="6820" w:type="dxa"/>
            <w:vAlign w:val="bottom"/>
            <w:gridSpan w:val="2"/>
          </w:tcPr>
          <w:p>
            <w:pPr>
              <w:ind w:left="20"/>
              <w:spacing w:after="0"/>
              <w:rPr>
                <w:sz w:val="20"/>
                <w:szCs w:val="20"/>
                <w:color w:val="auto"/>
              </w:rPr>
            </w:pPr>
            <w:r>
              <w:rPr>
                <w:rFonts w:ascii="Arial" w:cs="Arial" w:eastAsia="Arial" w:hAnsi="Arial"/>
                <w:sz w:val="22"/>
                <w:szCs w:val="22"/>
                <w:color w:val="auto"/>
              </w:rPr>
              <w:t>Amendment and Restatement</w:t>
            </w:r>
          </w:p>
        </w:tc>
        <w:tc>
          <w:tcPr>
            <w:tcW w:w="260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9.22</w:t>
            </w:r>
          </w:p>
        </w:tc>
        <w:tc>
          <w:tcPr>
            <w:tcW w:w="6820" w:type="dxa"/>
            <w:vAlign w:val="bottom"/>
            <w:gridSpan w:val="2"/>
          </w:tcPr>
          <w:p>
            <w:pPr>
              <w:ind w:left="20"/>
              <w:spacing w:after="0"/>
              <w:rPr>
                <w:sz w:val="20"/>
                <w:szCs w:val="20"/>
                <w:color w:val="auto"/>
              </w:rPr>
            </w:pPr>
            <w:r>
              <w:rPr>
                <w:rFonts w:ascii="Arial" w:cs="Arial" w:eastAsia="Arial" w:hAnsi="Arial"/>
                <w:sz w:val="22"/>
                <w:szCs w:val="22"/>
                <w:color w:val="auto"/>
              </w:rPr>
              <w:t>Keepwell</w:t>
            </w:r>
          </w:p>
        </w:tc>
        <w:tc>
          <w:tcPr>
            <w:tcW w:w="260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527"/>
        </w:trPr>
        <w:tc>
          <w:tcPr>
            <w:tcW w:w="1120" w:type="dxa"/>
            <w:vAlign w:val="bottom"/>
          </w:tcPr>
          <w:p>
            <w:pPr>
              <w:spacing w:after="0"/>
              <w:rPr>
                <w:sz w:val="20"/>
                <w:szCs w:val="20"/>
                <w:color w:val="auto"/>
              </w:rPr>
            </w:pPr>
            <w:r>
              <w:rPr>
                <w:rFonts w:ascii="Arial" w:cs="Arial" w:eastAsia="Arial" w:hAnsi="Arial"/>
                <w:sz w:val="22"/>
                <w:szCs w:val="22"/>
                <w:color w:val="auto"/>
                <w:w w:val="89"/>
              </w:rPr>
              <w:t>Section 9.23</w:t>
            </w:r>
          </w:p>
        </w:tc>
        <w:tc>
          <w:tcPr>
            <w:tcW w:w="6820" w:type="dxa"/>
            <w:vAlign w:val="bottom"/>
            <w:gridSpan w:val="2"/>
          </w:tcPr>
          <w:p>
            <w:pPr>
              <w:ind w:left="20"/>
              <w:spacing w:after="0"/>
              <w:rPr>
                <w:sz w:val="20"/>
                <w:szCs w:val="20"/>
                <w:color w:val="auto"/>
              </w:rPr>
            </w:pPr>
            <w:r>
              <w:rPr>
                <w:rFonts w:ascii="Arial" w:cs="Arial" w:eastAsia="Arial" w:hAnsi="Arial"/>
                <w:sz w:val="22"/>
                <w:szCs w:val="22"/>
                <w:color w:val="auto"/>
              </w:rPr>
              <w:t>Acknowledgement Regarding Any Supported QFCs</w:t>
            </w:r>
          </w:p>
        </w:tc>
        <w:tc>
          <w:tcPr>
            <w:tcW w:w="260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527"/>
        </w:trPr>
        <w:tc>
          <w:tcPr>
            <w:tcW w:w="7940" w:type="dxa"/>
            <w:vAlign w:val="bottom"/>
            <w:gridSpan w:val="3"/>
          </w:tcPr>
          <w:p>
            <w:pPr>
              <w:spacing w:after="0"/>
              <w:rPr>
                <w:sz w:val="20"/>
                <w:szCs w:val="20"/>
                <w:color w:val="auto"/>
              </w:rPr>
            </w:pPr>
            <w:r>
              <w:rPr>
                <w:rFonts w:ascii="Arial" w:cs="Arial" w:eastAsia="Arial" w:hAnsi="Arial"/>
                <w:sz w:val="22"/>
                <w:szCs w:val="22"/>
                <w:color w:val="auto"/>
              </w:rPr>
              <w:t>Article X BORROWER GUARANTEES</w:t>
            </w:r>
          </w:p>
        </w:tc>
        <w:tc>
          <w:tcPr>
            <w:tcW w:w="260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526"/>
        </w:trPr>
        <w:tc>
          <w:tcPr>
            <w:tcW w:w="1220" w:type="dxa"/>
            <w:vAlign w:val="bottom"/>
            <w:gridSpan w:val="2"/>
          </w:tcPr>
          <w:p>
            <w:pPr>
              <w:spacing w:after="0"/>
              <w:rPr>
                <w:sz w:val="20"/>
                <w:szCs w:val="20"/>
                <w:color w:val="auto"/>
              </w:rPr>
            </w:pPr>
            <w:r>
              <w:rPr>
                <w:rFonts w:ascii="Arial" w:cs="Arial" w:eastAsia="Arial" w:hAnsi="Arial"/>
                <w:sz w:val="22"/>
                <w:szCs w:val="22"/>
                <w:color w:val="auto"/>
                <w:w w:val="89"/>
              </w:rPr>
              <w:t>Section 10.01</w:t>
            </w:r>
          </w:p>
        </w:tc>
        <w:tc>
          <w:tcPr>
            <w:tcW w:w="6720" w:type="dxa"/>
            <w:vAlign w:val="bottom"/>
          </w:tcPr>
          <w:p>
            <w:pPr>
              <w:ind w:left="20"/>
              <w:spacing w:after="0"/>
              <w:rPr>
                <w:sz w:val="20"/>
                <w:szCs w:val="20"/>
                <w:color w:val="auto"/>
              </w:rPr>
            </w:pPr>
            <w:r>
              <w:rPr>
                <w:rFonts w:ascii="Arial" w:cs="Arial" w:eastAsia="Arial" w:hAnsi="Arial"/>
                <w:sz w:val="22"/>
                <w:szCs w:val="22"/>
                <w:color w:val="auto"/>
              </w:rPr>
              <w:t>Guarantee of the Company</w:t>
            </w:r>
          </w:p>
        </w:tc>
        <w:tc>
          <w:tcPr>
            <w:tcW w:w="260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527"/>
        </w:trPr>
        <w:tc>
          <w:tcPr>
            <w:tcW w:w="1220" w:type="dxa"/>
            <w:vAlign w:val="bottom"/>
            <w:gridSpan w:val="2"/>
          </w:tcPr>
          <w:p>
            <w:pPr>
              <w:spacing w:after="0"/>
              <w:rPr>
                <w:sz w:val="20"/>
                <w:szCs w:val="20"/>
                <w:color w:val="auto"/>
              </w:rPr>
            </w:pPr>
            <w:r>
              <w:rPr>
                <w:rFonts w:ascii="Arial" w:cs="Arial" w:eastAsia="Arial" w:hAnsi="Arial"/>
                <w:sz w:val="22"/>
                <w:szCs w:val="22"/>
                <w:color w:val="auto"/>
                <w:w w:val="89"/>
              </w:rPr>
              <w:t>Section 10.02</w:t>
            </w:r>
          </w:p>
        </w:tc>
        <w:tc>
          <w:tcPr>
            <w:tcW w:w="6720" w:type="dxa"/>
            <w:vAlign w:val="bottom"/>
          </w:tcPr>
          <w:p>
            <w:pPr>
              <w:ind w:left="20"/>
              <w:spacing w:after="0"/>
              <w:rPr>
                <w:sz w:val="20"/>
                <w:szCs w:val="20"/>
                <w:color w:val="auto"/>
              </w:rPr>
            </w:pPr>
            <w:r>
              <w:rPr>
                <w:rFonts w:ascii="Arial" w:cs="Arial" w:eastAsia="Arial" w:hAnsi="Arial"/>
                <w:sz w:val="22"/>
                <w:szCs w:val="22"/>
                <w:color w:val="auto"/>
              </w:rPr>
              <w:t>Guarantee of the Foreign Borrowers</w:t>
            </w:r>
          </w:p>
        </w:tc>
        <w:tc>
          <w:tcPr>
            <w:tcW w:w="260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527"/>
        </w:trPr>
        <w:tc>
          <w:tcPr>
            <w:tcW w:w="1220" w:type="dxa"/>
            <w:vAlign w:val="bottom"/>
            <w:gridSpan w:val="2"/>
          </w:tcPr>
          <w:p>
            <w:pPr>
              <w:spacing w:after="0"/>
              <w:rPr>
                <w:sz w:val="20"/>
                <w:szCs w:val="20"/>
                <w:color w:val="auto"/>
              </w:rPr>
            </w:pPr>
            <w:r>
              <w:rPr>
                <w:rFonts w:ascii="Arial" w:cs="Arial" w:eastAsia="Arial" w:hAnsi="Arial"/>
                <w:sz w:val="22"/>
                <w:szCs w:val="22"/>
                <w:color w:val="auto"/>
                <w:w w:val="89"/>
              </w:rPr>
              <w:t>Section 10.03</w:t>
            </w:r>
          </w:p>
        </w:tc>
        <w:tc>
          <w:tcPr>
            <w:tcW w:w="6720" w:type="dxa"/>
            <w:vAlign w:val="bottom"/>
          </w:tcPr>
          <w:p>
            <w:pPr>
              <w:ind w:left="20"/>
              <w:spacing w:after="0"/>
              <w:rPr>
                <w:sz w:val="20"/>
                <w:szCs w:val="20"/>
                <w:color w:val="auto"/>
              </w:rPr>
            </w:pPr>
            <w:r>
              <w:rPr>
                <w:rFonts w:ascii="Arial" w:cs="Arial" w:eastAsia="Arial" w:hAnsi="Arial"/>
                <w:sz w:val="22"/>
                <w:szCs w:val="22"/>
                <w:color w:val="auto"/>
              </w:rPr>
              <w:t>Limitation on Foreign Guarantees</w:t>
            </w:r>
          </w:p>
        </w:tc>
        <w:tc>
          <w:tcPr>
            <w:tcW w:w="2600" w:type="dxa"/>
            <w:vAlign w:val="bottom"/>
          </w:tcPr>
          <w:p>
            <w:pPr>
              <w:jc w:val="right"/>
              <w:spacing w:after="0"/>
              <w:rPr>
                <w:sz w:val="20"/>
                <w:szCs w:val="20"/>
                <w:color w:val="auto"/>
              </w:rPr>
            </w:pPr>
            <w:r>
              <w:rPr>
                <w:rFonts w:ascii="Arial" w:cs="Arial" w:eastAsia="Arial" w:hAnsi="Arial"/>
                <w:sz w:val="22"/>
                <w:szCs w:val="22"/>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540"/>
          </w:cols>
          <w:pgMar w:left="340" w:top="1440" w:right="1019" w:bottom="1440" w:gutter="0" w:footer="0" w:header="0"/>
        </w:sectPr>
      </w:pPr>
    </w:p>
    <w:bookmarkStart w:id="48" w:name="page49"/>
    <w:bookmarkEnd w:id="48"/>
    <w:p>
      <w:pPr>
        <w:jc w:val="both"/>
        <w:ind w:firstLine="648"/>
        <w:spacing w:after="0" w:line="271" w:lineRule="auto"/>
        <w:rPr>
          <w:sz w:val="20"/>
          <w:szCs w:val="20"/>
          <w:color w:val="auto"/>
        </w:rPr>
      </w:pPr>
      <w:r>
        <w:rPr>
          <w:rFonts w:ascii="Arial" w:cs="Arial" w:eastAsia="Arial" w:hAnsi="Arial"/>
          <w:sz w:val="21"/>
          <w:szCs w:val="21"/>
          <w:color w:val="auto"/>
        </w:rPr>
        <w:t>This FIFTH AMENDED AND RESTATED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2,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among MATRIX SERVICE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other Borrowers party hereto, the Lenders party hereto, and JPMORGAN CHASE BANK, N.A., as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Company, the Canadian Borrowers, the Euro/Sterling Borrower, the Australian Borrower, the lenders party thereto and JPMorgan Chase Bank, N.A., as administrative agent, are parties to that certain Fourth Amended and Restated Credit Agreement dated as of February 8, 2017 (as amended prior to the Effective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agreements, provisions and covenants contained herein, the parties hereto agree that the Existing Credit Agreement is amended and restated in its entirety as follows:</w:t>
      </w:r>
    </w:p>
    <w:p>
      <w:pPr>
        <w:spacing w:after="0" w:line="19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2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 the purchase or other acquisition by the Company or a Subsidiary of the Equity Interests in any other Person pursuant to which such Person shall become a Subsidiary or shall be merged into, amalgamated with or consolidated with the Company or any Subsidiary or (b) the purchase or other acquisition (in one transaction or a series of transactions) of all or substantially all of the assets of any other Person (other than a Subsidiary) or division thereof constituting a business unit or ongoing business.</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EURIBOR Rate</w:t>
      </w:r>
      <w:r>
        <w:rPr>
          <w:rFonts w:ascii="Arial" w:cs="Arial" w:eastAsia="Arial" w:hAnsi="Arial"/>
          <w:sz w:val="22"/>
          <w:szCs w:val="22"/>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Eurocurrency Borrowing denominated in any Agreed Currency (other than Euros) for any Interest Period, an interest rate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017034.0209305 HOU 3973739v8</w:t>
      </w:r>
    </w:p>
    <w:p>
      <w:pPr>
        <w:sectPr>
          <w:pgSz w:w="11900" w:h="16838" w:orient="portrait"/>
          <w:cols w:equalWidth="0" w:num="1">
            <w:col w:w="11240"/>
          </w:cols>
          <w:pgMar w:left="320" w:top="1428"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22"/>
          <w:szCs w:val="22"/>
          <w:color w:val="auto"/>
        </w:rPr>
        <w:t>(rounded upwards, if necessary, to the next 1/16 of 1%) equal to (a) the LIBO Rate for such Interest Period multiplied by (b) the Statutory Reserve Rate.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JPMorgan Chase, in its capacity as administrative agent for the Lenders hereunder.</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Agent-Related Person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9.03(d)</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Currencies</w:t>
      </w:r>
      <w:r>
        <w:rPr>
          <w:rFonts w:ascii="Arial" w:cs="Arial" w:eastAsia="Arial" w:hAnsi="Arial"/>
          <w:sz w:val="22"/>
          <w:szCs w:val="22"/>
          <w:color w:val="auto"/>
        </w:rPr>
        <w:t>” means dollars and each Alternative Currency.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 hereto.</w:t>
      </w:r>
    </w:p>
    <w:p>
      <w:pPr>
        <w:spacing w:after="0" w:line="2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Accounting Principles</w:t>
      </w:r>
      <w:r>
        <w:rPr>
          <w:rFonts w:ascii="Arial" w:cs="Arial" w:eastAsia="Arial" w:hAnsi="Arial"/>
          <w:sz w:val="19"/>
          <w:szCs w:val="19"/>
          <w:color w:val="auto"/>
        </w:rPr>
        <w:t xml:space="preserve">” means generally accepted accounting principles as in effect from time to time, applied in a manner consistent with those used in preparing the financial statements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of this Agreement.</w:t>
      </w:r>
    </w:p>
    <w:p>
      <w:pPr>
        <w:spacing w:after="0" w:line="1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LIBO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the avoidance of doubt, only until the Benchmark Replacement has been determined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then the Alternate Base Rate shall be the greater of clauses (a) and (b) above and shall be determined without reference to clause (c) above. For the avoidance of doubt, if the Alternate Base Rate as determined pursuant to the foregoing would be less than 1%, such rate shall be deemed to be 1% for the purposes of this Agreement.</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means Sterling, Euros, Canadian Dollars, Australian Dollars and any additional currencies determined after the Effective Date by mutual Agreement of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0" w:name="page51"/>
    <w:bookmarkEnd w:id="50"/>
    <w:p>
      <w:pPr>
        <w:jc w:val="both"/>
        <w:ind w:right="20"/>
        <w:spacing w:after="0" w:line="253" w:lineRule="auto"/>
        <w:rPr>
          <w:sz w:val="20"/>
          <w:szCs w:val="20"/>
          <w:color w:val="auto"/>
        </w:rPr>
      </w:pPr>
      <w:r>
        <w:rPr>
          <w:rFonts w:ascii="Arial" w:cs="Arial" w:eastAsia="Arial" w:hAnsi="Arial"/>
          <w:sz w:val="22"/>
          <w:szCs w:val="22"/>
          <w:color w:val="auto"/>
        </w:rPr>
        <w:t>Borrowers, the Lenders, Issuing Banks and Administrative Agent; provided that each such currency is a lawful currency that is readily available, freely transferrable and not restricted, able to be converted into dollars and available in the London interbank deposit market.</w:t>
      </w:r>
    </w:p>
    <w:p>
      <w:pPr>
        <w:spacing w:after="0" w:line="2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Company or its Subsidiaries from time to time concerning or relating to bribery or corruption.</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means, with respect to any Loan, or with respect to the Unused Fees, the applicable per annum rate in the table set forth below based upon the Leverage Ratio for the most recently ended trailing four-quarter period with respect to which the Company is required to have delivered the financial statements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(as such Leverage Ratio is reflected in the Compliance Certificate delivered under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by the Company in connection with the financial statements for such fiscal quarter):</w:t>
      </w:r>
    </w:p>
    <w:p>
      <w:pPr>
        <w:spacing w:after="0" w:line="247" w:lineRule="exact"/>
        <w:rPr>
          <w:sz w:val="20"/>
          <w:szCs w:val="20"/>
          <w:color w:val="auto"/>
        </w:rPr>
      </w:pPr>
    </w:p>
    <w:tbl>
      <w:tblPr>
        <w:tblLayout w:type="fixed"/>
        <w:tblInd w:w="1030" w:type="dxa"/>
        <w:tblCellMar>
          <w:top w:w="0" w:type="dxa"/>
          <w:left w:w="0" w:type="dxa"/>
          <w:bottom w:w="0" w:type="dxa"/>
          <w:right w:w="0" w:type="dxa"/>
        </w:tblCellMar>
      </w:tblPr>
      <w:tr>
        <w:trPr>
          <w:trHeight w:val="216"/>
        </w:trPr>
        <w:tc>
          <w:tcPr>
            <w:tcW w:w="220" w:type="dxa"/>
            <w:vAlign w:val="bottom"/>
            <w:tcBorders>
              <w:top w:val="single" w:sz="8" w:color="auto"/>
              <w:lef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4"/>
              </w:rPr>
              <w:t>Applicable Margin for</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2"/>
              </w:rPr>
              <w:t>Applicable Margin for</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4"/>
          </w:tcPr>
          <w:p>
            <w:pPr>
              <w:jc w:val="center"/>
              <w:ind w:right="200"/>
              <w:spacing w:after="0"/>
              <w:rPr>
                <w:sz w:val="20"/>
                <w:szCs w:val="20"/>
                <w:color w:val="auto"/>
              </w:rPr>
            </w:pPr>
            <w:r>
              <w:rPr>
                <w:rFonts w:ascii="Arial" w:cs="Arial" w:eastAsia="Arial" w:hAnsi="Arial"/>
                <w:sz w:val="18"/>
                <w:szCs w:val="18"/>
                <w:color w:val="auto"/>
                <w:w w:val="96"/>
              </w:rPr>
              <w:t>Applicable</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gridSpan w:val="7"/>
          </w:tcPr>
          <w:p>
            <w:pPr>
              <w:jc w:val="center"/>
              <w:ind w:right="40"/>
              <w:spacing w:after="0" w:line="196" w:lineRule="exact"/>
              <w:rPr>
                <w:sz w:val="20"/>
                <w:szCs w:val="20"/>
                <w:color w:val="auto"/>
              </w:rPr>
            </w:pPr>
            <w:r>
              <w:rPr>
                <w:rFonts w:ascii="Arial" w:cs="Arial" w:eastAsia="Arial" w:hAnsi="Arial"/>
                <w:sz w:val="18"/>
                <w:szCs w:val="18"/>
                <w:color w:val="auto"/>
                <w:w w:val="92"/>
              </w:rPr>
              <w:t>Eurocurrency, EURIBOR</w:t>
            </w:r>
          </w:p>
        </w:tc>
        <w:tc>
          <w:tcPr>
            <w:tcW w:w="100" w:type="dxa"/>
            <w:vAlign w:val="bottom"/>
          </w:tcPr>
          <w:p>
            <w:pPr>
              <w:spacing w:after="0"/>
              <w:rPr>
                <w:sz w:val="17"/>
                <w:szCs w:val="17"/>
                <w:color w:val="auto"/>
              </w:rPr>
            </w:pPr>
          </w:p>
        </w:tc>
        <w:tc>
          <w:tcPr>
            <w:tcW w:w="1760" w:type="dxa"/>
            <w:vAlign w:val="bottom"/>
            <w:tcBorders>
              <w:right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color w:val="auto"/>
                <w:w w:val="95"/>
              </w:rPr>
              <w:t>Applicable Margin for</w:t>
            </w:r>
          </w:p>
        </w:tc>
        <w:tc>
          <w:tcPr>
            <w:tcW w:w="160" w:type="dxa"/>
            <w:vAlign w:val="bottom"/>
          </w:tcPr>
          <w:p>
            <w:pPr>
              <w:spacing w:after="0"/>
              <w:rPr>
                <w:sz w:val="17"/>
                <w:szCs w:val="17"/>
                <w:color w:val="auto"/>
              </w:rPr>
            </w:pPr>
          </w:p>
        </w:tc>
        <w:tc>
          <w:tcPr>
            <w:tcW w:w="1700" w:type="dxa"/>
            <w:vAlign w:val="bottom"/>
            <w:tcBorders>
              <w:right w:val="single" w:sz="8" w:color="auto"/>
            </w:tcBorders>
            <w:gridSpan w:val="4"/>
          </w:tcPr>
          <w:p>
            <w:pPr>
              <w:jc w:val="center"/>
              <w:ind w:right="180"/>
              <w:spacing w:after="0" w:line="196" w:lineRule="exact"/>
              <w:rPr>
                <w:sz w:val="20"/>
                <w:szCs w:val="20"/>
                <w:color w:val="auto"/>
              </w:rPr>
            </w:pPr>
            <w:r>
              <w:rPr>
                <w:rFonts w:ascii="Arial" w:cs="Arial" w:eastAsia="Arial" w:hAnsi="Arial"/>
                <w:sz w:val="18"/>
                <w:szCs w:val="18"/>
                <w:color w:val="auto"/>
                <w:w w:val="88"/>
              </w:rPr>
              <w:t>Canadian Prime Rate</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260"/>
              <w:spacing w:after="0" w:line="196" w:lineRule="exact"/>
              <w:rPr>
                <w:sz w:val="20"/>
                <w:szCs w:val="20"/>
                <w:color w:val="auto"/>
              </w:rPr>
            </w:pPr>
            <w:r>
              <w:rPr>
                <w:rFonts w:ascii="Arial" w:cs="Arial" w:eastAsia="Arial" w:hAnsi="Arial"/>
                <w:sz w:val="18"/>
                <w:szCs w:val="18"/>
                <w:color w:val="auto"/>
                <w:w w:val="98"/>
              </w:rPr>
              <w:t>Margin for</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1340" w:type="dxa"/>
            <w:vAlign w:val="bottom"/>
            <w:tcBorders>
              <w:righ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gridSpan w:val="2"/>
          </w:tcPr>
          <w:p>
            <w:pPr>
              <w:jc w:val="center"/>
              <w:ind w:right="220"/>
              <w:spacing w:after="0" w:line="196" w:lineRule="exact"/>
              <w:rPr>
                <w:sz w:val="20"/>
                <w:szCs w:val="20"/>
                <w:color w:val="auto"/>
              </w:rPr>
            </w:pPr>
            <w:r>
              <w:rPr>
                <w:rFonts w:ascii="Arial" w:cs="Arial" w:eastAsia="Arial" w:hAnsi="Arial"/>
                <w:sz w:val="18"/>
                <w:szCs w:val="18"/>
                <w:color w:val="auto"/>
                <w:w w:val="97"/>
              </w:rPr>
              <w:t>Level</w:t>
            </w:r>
          </w:p>
        </w:tc>
        <w:tc>
          <w:tcPr>
            <w:tcW w:w="1340" w:type="dxa"/>
            <w:vAlign w:val="bottom"/>
            <w:tcBorders>
              <w:right w:val="single" w:sz="8" w:color="auto"/>
            </w:tcBorders>
            <w:gridSpan w:val="3"/>
          </w:tcPr>
          <w:p>
            <w:pPr>
              <w:jc w:val="center"/>
              <w:ind w:right="40"/>
              <w:spacing w:after="0" w:line="196" w:lineRule="exact"/>
              <w:rPr>
                <w:sz w:val="20"/>
                <w:szCs w:val="20"/>
                <w:color w:val="auto"/>
              </w:rPr>
            </w:pPr>
            <w:r>
              <w:rPr>
                <w:rFonts w:ascii="Arial" w:cs="Arial" w:eastAsia="Arial" w:hAnsi="Arial"/>
                <w:sz w:val="18"/>
                <w:szCs w:val="18"/>
                <w:color w:val="auto"/>
                <w:w w:val="90"/>
              </w:rPr>
              <w:t>Leverage Ratio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0"/>
              </w:rPr>
              <w:t>and CDOR Loans</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4"/>
              </w:rPr>
              <w:t>ABR Loans</w:t>
            </w: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Loans</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color w:val="auto"/>
                <w:w w:val="85"/>
              </w:rPr>
              <w:t>Unused Fees</w:t>
            </w: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254"/>
        </w:trPr>
        <w:tc>
          <w:tcPr>
            <w:tcW w:w="22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&lt; 1.00x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1.000%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61"/>
              <w:spacing w:after="0"/>
              <w:rPr>
                <w:sz w:val="20"/>
                <w:szCs w:val="20"/>
                <w:color w:val="auto"/>
              </w:rPr>
            </w:pPr>
            <w:r>
              <w:rPr>
                <w:rFonts w:ascii="Arial" w:cs="Arial" w:eastAsia="Arial" w:hAnsi="Arial"/>
                <w:sz w:val="20"/>
                <w:szCs w:val="20"/>
                <w:color w:val="auto"/>
                <w:w w:val="88"/>
              </w:rPr>
              <w:t>2.500%</w:t>
            </w:r>
          </w:p>
        </w:tc>
        <w:tc>
          <w:tcPr>
            <w:tcW w:w="180" w:type="dxa"/>
            <w:vAlign w:val="bottom"/>
            <w:tcBorders>
              <w:right w:val="single" w:sz="8" w:color="auto"/>
            </w:tcBorders>
          </w:tcPr>
          <w:p>
            <w:pPr>
              <w:spacing w:after="0"/>
              <w:rPr>
                <w:sz w:val="22"/>
                <w:szCs w:val="22"/>
                <w:color w:val="auto"/>
              </w:rPr>
            </w:pPr>
          </w:p>
        </w:tc>
        <w:tc>
          <w:tcPr>
            <w:tcW w:w="1020" w:type="dxa"/>
            <w:vAlign w:val="bottom"/>
            <w:gridSpan w:val="3"/>
          </w:tcPr>
          <w:p>
            <w:pPr>
              <w:jc w:val="center"/>
              <w:ind w:left="161"/>
              <w:spacing w:after="0"/>
              <w:rPr>
                <w:sz w:val="20"/>
                <w:szCs w:val="20"/>
                <w:color w:val="auto"/>
              </w:rPr>
            </w:pPr>
            <w:r>
              <w:rPr>
                <w:rFonts w:ascii="Arial" w:cs="Arial" w:eastAsia="Arial" w:hAnsi="Arial"/>
                <w:sz w:val="20"/>
                <w:szCs w:val="20"/>
                <w:color w:val="auto"/>
                <w:w w:val="88"/>
              </w:rPr>
              <w:t>0.350%</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2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&lt; 1.50x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2.250%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1.250%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61"/>
              <w:spacing w:after="0"/>
              <w:rPr>
                <w:sz w:val="20"/>
                <w:szCs w:val="20"/>
                <w:color w:val="auto"/>
              </w:rPr>
            </w:pPr>
            <w:r>
              <w:rPr>
                <w:rFonts w:ascii="Arial" w:cs="Arial" w:eastAsia="Arial" w:hAnsi="Arial"/>
                <w:sz w:val="20"/>
                <w:szCs w:val="20"/>
                <w:color w:val="auto"/>
                <w:w w:val="88"/>
              </w:rPr>
              <w:t>2.750%</w:t>
            </w:r>
          </w:p>
        </w:tc>
        <w:tc>
          <w:tcPr>
            <w:tcW w:w="180" w:type="dxa"/>
            <w:vAlign w:val="bottom"/>
            <w:tcBorders>
              <w:right w:val="single" w:sz="8" w:color="auto"/>
            </w:tcBorders>
          </w:tcPr>
          <w:p>
            <w:pPr>
              <w:spacing w:after="0"/>
              <w:rPr>
                <w:sz w:val="22"/>
                <w:szCs w:val="22"/>
                <w:color w:val="auto"/>
              </w:rPr>
            </w:pPr>
          </w:p>
        </w:tc>
        <w:tc>
          <w:tcPr>
            <w:tcW w:w="1020" w:type="dxa"/>
            <w:vAlign w:val="bottom"/>
            <w:gridSpan w:val="3"/>
          </w:tcPr>
          <w:p>
            <w:pPr>
              <w:jc w:val="center"/>
              <w:ind w:left="161"/>
              <w:spacing w:after="0"/>
              <w:rPr>
                <w:sz w:val="20"/>
                <w:szCs w:val="20"/>
                <w:color w:val="auto"/>
              </w:rPr>
            </w:pPr>
            <w:r>
              <w:rPr>
                <w:rFonts w:ascii="Arial" w:cs="Arial" w:eastAsia="Arial" w:hAnsi="Arial"/>
                <w:sz w:val="20"/>
                <w:szCs w:val="20"/>
                <w:color w:val="auto"/>
                <w:w w:val="88"/>
              </w:rPr>
              <w:t>0.400%</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2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III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&lt; 2.00x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2.500%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1.500%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61"/>
              <w:spacing w:after="0"/>
              <w:rPr>
                <w:sz w:val="20"/>
                <w:szCs w:val="20"/>
                <w:color w:val="auto"/>
              </w:rPr>
            </w:pPr>
            <w:r>
              <w:rPr>
                <w:rFonts w:ascii="Arial" w:cs="Arial" w:eastAsia="Arial" w:hAnsi="Arial"/>
                <w:sz w:val="20"/>
                <w:szCs w:val="20"/>
                <w:color w:val="auto"/>
                <w:w w:val="88"/>
              </w:rPr>
              <w:t>3.000%</w:t>
            </w:r>
          </w:p>
        </w:tc>
        <w:tc>
          <w:tcPr>
            <w:tcW w:w="180" w:type="dxa"/>
            <w:vAlign w:val="bottom"/>
            <w:tcBorders>
              <w:right w:val="single" w:sz="8" w:color="auto"/>
            </w:tcBorders>
          </w:tcPr>
          <w:p>
            <w:pPr>
              <w:spacing w:after="0"/>
              <w:rPr>
                <w:sz w:val="22"/>
                <w:szCs w:val="22"/>
                <w:color w:val="auto"/>
              </w:rPr>
            </w:pPr>
          </w:p>
        </w:tc>
        <w:tc>
          <w:tcPr>
            <w:tcW w:w="1020" w:type="dxa"/>
            <w:vAlign w:val="bottom"/>
            <w:gridSpan w:val="3"/>
          </w:tcPr>
          <w:p>
            <w:pPr>
              <w:jc w:val="center"/>
              <w:ind w:left="161"/>
              <w:spacing w:after="0"/>
              <w:rPr>
                <w:sz w:val="20"/>
                <w:szCs w:val="20"/>
                <w:color w:val="auto"/>
              </w:rPr>
            </w:pPr>
            <w:r>
              <w:rPr>
                <w:rFonts w:ascii="Arial" w:cs="Arial" w:eastAsia="Arial" w:hAnsi="Arial"/>
                <w:sz w:val="20"/>
                <w:szCs w:val="20"/>
                <w:color w:val="auto"/>
                <w:w w:val="88"/>
              </w:rPr>
              <w:t>0.450%</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2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&lt; 2.50x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2.750%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1.750%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61"/>
              <w:spacing w:after="0"/>
              <w:rPr>
                <w:sz w:val="20"/>
                <w:szCs w:val="20"/>
                <w:color w:val="auto"/>
              </w:rPr>
            </w:pPr>
            <w:r>
              <w:rPr>
                <w:rFonts w:ascii="Arial" w:cs="Arial" w:eastAsia="Arial" w:hAnsi="Arial"/>
                <w:sz w:val="20"/>
                <w:szCs w:val="20"/>
                <w:color w:val="auto"/>
                <w:w w:val="88"/>
              </w:rPr>
              <w:t>3.250%</w:t>
            </w:r>
          </w:p>
        </w:tc>
        <w:tc>
          <w:tcPr>
            <w:tcW w:w="180" w:type="dxa"/>
            <w:vAlign w:val="bottom"/>
            <w:tcBorders>
              <w:right w:val="single" w:sz="8" w:color="auto"/>
            </w:tcBorders>
          </w:tcPr>
          <w:p>
            <w:pPr>
              <w:spacing w:after="0"/>
              <w:rPr>
                <w:sz w:val="22"/>
                <w:szCs w:val="22"/>
                <w:color w:val="auto"/>
              </w:rPr>
            </w:pPr>
          </w:p>
        </w:tc>
        <w:tc>
          <w:tcPr>
            <w:tcW w:w="1020" w:type="dxa"/>
            <w:vAlign w:val="bottom"/>
            <w:gridSpan w:val="3"/>
          </w:tcPr>
          <w:p>
            <w:pPr>
              <w:jc w:val="center"/>
              <w:ind w:left="161"/>
              <w:spacing w:after="0"/>
              <w:rPr>
                <w:sz w:val="20"/>
                <w:szCs w:val="20"/>
                <w:color w:val="auto"/>
              </w:rPr>
            </w:pPr>
            <w:r>
              <w:rPr>
                <w:rFonts w:ascii="Arial" w:cs="Arial" w:eastAsia="Arial" w:hAnsi="Arial"/>
                <w:sz w:val="20"/>
                <w:szCs w:val="20"/>
                <w:color w:val="auto"/>
                <w:w w:val="88"/>
              </w:rPr>
              <w:t>0.500%</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2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V</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1"/>
              </w:rPr>
              <w:t>≥ 2.50x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3.000%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401"/>
              <w:spacing w:after="0"/>
              <w:rPr>
                <w:sz w:val="20"/>
                <w:szCs w:val="20"/>
                <w:color w:val="auto"/>
              </w:rPr>
            </w:pPr>
            <w:r>
              <w:rPr>
                <w:rFonts w:ascii="Arial" w:cs="Arial" w:eastAsia="Arial" w:hAnsi="Arial"/>
                <w:sz w:val="20"/>
                <w:szCs w:val="20"/>
                <w:color w:val="auto"/>
                <w:w w:val="88"/>
              </w:rPr>
              <w:t>2.000%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61"/>
              <w:spacing w:after="0"/>
              <w:rPr>
                <w:sz w:val="20"/>
                <w:szCs w:val="20"/>
                <w:color w:val="auto"/>
              </w:rPr>
            </w:pPr>
            <w:r>
              <w:rPr>
                <w:rFonts w:ascii="Arial" w:cs="Arial" w:eastAsia="Arial" w:hAnsi="Arial"/>
                <w:sz w:val="20"/>
                <w:szCs w:val="20"/>
                <w:color w:val="auto"/>
                <w:w w:val="88"/>
              </w:rPr>
              <w:t>3.500%</w:t>
            </w:r>
          </w:p>
        </w:tc>
        <w:tc>
          <w:tcPr>
            <w:tcW w:w="180" w:type="dxa"/>
            <w:vAlign w:val="bottom"/>
            <w:tcBorders>
              <w:right w:val="single" w:sz="8" w:color="auto"/>
            </w:tcBorders>
          </w:tcPr>
          <w:p>
            <w:pPr>
              <w:spacing w:after="0"/>
              <w:rPr>
                <w:sz w:val="22"/>
                <w:szCs w:val="22"/>
                <w:color w:val="auto"/>
              </w:rPr>
            </w:pPr>
          </w:p>
        </w:tc>
        <w:tc>
          <w:tcPr>
            <w:tcW w:w="1020" w:type="dxa"/>
            <w:vAlign w:val="bottom"/>
            <w:gridSpan w:val="3"/>
          </w:tcPr>
          <w:p>
            <w:pPr>
              <w:jc w:val="center"/>
              <w:ind w:left="161"/>
              <w:spacing w:after="0"/>
              <w:rPr>
                <w:sz w:val="20"/>
                <w:szCs w:val="20"/>
                <w:color w:val="auto"/>
              </w:rPr>
            </w:pPr>
            <w:r>
              <w:rPr>
                <w:rFonts w:ascii="Arial" w:cs="Arial" w:eastAsia="Arial" w:hAnsi="Arial"/>
                <w:sz w:val="20"/>
                <w:szCs w:val="20"/>
                <w:color w:val="auto"/>
                <w:w w:val="88"/>
              </w:rPr>
              <w:t>0.500%</w:t>
            </w:r>
          </w:p>
        </w:tc>
        <w:tc>
          <w:tcPr>
            <w:tcW w:w="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Each change in the Applicable Margin shall take effect on each date on which such financial statements and Compliance Certificate are delivered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commencing with the date on which such financial statements and Compliance Certificate are delivered for the four-quarter period ended September 30, 2020. Notwithstanding the foregoing, for the period from the Effective Date through the date on which the financial statements and Compliance Certificate are delivered for the fiscal quarter ended September 30, 2020,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1" w:name="page52"/>
    <w:bookmarkEnd w:id="51"/>
    <w:p>
      <w:pPr>
        <w:jc w:val="both"/>
        <w:spacing w:after="0" w:line="285" w:lineRule="auto"/>
        <w:rPr>
          <w:sz w:val="20"/>
          <w:szCs w:val="20"/>
          <w:color w:val="auto"/>
        </w:rPr>
      </w:pPr>
      <w:r>
        <w:rPr>
          <w:rFonts w:ascii="Arial" w:cs="Arial" w:eastAsia="Arial" w:hAnsi="Arial"/>
          <w:sz w:val="19"/>
          <w:szCs w:val="19"/>
          <w:color w:val="auto"/>
        </w:rPr>
        <w:t xml:space="preserve">Applicable Margin shall be determined at Level I. In the event that any financial statement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is shown to be inaccurate when delivered (regardless of whether this Agreement or the Revolving Commitments are in effect when such inaccuracy is discovered), and such inaccuracy, if corrected, would have led to the application of a higher Applicable Margin for any period (an “Applicable Period”) than the Applicable Margin applied for such Applicable Period, then the Company shall (a) deliver to the Administrative Agent corrected financial statements for such Applicable Period promptly after completion, (b) determine the Applicable Margin for such Applicable Period based upon such corrected financial statements and</w:t>
      </w:r>
    </w:p>
    <w:p>
      <w:pPr>
        <w:jc w:val="both"/>
        <w:ind w:firstLine="8"/>
        <w:spacing w:after="0" w:line="287" w:lineRule="auto"/>
        <w:tabs>
          <w:tab w:leader="none" w:pos="29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promptly pay to the Administrative Agent the accrued additional interest and Unused Fees owing as a result of such increased Applicable Margin for such Applicable Period, which payment shall be promptly applied by the Administrative Agent in accordance with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provision in the previous sentence is in addition to the rights of the Administrative Agent and the Lenders with respect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their other respective rights under this Agreement. If the Company fails to deliver the financial statements and corresponding Compliance Certificate to the Administrative Agent at the time required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then effective as of the date such financial statements and corresponding Compliance Certificate were required to be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the Applicable Margin shall be determined at Level V and shall remain at such level until the date such financial statements and corresponding Compliance Certificate are so delivered by the Company.</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with respect to any Lender, the percentage of the aggregate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8.03(a)</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(including electronic records generated by the use of an electronic platform) approved by the Administrative Agent.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Australian Borrower</w:t>
      </w:r>
      <w:r>
        <w:rPr>
          <w:rFonts w:ascii="Arial" w:cs="Arial" w:eastAsia="Arial" w:hAnsi="Arial"/>
          <w:sz w:val="21"/>
          <w:szCs w:val="21"/>
          <w:color w:val="auto"/>
        </w:rPr>
        <w:t>” means Matrix Applied Technologies Pty Ltd (ACN 089 397 982), an Australian corporation.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Dollars</w:t>
      </w:r>
      <w:r>
        <w:rPr>
          <w:rFonts w:ascii="Arial" w:cs="Arial" w:eastAsia="Arial" w:hAnsi="Arial"/>
          <w:sz w:val="22"/>
          <w:szCs w:val="22"/>
          <w:color w:val="auto"/>
        </w:rPr>
        <w:t>” or “</w:t>
      </w:r>
      <w:r>
        <w:rPr>
          <w:rFonts w:ascii="Arial" w:cs="Arial" w:eastAsia="Arial" w:hAnsi="Arial"/>
          <w:sz w:val="22"/>
          <w:szCs w:val="22"/>
          <w:u w:val="single" w:color="auto"/>
          <w:color w:val="auto"/>
        </w:rPr>
        <w:t>A$</w:t>
      </w:r>
      <w:r>
        <w:rPr>
          <w:rFonts w:ascii="Arial" w:cs="Arial" w:eastAsia="Arial" w:hAnsi="Arial"/>
          <w:sz w:val="22"/>
          <w:szCs w:val="22"/>
          <w:color w:val="auto"/>
        </w:rPr>
        <w:t>” means the lawful currency of Australia.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Foreign Bank</w:t>
      </w:r>
      <w:r>
        <w:rPr>
          <w:rFonts w:ascii="Arial" w:cs="Arial" w:eastAsia="Arial" w:hAnsi="Arial"/>
          <w:sz w:val="22"/>
          <w:szCs w:val="22"/>
          <w:color w:val="auto"/>
        </w:rPr>
        <w:t>” means an “authorized foreign bank” as defined for the purposes of the ITA.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2" w:name="page53"/>
    <w:bookmarkEnd w:id="52"/>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Officer</w:t>
      </w:r>
      <w:r>
        <w:rPr>
          <w:rFonts w:ascii="Arial" w:cs="Arial" w:eastAsia="Arial" w:hAnsi="Arial"/>
          <w:sz w:val="21"/>
          <w:szCs w:val="21"/>
          <w:color w:val="auto"/>
        </w:rPr>
        <w:t xml:space="preserve">” means (a) as to the Company, the President or any Vice President or any other officer of the Company who is designated as an authorized officer in the certificate delivered pursuant to </w:t>
      </w:r>
      <w:r>
        <w:rPr>
          <w:rFonts w:ascii="Arial" w:cs="Arial" w:eastAsia="Arial" w:hAnsi="Arial"/>
          <w:sz w:val="21"/>
          <w:szCs w:val="21"/>
          <w:u w:val="single" w:color="auto"/>
          <w:color w:val="auto"/>
        </w:rPr>
        <w:t>Section 4.01(b)(ii)</w:t>
      </w:r>
      <w:r>
        <w:rPr>
          <w:rFonts w:ascii="Arial" w:cs="Arial" w:eastAsia="Arial" w:hAnsi="Arial"/>
          <w:sz w:val="21"/>
          <w:szCs w:val="21"/>
          <w:color w:val="auto"/>
        </w:rPr>
        <w:t xml:space="preserve"> or who is otherwise designated as such in a written certificate delivered by the Company to the Administrative Agent, and (b) as to any other Credit Party, the President or any Vice President of such Credit Party or any other officer of such Credit Party who is designated as an authorized officer in the certificate delivered pursuant to </w:t>
      </w:r>
      <w:r>
        <w:rPr>
          <w:rFonts w:ascii="Arial" w:cs="Arial" w:eastAsia="Arial" w:hAnsi="Arial"/>
          <w:sz w:val="21"/>
          <w:szCs w:val="21"/>
          <w:u w:val="single" w:color="auto"/>
          <w:color w:val="auto"/>
        </w:rPr>
        <w:t>Section 4.01(b)(ii)</w:t>
      </w:r>
      <w:r>
        <w:rPr>
          <w:rFonts w:ascii="Arial" w:cs="Arial" w:eastAsia="Arial" w:hAnsi="Arial"/>
          <w:sz w:val="21"/>
          <w:szCs w:val="21"/>
          <w:color w:val="auto"/>
        </w:rPr>
        <w:t xml:space="preserve"> or who is otherwise designated as such in a written certificate delivered by such Credit Party to the Administrative Agent.</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Termination Date and the date of termination of the Revolving Commitments.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53" w:name="page54"/>
    <w:bookmarkEnd w:id="53"/>
    <w:p>
      <w:pPr>
        <w:jc w:val="both"/>
        <w:ind w:right="20"/>
        <w:spacing w:after="0" w:line="312" w:lineRule="auto"/>
        <w:rPr>
          <w:sz w:val="20"/>
          <w:szCs w:val="20"/>
          <w:color w:val="auto"/>
        </w:rPr>
      </w:pPr>
      <w:r>
        <w:rPr>
          <w:rFonts w:ascii="Arial" w:cs="Arial" w:eastAsia="Arial" w:hAnsi="Arial"/>
          <w:sz w:val="19"/>
          <w:szCs w:val="19"/>
          <w:color w:val="auto"/>
        </w:rPr>
        <w:t>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Relevant Rate; provided that if a Benchmark Transition Event, a Term SOFR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 provided that, in the case of any Loan denominated in an Alternative Currency, the “Benchmark Replacement” shall mean the alternative set forth in (3) below:</w:t>
      </w:r>
    </w:p>
    <w:p>
      <w:pPr>
        <w:spacing w:after="0" w:line="160" w:lineRule="exact"/>
        <w:rPr>
          <w:sz w:val="20"/>
          <w:szCs w:val="20"/>
          <w:color w:val="auto"/>
        </w:rPr>
      </w:pPr>
    </w:p>
    <w:p>
      <w:pPr>
        <w:ind w:left="3060" w:hanging="460"/>
        <w:spacing w:after="0"/>
        <w:tabs>
          <w:tab w:leader="none" w:pos="30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sum of: (a) Term SOFR and (b) the related Benchmark Replacement Adjustment;</w:t>
      </w:r>
    </w:p>
    <w:p>
      <w:pPr>
        <w:spacing w:after="0" w:line="271" w:lineRule="exact"/>
        <w:rPr>
          <w:rFonts w:ascii="Arial" w:cs="Arial" w:eastAsia="Arial" w:hAnsi="Arial"/>
          <w:sz w:val="21"/>
          <w:szCs w:val="21"/>
          <w:color w:val="auto"/>
        </w:rPr>
      </w:pPr>
    </w:p>
    <w:p>
      <w:pPr>
        <w:ind w:left="3060" w:hanging="460"/>
        <w:spacing w:after="0"/>
        <w:tabs>
          <w:tab w:leader="none" w:pos="3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sum of: (a) Daily Simple SOFR and (b) the related Benchmark Replacement Adjustment;</w:t>
      </w:r>
    </w:p>
    <w:p>
      <w:pPr>
        <w:spacing w:after="0" w:line="281" w:lineRule="exact"/>
        <w:rPr>
          <w:rFonts w:ascii="Arial" w:cs="Arial" w:eastAsia="Arial" w:hAnsi="Arial"/>
          <w:sz w:val="19"/>
          <w:szCs w:val="19"/>
          <w:color w:val="auto"/>
        </w:rPr>
      </w:pPr>
    </w:p>
    <w:p>
      <w:pPr>
        <w:jc w:val="both"/>
        <w:ind w:left="1960" w:firstLine="640"/>
        <w:spacing w:after="0" w:line="292" w:lineRule="auto"/>
        <w:tabs>
          <w:tab w:leader="none" w:pos="3193"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4" w:name="page55"/>
    <w:bookmarkEnd w:id="54"/>
    <w:p>
      <w:pPr>
        <w:spacing w:after="0" w:line="231" w:lineRule="exact"/>
        <w:rPr>
          <w:sz w:val="20"/>
          <w:szCs w:val="20"/>
          <w:color w:val="auto"/>
        </w:rPr>
      </w:pPr>
    </w:p>
    <w:p>
      <w:pPr>
        <w:ind w:right="380" w:firstLine="648"/>
        <w:spacing w:after="0" w:line="343"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212" w:lineRule="exact"/>
        <w:rPr>
          <w:sz w:val="20"/>
          <w:szCs w:val="20"/>
          <w:color w:val="auto"/>
        </w:rPr>
      </w:pPr>
    </w:p>
    <w:p>
      <w:pPr>
        <w:ind w:left="1960" w:firstLine="640"/>
        <w:spacing w:after="0" w:line="287" w:lineRule="auto"/>
        <w:tabs>
          <w:tab w:leader="none" w:pos="3148" w:val="left"/>
        </w:tabs>
        <w:numPr>
          <w:ilvl w:val="0"/>
          <w:numId w:val="35"/>
        </w:numPr>
        <w:rPr>
          <w:rFonts w:ascii="Arial" w:cs="Arial" w:eastAsia="Arial" w:hAnsi="Arial"/>
          <w:sz w:val="21"/>
          <w:szCs w:val="21"/>
          <w:color w:val="auto"/>
        </w:rPr>
      </w:pPr>
      <w:r>
        <w:rPr>
          <w:rFonts w:ascii="Arial" w:cs="Arial" w:eastAsia="Arial" w:hAnsi="Arial"/>
          <w:sz w:val="21"/>
          <w:szCs w:val="21"/>
          <w:color w:val="auto"/>
        </w:rPr>
        <w:t>for purposes of clauses (1) and (2) of the definition of “Benchmark Replacement,” the first alternative set forth in the order below that can be determined by the Administrative Agent:</w:t>
      </w:r>
    </w:p>
    <w:p>
      <w:pPr>
        <w:spacing w:after="0" w:line="191" w:lineRule="exact"/>
        <w:rPr>
          <w:rFonts w:ascii="Arial" w:cs="Arial" w:eastAsia="Arial" w:hAnsi="Arial"/>
          <w:sz w:val="21"/>
          <w:szCs w:val="21"/>
          <w:color w:val="auto"/>
        </w:rPr>
      </w:pPr>
    </w:p>
    <w:p>
      <w:pPr>
        <w:jc w:val="both"/>
        <w:ind w:left="2600" w:firstLine="648"/>
        <w:spacing w:after="0" w:line="297" w:lineRule="auto"/>
        <w:tabs>
          <w:tab w:leader="none" w:pos="3884"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3" w:lineRule="exact"/>
        <w:rPr>
          <w:rFonts w:ascii="Arial" w:cs="Arial" w:eastAsia="Arial" w:hAnsi="Arial"/>
          <w:sz w:val="19"/>
          <w:szCs w:val="19"/>
          <w:color w:val="auto"/>
        </w:rPr>
      </w:pPr>
    </w:p>
    <w:p>
      <w:pPr>
        <w:jc w:val="both"/>
        <w:ind w:left="2600" w:firstLine="648"/>
        <w:spacing w:after="0" w:line="248" w:lineRule="auto"/>
        <w:tabs>
          <w:tab w:leader="none" w:pos="3896"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18" w:lineRule="exact"/>
        <w:rPr>
          <w:rFonts w:ascii="Arial" w:cs="Arial" w:eastAsia="Arial" w:hAnsi="Arial"/>
          <w:sz w:val="22"/>
          <w:szCs w:val="22"/>
          <w:color w:val="auto"/>
        </w:rPr>
      </w:pPr>
    </w:p>
    <w:p>
      <w:pPr>
        <w:jc w:val="both"/>
        <w:ind w:left="1960" w:firstLine="640"/>
        <w:spacing w:after="0" w:line="288" w:lineRule="auto"/>
        <w:tabs>
          <w:tab w:leader="none" w:pos="3292"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42" w:lineRule="exact"/>
        <w:rPr>
          <w:sz w:val="20"/>
          <w:szCs w:val="20"/>
          <w:color w:val="auto"/>
        </w:rPr>
      </w:pPr>
    </w:p>
    <w:p>
      <w:pPr>
        <w:ind w:left="3100" w:hanging="500"/>
        <w:spacing w:after="0"/>
        <w:tabs>
          <w:tab w:leader="none" w:pos="31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 the case of clause (1) or (2) of the definition of “Benchmark Transition Event,” the later of</w:t>
      </w:r>
    </w:p>
    <w:p>
      <w:pPr>
        <w:spacing w:after="0" w:line="55" w:lineRule="exact"/>
        <w:rPr>
          <w:rFonts w:ascii="Arial" w:cs="Arial" w:eastAsia="Arial" w:hAnsi="Arial"/>
          <w:sz w:val="19"/>
          <w:szCs w:val="19"/>
          <w:color w:val="auto"/>
        </w:rPr>
      </w:pPr>
    </w:p>
    <w:p>
      <w:pPr>
        <w:jc w:val="both"/>
        <w:ind w:left="1960" w:right="20" w:hanging="8"/>
        <w:spacing w:after="0" w:line="244" w:lineRule="auto"/>
        <w:tabs>
          <w:tab w:leader="none" w:pos="227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22" w:lineRule="exact"/>
        <w:rPr>
          <w:rFonts w:ascii="Arial" w:cs="Arial" w:eastAsia="Arial" w:hAnsi="Arial"/>
          <w:sz w:val="22"/>
          <w:szCs w:val="22"/>
          <w:color w:val="auto"/>
        </w:rPr>
      </w:pPr>
    </w:p>
    <w:p>
      <w:pPr>
        <w:ind w:left="1960" w:right="20" w:firstLine="640"/>
        <w:spacing w:after="0" w:line="263" w:lineRule="auto"/>
        <w:tabs>
          <w:tab w:leader="none" w:pos="3149" w:val="left"/>
        </w:tabs>
        <w:numPr>
          <w:ilvl w:val="1"/>
          <w:numId w:val="37"/>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 or</w:t>
      </w:r>
    </w:p>
    <w:p>
      <w:pPr>
        <w:spacing w:after="0" w:line="201" w:lineRule="exact"/>
        <w:rPr>
          <w:rFonts w:ascii="Arial" w:cs="Arial" w:eastAsia="Arial" w:hAnsi="Arial"/>
          <w:sz w:val="22"/>
          <w:szCs w:val="22"/>
          <w:color w:val="auto"/>
        </w:rPr>
      </w:pPr>
    </w:p>
    <w:p>
      <w:pPr>
        <w:ind w:left="1960" w:firstLine="640"/>
        <w:spacing w:after="0" w:line="343" w:lineRule="auto"/>
        <w:tabs>
          <w:tab w:leader="none" w:pos="3111"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in the case of a Term SOFR Transition Event, the date that is thirty (30) days after the date a Term SOFR Notice is provided to the Lenders and the Borrower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or</w:t>
      </w:r>
    </w:p>
    <w:p>
      <w:pPr>
        <w:spacing w:after="0" w:line="131" w:lineRule="exact"/>
        <w:rPr>
          <w:rFonts w:ascii="Arial" w:cs="Arial" w:eastAsia="Arial" w:hAnsi="Arial"/>
          <w:sz w:val="19"/>
          <w:szCs w:val="19"/>
          <w:color w:val="auto"/>
        </w:rPr>
      </w:pPr>
    </w:p>
    <w:p>
      <w:pPr>
        <w:jc w:val="both"/>
        <w:ind w:left="1960" w:firstLine="640"/>
        <w:spacing w:after="0" w:line="250" w:lineRule="auto"/>
        <w:tabs>
          <w:tab w:leader="none" w:pos="3132" w:val="left"/>
        </w:tabs>
        <w:numPr>
          <w:ilvl w:val="1"/>
          <w:numId w:val="37"/>
        </w:numPr>
        <w:rPr>
          <w:rFonts w:ascii="Arial" w:cs="Arial" w:eastAsia="Arial" w:hAnsi="Arial"/>
          <w:sz w:val="22"/>
          <w:szCs w:val="22"/>
          <w:color w:val="auto"/>
        </w:rPr>
      </w:pPr>
      <w:r>
        <w:rPr>
          <w:rFonts w:ascii="Arial" w:cs="Arial" w:eastAsia="Arial" w:hAnsi="Arial"/>
          <w:sz w:val="22"/>
          <w:szCs w:val="22"/>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56" w:name="page57"/>
    <w:bookmarkEnd w:id="56"/>
    <w:p>
      <w:pPr>
        <w:ind w:left="1960" w:right="20"/>
        <w:spacing w:after="0" w:line="263" w:lineRule="auto"/>
        <w:rPr>
          <w:sz w:val="20"/>
          <w:szCs w:val="20"/>
          <w:color w:val="auto"/>
        </w:rPr>
      </w:pPr>
      <w:r>
        <w:rPr>
          <w:rFonts w:ascii="Arial" w:cs="Arial" w:eastAsia="Arial" w:hAnsi="Arial"/>
          <w:sz w:val="22"/>
          <w:szCs w:val="22"/>
          <w:color w:val="auto"/>
        </w:rPr>
        <w:t>Lenders, written notice of objection to such Early Opt-in Election from Lenders comprising the Required Lenders.</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the then-current Benchmark:</w:t>
      </w:r>
    </w:p>
    <w:p>
      <w:pPr>
        <w:spacing w:after="0" w:line="202" w:lineRule="exact"/>
        <w:rPr>
          <w:sz w:val="20"/>
          <w:szCs w:val="20"/>
          <w:color w:val="auto"/>
        </w:rPr>
      </w:pPr>
    </w:p>
    <w:p>
      <w:pPr>
        <w:jc w:val="both"/>
        <w:ind w:left="1960" w:firstLine="640"/>
        <w:spacing w:after="0" w:line="247" w:lineRule="auto"/>
        <w:tabs>
          <w:tab w:leader="none" w:pos="3121"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33" w:lineRule="exact"/>
        <w:rPr>
          <w:rFonts w:ascii="Arial" w:cs="Arial" w:eastAsia="Arial" w:hAnsi="Arial"/>
          <w:sz w:val="22"/>
          <w:szCs w:val="22"/>
          <w:color w:val="auto"/>
        </w:rPr>
      </w:pPr>
    </w:p>
    <w:p>
      <w:pPr>
        <w:jc w:val="both"/>
        <w:ind w:left="1960" w:firstLine="640"/>
        <w:spacing w:after="0" w:line="258" w:lineRule="auto"/>
        <w:tabs>
          <w:tab w:leader="none" w:pos="3305"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12" w:lineRule="exact"/>
        <w:rPr>
          <w:rFonts w:ascii="Arial" w:cs="Arial" w:eastAsia="Arial" w:hAnsi="Arial"/>
          <w:sz w:val="21"/>
          <w:szCs w:val="21"/>
          <w:color w:val="auto"/>
        </w:rPr>
      </w:pPr>
    </w:p>
    <w:p>
      <w:pPr>
        <w:jc w:val="both"/>
        <w:ind w:left="1960" w:firstLine="640"/>
        <w:spacing w:after="0" w:line="312" w:lineRule="auto"/>
        <w:tabs>
          <w:tab w:leader="none" w:pos="33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 of America.</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Bonding Obligations</w:t>
      </w:r>
      <w:r>
        <w:rPr>
          <w:rFonts w:ascii="Arial" w:cs="Arial" w:eastAsia="Arial" w:hAnsi="Arial"/>
          <w:sz w:val="20"/>
          <w:szCs w:val="20"/>
          <w:color w:val="auto"/>
        </w:rPr>
        <w:t xml:space="preserve">” </w:t>
      </w:r>
      <w:r>
        <w:rPr>
          <w:rFonts w:ascii="Arial" w:cs="Arial" w:eastAsia="Arial" w:hAnsi="Arial"/>
          <w:sz w:val="21"/>
          <w:szCs w:val="21"/>
          <w:color w:val="auto"/>
        </w:rPr>
        <w:t>means any and all obligations of the Company or any of its Subsidiaries to any Person to secure or</w:t>
      </w:r>
      <w:r>
        <w:rPr>
          <w:rFonts w:ascii="Arial" w:cs="Arial" w:eastAsia="Arial" w:hAnsi="Arial"/>
          <w:sz w:val="20"/>
          <w:szCs w:val="20"/>
          <w:color w:val="auto"/>
        </w:rPr>
        <w:t xml:space="preserve"> </w:t>
      </w:r>
      <w:r>
        <w:rPr>
          <w:rFonts w:ascii="Arial" w:cs="Arial" w:eastAsia="Arial" w:hAnsi="Arial"/>
          <w:sz w:val="21"/>
          <w:szCs w:val="21"/>
          <w:color w:val="auto"/>
        </w:rPr>
        <w:t>assure the performance of any bid, contract, lease or statutory obligation, or otherwise constituting a bid, performance, return-of-money, surety, appeal or payment bond, contract or like undertaking, in each case, entered into by the Company or such Subsidiary in the ordinary course of business.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individually or collectively, the Company, the Canadian Borrowers, the Euro/Sterling Borrower and the Australian Borrower.</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Revolving Loans of the same Type, made, converted or continued on the same date and, in the case of CDOR Loans, Eurocurrency Loans or EURIBOR Loans, as to which a single Interest Period is in effect, or (b) a Swingline Loan.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(a) in the case of a Borrowing denominated in U.S. Dollars, $500,000, (b) in the case of a Borrowing denominated in Canadian Dollars,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8" w:name="page59"/>
    <w:bookmarkEnd w:id="58"/>
    <w:p>
      <w:pPr>
        <w:jc w:val="both"/>
        <w:ind w:right="20"/>
        <w:spacing w:after="0" w:line="287" w:lineRule="auto"/>
        <w:rPr>
          <w:sz w:val="20"/>
          <w:szCs w:val="20"/>
          <w:color w:val="auto"/>
        </w:rPr>
      </w:pPr>
      <w:r>
        <w:rPr>
          <w:rFonts w:ascii="Arial" w:cs="Arial" w:eastAsia="Arial" w:hAnsi="Arial"/>
          <w:sz w:val="21"/>
          <w:szCs w:val="21"/>
          <w:color w:val="auto"/>
        </w:rPr>
        <w:t>Cdn$500,000, (c) in the case of a Borrowing denominated in Euros, €500,000, (d) in the case of a Borrowing denominated in Sterling, £500,000 and (e) in the case of a Borrowing denominated in Australian Dollars, A$500,000.</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Multiple</w:t>
      </w:r>
      <w:r>
        <w:rPr>
          <w:rFonts w:ascii="Arial" w:cs="Arial" w:eastAsia="Arial" w:hAnsi="Arial"/>
          <w:sz w:val="21"/>
          <w:szCs w:val="21"/>
          <w:color w:val="auto"/>
        </w:rPr>
        <w:t>” means (a) in the case of a Borrowing denominated in U.S. Dollars, $100,000, (b) in the case of a Borrowing denominated in Canadian Dollars, Cdn$100,000 and (c) in the case of a Borrowing denominated in any other Foreign Currency, the smallest amount of such Foreign Currency that is an integral multiple of 100,000 units of such currency and that has an Equivalent Amount in U.S. Dollars in excess of $100,000.</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Company for a Revolving Borrowing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when used in connection with a Eurocurrency Loan, the term “</w:t>
      </w:r>
      <w:r>
        <w:rPr>
          <w:rFonts w:ascii="Arial" w:cs="Arial" w:eastAsia="Arial" w:hAnsi="Arial"/>
          <w:sz w:val="19"/>
          <w:szCs w:val="19"/>
          <w:u w:val="single" w:color="auto"/>
          <w:color w:val="auto"/>
        </w:rPr>
        <w:t>Business Day</w:t>
      </w:r>
      <w:r>
        <w:rPr>
          <w:rFonts w:ascii="Arial" w:cs="Arial" w:eastAsia="Arial" w:hAnsi="Arial"/>
          <w:sz w:val="19"/>
          <w:szCs w:val="19"/>
          <w:color w:val="auto"/>
        </w:rPr>
        <w:t>” shall also exclude any day on which banks are not open for dealings in deposits in the applicable currency in the London interbank market or the principal financial center of the country in which payment or purchase of such currency can be made, (b) when used in connection with a CDOR or Canadian Prime Rate Loan, the term “Business Day” shall also exclude any day on which commercial banks in Toronto are authorized or required by law to remain closed and (c) when used in connection with a EURIBOR Loan, the term “Business Day” shall also exclude any day that is not a TARGET Day.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Benefit Plans</w:t>
      </w:r>
      <w:r>
        <w:rPr>
          <w:rFonts w:ascii="Arial" w:cs="Arial" w:eastAsia="Arial" w:hAnsi="Arial"/>
          <w:sz w:val="21"/>
          <w:szCs w:val="21"/>
          <w:color w:val="auto"/>
        </w:rPr>
        <w:t>” means all material employee benefit plans or arrangements subject to the application of any Canadian benefit plan statutes or regulations that are maintained or contributed to by the Company or any of its Subsidiaries that are not Canadian Pension Plans, including all profit sharing, savings, supplemental retirement, retiring allowance, severance, pension, deferred compensation, welfare, bonus, incentive compensation, phantom stock, legal services, supplementary unemployment benefit plans or arrangements and all life, health, dental and disability plans and arrangements in which the employees or former employees of the Company or any of its Subsidiaries participate or are eligible to participate but excluding all stock option or stock purchase plans.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Borrowers</w:t>
      </w:r>
      <w:r>
        <w:rPr>
          <w:rFonts w:ascii="Arial" w:cs="Arial" w:eastAsia="Arial" w:hAnsi="Arial"/>
          <w:sz w:val="22"/>
          <w:szCs w:val="22"/>
          <w:color w:val="auto"/>
        </w:rPr>
        <w:t>” means, individually or collectively, Matrix Service Canada ULC, an Alberta unlimited liability corporation, Matrix SME Canada ULC, a Nova Scotia unlimited liability company, and Matrix North American Construction Ltd., an Ontario corporation.</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Dealer Offered Rate</w:t>
      </w:r>
      <w:r>
        <w:rPr>
          <w:rFonts w:ascii="Arial" w:cs="Arial" w:eastAsia="Arial" w:hAnsi="Arial"/>
          <w:sz w:val="22"/>
          <w:szCs w:val="22"/>
          <w:color w:val="auto"/>
        </w:rPr>
        <w:t xml:space="preserve">” means, with respect to any Borrowing denominated in Canadian Dollars for any Interest Period, (a) the applicable Screen Rate at or about 10:00 a.m. Toronto time on the Quotation Day or (b) if no Screen Rate is available for such Interest Period, the applicable Interpolated Rate as of such time on the Quotation Day, or if applicable pursuant to </w:t>
      </w:r>
      <w:r>
        <w:rPr>
          <w:rFonts w:ascii="Arial" w:cs="Arial" w:eastAsia="Arial" w:hAnsi="Arial"/>
          <w:sz w:val="22"/>
          <w:szCs w:val="22"/>
          <w:u w:val="single" w:color="auto"/>
          <w:color w:val="auto"/>
        </w:rPr>
        <w:t>Section 2.14(a)</w:t>
      </w:r>
      <w:r>
        <w:rPr>
          <w:rFonts w:ascii="Arial" w:cs="Arial" w:eastAsia="Arial" w:hAnsi="Arial"/>
          <w:sz w:val="22"/>
          <w:szCs w:val="22"/>
          <w:color w:val="auto"/>
        </w:rPr>
        <w:t>, the applicable Reference Bank Rate as of such time on the Quotation Day, plus, in each case, 0.10%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or “</w:t>
      </w:r>
      <w:r>
        <w:rPr>
          <w:rFonts w:ascii="Arial" w:cs="Arial" w:eastAsia="Arial" w:hAnsi="Arial"/>
          <w:sz w:val="22"/>
          <w:szCs w:val="22"/>
          <w:u w:val="single" w:color="auto"/>
          <w:color w:val="auto"/>
        </w:rPr>
        <w:t>Cdn$</w:t>
      </w:r>
      <w:r>
        <w:rPr>
          <w:rFonts w:ascii="Arial" w:cs="Arial" w:eastAsia="Arial" w:hAnsi="Arial"/>
          <w:sz w:val="22"/>
          <w:szCs w:val="22"/>
          <w:color w:val="auto"/>
        </w:rPr>
        <w:t>” means the lawful currency of Canada.</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Pension Plan</w:t>
      </w:r>
      <w:r>
        <w:rPr>
          <w:rFonts w:ascii="Arial" w:cs="Arial" w:eastAsia="Arial" w:hAnsi="Arial"/>
          <w:sz w:val="21"/>
          <w:szCs w:val="21"/>
          <w:color w:val="auto"/>
        </w:rPr>
        <w:t>” means all plans or arrangements which are considered to be pension plans under, and are subject to the application of, any applicable pension benefits standards statute or regulation in Canada established, maintained or contributed to by the Company or any of its Subsidiaries for its employees or former employees.</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Prime Rate</w:t>
      </w:r>
      <w:r>
        <w:rPr>
          <w:rFonts w:ascii="Arial" w:cs="Arial" w:eastAsia="Arial" w:hAnsi="Arial"/>
          <w:sz w:val="19"/>
          <w:szCs w:val="19"/>
          <w:color w:val="auto"/>
        </w:rPr>
        <w:t xml:space="preserve">” means, on any day, the rate determined by the Administrative Agent to be the higher of (a)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(b) the average rate for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of the above rates shall be less than zero, such rate shall be deemed to be zero for purposes of this Agreement. Any change in the Canadian Prime Rate due to a change in the PRIMCAN Index or the CDOR Rate shall be effective from and including the effective date of such change in the PRIMCAN Index or CDOR Rate, respectively.</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without duplication, any expenditures for any purchase or other acquisition of any asset which would be classified as a fixed or capital asset on a consolidated balance sheet of the Company and its Subsidiaries prepared in accordance with Agreement Accounting Principles excluding (a) the cost of assets acquired with Capital Lease Obligations, (b) expenditures of insurance proceeds to rebuild or replace any asset after a casualty loss and (c) leasehold improvement expenditures for which the Company or a Subsidiary is reimbursed promptly by the lessor.</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xml:space="preserve">” means any agreement to provide cash management services, including treasury, depository, overdraft, credit or debit card, electronic funds transfer, automated clearinghouse and other cash management arrangements made or entered into at any time, or in effect at any time, whether directly or indirectly, and whether as a result of assignment or transfer or otherwise, between the Company or any Subsidiary and any Lender or Affiliate of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Person ceases to be a Lender or an Affiliate of a Lender, such agreement shall no longer be a “Cash Management Agreement”.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60" w:name="page61"/>
    <w:bookmarkEnd w:id="60"/>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CDOR</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Canadian Dealer Offered Rate.</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by any Person or group (within the meaning of Rule 13d-5 of the SEC under the Securities Exchange Act of 1934) of beneficial ownership (within the meaning of Rule 13d-3 of the SEC under the Securities Exchange Act of 1934) of more than 35% of the outstanding shares of voting stock of the Company or (b) occupation of a majority of the seats (excluding vacant seats) on the board of directors of the Company by Persons who were neither (i) nominated or approved by the board of directors of the Company nor (ii) appointed by directors so nominated or approved.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of any request, rule, guideline or directive (whether or not having the force of law) of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Revolving Loans or Swingline Loans.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shall mean any and all assets and rights and interests in or to property of the Company and each of the other Credit Parties in which a Lien is granted or purported to be granted pursuant to the Collateral Documents.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means, collectively, the Security Agreements, Mortgages and the Subsidiary Guaranties and each other agreement or writing pursuant to which any Credit Party pledges or grants a security interest in any property or assets securing the Obligations, or guarantees the payment and/or performance of the Obligations, in each case, as ratified, amended, restated, supplemented or otherwise modified from time to time.</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5.01(c)</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Computation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1.05(b)</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of branch profits Taxes.</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with reference to any period, Consolidated Net Income for such period (a) plus, to the extent deducted in calculating Consolidated Net Income for such period, (i) Consolidated Interest Expense, (ii) expense for income taxes paid or accrued, (iii) depreciation, amortization and other non-cash charges (including but not limited to non-cash compensation expense recorded in accordance with ASC 718), (iv) losses on sales of fixed assets, (v) losses arising from the early extinguishment of Indebtedness, and (vi) extraordinary losses incurred other than in the ordinary course of business,</w:t>
      </w:r>
    </w:p>
    <w:p>
      <w:pPr>
        <w:spacing w:after="0" w:line="3" w:lineRule="exact"/>
        <w:rPr>
          <w:sz w:val="20"/>
          <w:szCs w:val="20"/>
          <w:color w:val="auto"/>
        </w:rPr>
      </w:pPr>
    </w:p>
    <w:p>
      <w:pPr>
        <w:jc w:val="both"/>
        <w:ind w:firstLine="8"/>
        <w:spacing w:after="0" w:line="285" w:lineRule="auto"/>
        <w:tabs>
          <w:tab w:leader="none" w:pos="319" w:val="left"/>
        </w:tabs>
        <w:numPr>
          <w:ilvl w:val="0"/>
          <w:numId w:val="39"/>
        </w:numPr>
        <w:rPr>
          <w:rFonts w:ascii="Arial" w:cs="Arial" w:eastAsia="Arial" w:hAnsi="Arial"/>
          <w:sz w:val="19"/>
          <w:szCs w:val="19"/>
          <w:color w:val="auto"/>
        </w:rPr>
      </w:pPr>
      <w:r>
        <w:rPr>
          <w:rFonts w:ascii="Arial" w:cs="Arial" w:eastAsia="Arial" w:hAnsi="Arial"/>
          <w:sz w:val="19"/>
          <w:szCs w:val="19"/>
          <w:color w:val="auto"/>
        </w:rPr>
        <w:t>minus, to the extent included in Consolidated Net Income, (i) gains on sales of fixed assets, (ii) gains arising from the early extinguishment of Indebtedness, and (iii) extraordinary gains realized other than in the ordinary course of business, all calculated for the Company and its Subsidiaries on a consolidated basis without duplication and (c) minus, to the extent included in calculating Consolidated Net Income for such period, the non-cash portion (as to the Company or the applicable Subsidiary) of any income that is generated by a Joint Venture for such period. Notwithstanding the foregoing, with respect to any rolling four quarter period during which a Permitted Acquisition has occurred, for purposes of determining compliance with the Leverage Ratio or Fixed Charge Coverage Ratio, Consolidated EBITDA shall be calculated pro forma (without duplication) as if the acquired Person or business had been owned during the entire four quarter period, on the basis of (x) the historical financial statements of any Person or business so acquired, and (y) the assumption that the consolidated financial statements of the Company and its Subsidiaries have been reformulated as if such Permitted Acquisition, and any Indebtedness incurred or repaid in connection therewith, had been consummated or incurred or repaid at the beginning of the relevant four quarter period (and assuming that such Indebtedness bears interest during any portion of the applicable measurement period prior to the relevant Acquisition at the weighted average of the interest rates applicable to such Indebtedness) outstanding during such period.</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for the Company and its Subsidiaries on a consolidated basis, the sum of the following (without duplication): (a) all Indebtedness for borrowed money, (b) all Indebtedness for the deferred purchase price of property or services, (c) all Indebtedness evidenced by a note, acceptance or other like instrument, (d) all Capital Lease Obligations, and (e) the aggregate undrawn and available amount of all outstanding letters of credit except those issued to insurance providers based on expected losses on worker’s compensation obligations. For the avoidance of doubt, Indebtedness in respect of Bonding Obligations shall not be considered Consolidated Funded Indebtedness for purposes of this Agreement.</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reference to any applicable fiscal quarter or fiscal year period, the interest expense of the Company and its Subsidiaries calculated on a consolidated basis for such applicable period.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62" w:name="page63"/>
    <w:bookmarkEnd w:id="6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with reference to any period, the net income (or loss) of the Company and its Subsidiaries calculated on a consolidated basis for such period.</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Group</w:t>
      </w:r>
      <w:r>
        <w:rPr>
          <w:rFonts w:ascii="Arial" w:cs="Arial" w:eastAsia="Arial" w:hAnsi="Arial"/>
          <w:sz w:val="22"/>
          <w:szCs w:val="22"/>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4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258" w:lineRule="exact"/>
        <w:rPr>
          <w:rFonts w:ascii="Arial" w:cs="Arial" w:eastAsia="Arial" w:hAnsi="Arial"/>
          <w:sz w:val="21"/>
          <w:szCs w:val="21"/>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9.24</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the Borrowers and the Subsidiary Guarantors.</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63" w:name="page64"/>
    <w:bookmarkEnd w:id="63"/>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any Lender that (a) has failed, within two Business Days of the date required to be funded or paid, to (i) fund any portion of its Loans, (ii) fund any portion of its participations in Letters of Credit or Swingline Loans or (iii) pay over to Administrative Agent, the Issuing Banks, the Swingline Lender or any other Lender, any other amount required to be paid by it hereunder, unless, in the case of clause (i) above, such Lender notifies the Administrative Agent and the Company in writing that such failure is the result of such Lender’s determination that a condition precedent to funding (specifically identified and including the particular default, if any) has not been satisfied, (b) has notified the Company, the Administrative Agent, the Issuing Banks, the Swingline Lender or any Lender in writing that it does not intend to comply with any of its funding obligations under this Agreement or has made a public statement to the effect that it does not intend to comply with its funding obligations under this Agreement (unless such writing or public statement relates to such Lender’s obligation to fund a Loan hereunder and indicates that such position is based on such Lender’s determination that a condition precedent (specifically identified and including the particular default, if any) to funding a loan under this Agreement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Company), (d) has, or has a direct or indirect parent company that has,</w:t>
      </w:r>
    </w:p>
    <w:p>
      <w:pPr>
        <w:spacing w:after="0" w:line="10" w:lineRule="exact"/>
        <w:rPr>
          <w:sz w:val="20"/>
          <w:szCs w:val="20"/>
          <w:color w:val="auto"/>
        </w:rPr>
      </w:pPr>
    </w:p>
    <w:p>
      <w:pPr>
        <w:jc w:val="both"/>
        <w:ind w:firstLine="8"/>
        <w:spacing w:after="0" w:line="285" w:lineRule="auto"/>
        <w:tabs>
          <w:tab w:leader="none" w:pos="269"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upon delivery of written notice of such determination to the Company, the Issuing Bank, the Swingline Lender and each Lender.</w:t>
      </w:r>
    </w:p>
    <w:p>
      <w:pPr>
        <w:spacing w:after="0" w:line="200" w:lineRule="exact"/>
        <w:rPr>
          <w:sz w:val="20"/>
          <w:szCs w:val="20"/>
          <w:color w:val="auto"/>
        </w:rPr>
      </w:pP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means and includes, in respect of any corporation, partnership, limited liability company, association or other business entity: (a) dividends or other distributions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21"/>
          <w:szCs w:val="21"/>
          <w:color w:val="auto"/>
        </w:rPr>
        <w:t>payments on capital stock or other Equity Interests in such corporation, partnership, limited liability company, association or other business entity (except distributions in such stock or other Equity Interest); and (b) the redemption, repurchase, retirement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incorporated or organized under the laws of the United States or its territories or possessions, excluding (a) any such Subsidiary all or substantially all of the assets of which are Equity Interests (or Equity Interests and debt interests) in a Foreign Subsidiary (or Foreign Subsidiaries) and (b) any such Subsidiary that is owned by a Foreign Subsidiary.</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DTTP Filing</w:t>
      </w:r>
      <w:r>
        <w:rPr>
          <w:rFonts w:ascii="Arial" w:cs="Arial" w:eastAsia="Arial" w:hAnsi="Arial"/>
          <w:sz w:val="22"/>
          <w:szCs w:val="22"/>
          <w:color w:val="auto"/>
        </w:rPr>
        <w:t>” means an HM Revenue &amp; Customs’ Form DTTP2, duly completed and filed by each U.K. Borrower within the applicable time limit, which contains the scheme reference number and jurisdiction of tax residence provided by the Lender in writing to the Company and the Administrative Agent.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w:t>
      </w:r>
    </w:p>
    <w:p>
      <w:pPr>
        <w:spacing w:after="0" w:line="260" w:lineRule="exact"/>
        <w:rPr>
          <w:sz w:val="20"/>
          <w:szCs w:val="20"/>
          <w:color w:val="auto"/>
        </w:rPr>
      </w:pPr>
    </w:p>
    <w:p>
      <w:pPr>
        <w:ind w:left="1120" w:hanging="464"/>
        <w:spacing w:after="0"/>
        <w:tabs>
          <w:tab w:leader="none" w:pos="11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case of Loans denominated in dollars, the occurrence of:</w:t>
      </w:r>
    </w:p>
    <w:p>
      <w:pPr>
        <w:spacing w:after="0" w:line="246" w:lineRule="exact"/>
        <w:rPr>
          <w:rFonts w:ascii="Arial" w:cs="Arial" w:eastAsia="Arial" w:hAnsi="Arial"/>
          <w:sz w:val="22"/>
          <w:szCs w:val="22"/>
          <w:color w:val="auto"/>
        </w:rPr>
      </w:pPr>
    </w:p>
    <w:p>
      <w:pPr>
        <w:jc w:val="both"/>
        <w:ind w:left="660" w:firstLine="644"/>
        <w:spacing w:after="0" w:line="248" w:lineRule="auto"/>
        <w:tabs>
          <w:tab w:leader="none" w:pos="1794"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Company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18" w:lineRule="exact"/>
        <w:rPr>
          <w:rFonts w:ascii="Arial" w:cs="Arial" w:eastAsia="Arial" w:hAnsi="Arial"/>
          <w:sz w:val="22"/>
          <w:szCs w:val="22"/>
          <w:color w:val="auto"/>
        </w:rPr>
      </w:pPr>
    </w:p>
    <w:p>
      <w:pPr>
        <w:ind w:left="660" w:firstLine="644"/>
        <w:spacing w:after="0" w:line="263" w:lineRule="auto"/>
        <w:tabs>
          <w:tab w:leader="none" w:pos="1776"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Company to trigger a fallback from LIBO Rate and the provision by the Administrative Agent of written notice of such election to the Lenders; and</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case of Loans denominated in an Alternative Currency, the occurrence of:</w:t>
      </w:r>
    </w:p>
    <w:p>
      <w:pPr>
        <w:spacing w:after="0" w:line="246" w:lineRule="exact"/>
        <w:rPr>
          <w:rFonts w:ascii="Arial" w:cs="Arial" w:eastAsia="Arial" w:hAnsi="Arial"/>
          <w:sz w:val="22"/>
          <w:szCs w:val="22"/>
          <w:color w:val="auto"/>
        </w:rPr>
      </w:pPr>
    </w:p>
    <w:p>
      <w:pPr>
        <w:jc w:val="both"/>
        <w:ind w:left="660" w:firstLine="644"/>
        <w:spacing w:after="0" w:line="248" w:lineRule="auto"/>
        <w:tabs>
          <w:tab w:leader="none" w:pos="1949"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(i) a determination by the Administrative Agent or (ii) a notification by the Required Lenders to the Administrative Agent (with a copy to the Company) that the Required Lenders have determined that syndicated credit facilities denominated in the applicable Alternative Currency being executed at such time, or that include language similar to that contained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are being executed or amended, as applicable, to incorporate or adopt a new benchmark interest rate to replace the Relevant Rate, and</w:t>
      </w:r>
    </w:p>
    <w:p>
      <w:pPr>
        <w:spacing w:after="0" w:line="232" w:lineRule="exact"/>
        <w:rPr>
          <w:rFonts w:ascii="Arial" w:cs="Arial" w:eastAsia="Arial" w:hAnsi="Arial"/>
          <w:sz w:val="22"/>
          <w:szCs w:val="22"/>
          <w:color w:val="auto"/>
        </w:rPr>
      </w:pPr>
    </w:p>
    <w:p>
      <w:pPr>
        <w:ind w:left="660" w:right="20" w:firstLine="644"/>
        <w:spacing w:after="0" w:line="263" w:lineRule="auto"/>
        <w:tabs>
          <w:tab w:leader="none" w:pos="1894" w:val="left"/>
        </w:tabs>
        <w:numPr>
          <w:ilvl w:val="1"/>
          <w:numId w:val="42"/>
        </w:numPr>
        <w:rPr>
          <w:rFonts w:ascii="Arial" w:cs="Arial" w:eastAsia="Arial" w:hAnsi="Arial"/>
          <w:sz w:val="22"/>
          <w:szCs w:val="22"/>
          <w:color w:val="auto"/>
        </w:rPr>
      </w:pPr>
      <w:r>
        <w:rPr>
          <w:rFonts w:ascii="Arial" w:cs="Arial" w:eastAsia="Arial" w:hAnsi="Arial"/>
          <w:sz w:val="22"/>
          <w:szCs w:val="22"/>
          <w:color w:val="auto"/>
        </w:rPr>
        <w:t>(i) the election by the Administrative Agent or (ii) the election by the Required Lenders to declare that an Early Opt-in Election has occurred and the provision,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5" w:name="page66"/>
    <w:bookmarkEnd w:id="65"/>
    <w:p>
      <w:pPr>
        <w:ind w:left="660" w:right="20"/>
        <w:spacing w:after="0" w:line="263" w:lineRule="auto"/>
        <w:rPr>
          <w:sz w:val="20"/>
          <w:szCs w:val="20"/>
          <w:color w:val="auto"/>
        </w:rPr>
      </w:pPr>
      <w:r>
        <w:rPr>
          <w:rFonts w:ascii="Arial" w:cs="Arial" w:eastAsia="Arial" w:hAnsi="Arial"/>
          <w:sz w:val="22"/>
          <w:szCs w:val="22"/>
          <w:color w:val="auto"/>
        </w:rPr>
        <w:t>as applicable, by the Administrative Agent of written notice of such election to the Borrower and the Lenders or by the Required Lenders of written notice of such election to the Administrative Agent.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8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administration of any EEA Financial Institution.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 hereto.</w:t>
      </w:r>
    </w:p>
    <w:p>
      <w:pPr>
        <w:spacing w:after="0" w:line="24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in council, orders, decrees, judgments, injunctions, notices or binding agreements issued, promulgated or entered into by any Governmental Authority, relating in any way to the environment, preservation or reclamation of natural resources, or the management, presence, release or threatened release of any Hazardous Material.</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66" w:name="page67"/>
    <w:bookmarkEnd w:id="66"/>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Equivalent Amount</w:t>
      </w:r>
      <w:r>
        <w:rPr>
          <w:rFonts w:ascii="Arial" w:cs="Arial" w:eastAsia="Arial" w:hAnsi="Arial"/>
          <w:sz w:val="22"/>
          <w:szCs w:val="22"/>
          <w:color w:val="auto"/>
        </w:rPr>
        <w:t>” means, on any date of determination, with respect to obligations or valuations denominated in one currency (the “first currency”), the amount of another currency (the “second currency”) which would result from the conversion of the relevant amount of the first currency into the second currency at the 12:00 noon rate quoted by Bloomberg on www.bloomberg.com/markets/currencies/fxc.html (Page BOFC or such other Page as may replace such Page for the purpose of displaying such exchange rates) on such date or, if such date is not a Business Day, on the Business Day immediately preceding such date of determination, or at such other rate as may have been agreed in writing between the Company and Administrative Agent.</w:t>
      </w:r>
    </w:p>
    <w:p>
      <w:pPr>
        <w:spacing w:after="0" w:line="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the existence with respect to any Plan of an “accumulated funding deficiency” (as defined in Section 412 of the Code or Section 302 of ERISA), whether or not waived, failure by the Company or an ERISA Affiliate to make its “minimum required contributions” (within the meaning of Section 303 of ERISA) to a Plan, or the existence of a “funding shortfall” (within the meaning of Section 303 of ERISA) with respect to a Plan; (c) the filing pursuant to Section 412(d) of the Code or Section 303(d) of ERISA of an application for a waiver of the minimum funding standard with respect to any Plan; (d) the incurrence by the Company or any ERISA Affiliate of any liability under Title IV of ERISA with respect to the termination of any Plan; (e) the receipt by the Company or an ERISA Affiliate from the PBGC or a plan administrator of any notice relating to an intention to terminate any Plan or Plans or to appoint a trustee to administer any Plan; (f) the incurrence by the Company or an ERISA Affiliates of any liability with respect to the withdrawal or partial withdrawal of the Borrowers or any ERISA Affiliate from any Plan or Multiemployer Plan; (g) the receipt by the Company or an ERISA Affiliate of any notice, or the receipt by any Multiemployer Plan from the Company or an ERISA Affiliate of any notice, concerning the imposition of Withdrawal Liability or a determination that a Multiemployer Plan is, or is expected to be, “at-risk” (within the meaning of Section 303 of ERISA), in “endangered” or “critical” status (within the meaning of Section 305 of ERISA), or “insolvent” or in “reorganization” within the meaning of Title IV of ERISA; or (h) any other event, condition, course of action or inaction, or circumstance with respect to any employee benefit plan as defined in Section 3(3) or ERISA of which the Company or an ERISA Affiliate is an “employer” which has established or maintained such plan, or is otherwise the employer in relation to it as described and defined in Section 3(5) of ERISA, which materially reduces, limits, prevents or ceases compliance of such employee benefit plan with ERISA, the Code or other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67" w:name="page68"/>
    <w:bookmarkEnd w:id="6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Interpolated Rate</w:t>
      </w:r>
      <w:r>
        <w:rPr>
          <w:rFonts w:ascii="Arial" w:cs="Arial" w:eastAsia="Arial" w:hAnsi="Arial"/>
          <w:sz w:val="19"/>
          <w:szCs w:val="19"/>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w:t>
      </w:r>
    </w:p>
    <w:p>
      <w:pPr>
        <w:spacing w:after="0" w:line="3" w:lineRule="exact"/>
        <w:rPr>
          <w:sz w:val="20"/>
          <w:szCs w:val="20"/>
          <w:color w:val="auto"/>
        </w:rPr>
      </w:pPr>
    </w:p>
    <w:p>
      <w:pPr>
        <w:jc w:val="both"/>
        <w:ind w:right="20" w:firstLine="8"/>
        <w:spacing w:after="0" w:line="262" w:lineRule="auto"/>
        <w:tabs>
          <w:tab w:leader="none" w:pos="313"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EURIBOR Screen Rate for the shortest period (for which the EURIBOR Screen Rate is available for Euros) that exceeds the Impacted EURIBOR Rate Interest Period, in each case, at such time; provided that, if any EURIBOR Interpolated Rate shall be less than zero, such rate shall be deemed to be zero for the purposes of this Agreement.</w:t>
      </w:r>
    </w:p>
    <w:p>
      <w:pPr>
        <w:spacing w:after="0" w:line="2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Rate</w:t>
      </w:r>
      <w:r>
        <w:rPr>
          <w:rFonts w:ascii="Arial" w:cs="Arial" w:eastAsia="Arial" w:hAnsi="Arial"/>
          <w:sz w:val="22"/>
          <w:szCs w:val="22"/>
          <w:color w:val="auto"/>
        </w:rPr>
        <w:t>” means, with respect to any Eurocurrency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22"/>
          <w:szCs w:val="22"/>
          <w:u w:val="single" w:color="auto"/>
          <w:color w:val="auto"/>
        </w:rPr>
        <w:t>Impacted EURIBOR Rate Interest Period</w:t>
      </w:r>
      <w:r>
        <w:rPr>
          <w:rFonts w:ascii="Arial" w:cs="Arial" w:eastAsia="Arial" w:hAnsi="Arial"/>
          <w:sz w:val="22"/>
          <w:szCs w:val="22"/>
          <w:color w:val="auto"/>
        </w:rPr>
        <w:t>”) with respect to Euros then the EURIBOR Rate shall be the EURIBOR Interpolated Rate; provided that, if any EURIBOR Rate shall be less than zero, such rate shall be deemed to be zero for the purposes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EURIBOR Rate.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Euro/Sterling Borrower</w:t>
      </w:r>
      <w:r>
        <w:rPr>
          <w:rFonts w:ascii="Arial" w:cs="Arial" w:eastAsia="Arial" w:hAnsi="Arial"/>
          <w:sz w:val="22"/>
          <w:szCs w:val="22"/>
          <w:color w:val="auto"/>
        </w:rPr>
        <w:t>” means Matrix International Holding Company Limited, a private company formed under the laws of England and Wales.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 or the Adjusted EURIBOR Rate.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single currency of the participating member states of the European Union.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Swap Obligation</w:t>
      </w:r>
      <w:r>
        <w:rPr>
          <w:rFonts w:ascii="Arial" w:cs="Arial" w:eastAsia="Arial" w:hAnsi="Arial"/>
          <w:sz w:val="22"/>
          <w:szCs w:val="22"/>
          <w:color w:val="auto"/>
        </w:rPr>
        <w:t>” means, with respect to any Credit Party, any Swap Obligation if, and to the extent that, all or a portion of such Credit Party’s Guarantee of, joint and several liability for, or grant of a Lien to secure, such Swap Obligation (or any Guarantee thereof or joint and several liability therefor) is or becomes illegal under the Commodity Exchange Act or any rule, regulation or order of the Commodity Futures Trading Commission (or the application or official interpretation of any thereof) by virtue of such Credit Party’s failure for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68" w:name="page69"/>
    <w:bookmarkEnd w:id="68"/>
    <w:p>
      <w:pPr>
        <w:jc w:val="both"/>
        <w:spacing w:after="0" w:line="248" w:lineRule="auto"/>
        <w:rPr>
          <w:sz w:val="20"/>
          <w:szCs w:val="20"/>
          <w:color w:val="auto"/>
        </w:rPr>
      </w:pPr>
      <w:r>
        <w:rPr>
          <w:rFonts w:ascii="Arial" w:cs="Arial" w:eastAsia="Arial" w:hAnsi="Arial"/>
          <w:sz w:val="22"/>
          <w:szCs w:val="22"/>
          <w:color w:val="auto"/>
        </w:rPr>
        <w:t>any reason to constitute an “eligible contract participant” as defined in the Commodity Exchange Act and the regulations thereunder at the time the Guarantee or joint and several liability of such Credit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joint and several liability or Lien is or becomes illegal.</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and United Kingdom withholding Taxes (excluding (x) the portion of United Kingdom withholding taxes with respect to which the applicable Lender is entitled to claim a reduction under an income tax treaty and (y) United Kingdom withholding Taxes on payments made by any </w:t>
      </w:r>
      <w:r>
        <w:rPr>
          <w:rFonts w:ascii="Arial" w:cs="Arial" w:eastAsia="Arial" w:hAnsi="Arial"/>
          <w:sz w:val="17"/>
          <w:szCs w:val="17"/>
          <w:color w:val="auto"/>
        </w:rPr>
        <w:t>Subsidiary</w:t>
      </w:r>
      <w:r>
        <w:rPr>
          <w:rFonts w:ascii="Arial" w:cs="Arial" w:eastAsia="Arial" w:hAnsi="Arial"/>
          <w:sz w:val="19"/>
          <w:szCs w:val="19"/>
          <w:color w:val="auto"/>
        </w:rPr>
        <w:t xml:space="preserve"> Guarantor under any Guarantee)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Borrowers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and (d) any U.S. Federal withholding Taxes imposed under FATCA.</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set forth in the recitals hereto.</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the letters of credit described on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Security Agreements</w:t>
      </w:r>
      <w:r>
        <w:rPr>
          <w:rFonts w:ascii="Arial" w:cs="Arial" w:eastAsia="Arial" w:hAnsi="Arial"/>
          <w:sz w:val="22"/>
          <w:szCs w:val="22"/>
          <w:color w:val="auto"/>
        </w:rPr>
        <w:t xml:space="preserve">” means those certain Pledge and Security Agreements or similar agreements described on </w:t>
      </w:r>
      <w:r>
        <w:rPr>
          <w:rFonts w:ascii="Arial" w:cs="Arial" w:eastAsia="Arial" w:hAnsi="Arial"/>
          <w:sz w:val="22"/>
          <w:szCs w:val="22"/>
          <w:u w:val="single" w:color="auto"/>
          <w:color w:val="auto"/>
        </w:rPr>
        <w:t>Exhibit C</w:t>
      </w:r>
      <w:r>
        <w:rPr>
          <w:rFonts w:ascii="Arial" w:cs="Arial" w:eastAsia="Arial" w:hAnsi="Arial"/>
          <w:sz w:val="22"/>
          <w:szCs w:val="22"/>
          <w:color w:val="auto"/>
        </w:rPr>
        <w:t>, as they may be ratified, amended or modified and in effect from time to time.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69" w:name="page70"/>
    <w:bookmarkEnd w:id="69"/>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be zero for purposes of this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Board</w:t>
      </w:r>
      <w:r>
        <w:rPr>
          <w:rFonts w:ascii="Arial" w:cs="Arial" w:eastAsia="Arial" w:hAnsi="Arial"/>
          <w:sz w:val="21"/>
          <w:szCs w:val="21"/>
          <w:color w:val="auto"/>
        </w:rPr>
        <w:t>” means the Board of Governors of the Federal Reserve System of the United States.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28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means, as of the last day of any fiscal quarter, the ratio determined as follows (with all calculations to be made for the Company and its Subsidiaries in accordance with GAAP on a consolidated basis):</w:t>
      </w:r>
    </w:p>
    <w:p>
      <w:pPr>
        <w:spacing w:after="0" w:line="145"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i w:val="1"/>
          <w:iCs w:val="1"/>
          <w:color w:val="auto"/>
        </w:rPr>
        <w:t>Numerator</w:t>
      </w:r>
      <w:r>
        <w:rPr>
          <w:rFonts w:ascii="Arial" w:cs="Arial" w:eastAsia="Arial" w:hAnsi="Arial"/>
          <w:sz w:val="19"/>
          <w:szCs w:val="19"/>
          <w:color w:val="auto"/>
        </w:rPr>
        <w:t>: Consolidated EBITDA for the previous four fiscal quarters ending on such day less all Capital Expenditures</w:t>
      </w:r>
      <w:r>
        <w:rPr>
          <w:rFonts w:ascii="Arial" w:cs="Arial" w:eastAsia="Arial" w:hAnsi="Arial"/>
          <w:sz w:val="19"/>
          <w:szCs w:val="19"/>
          <w:i w:val="1"/>
          <w:iCs w:val="1"/>
          <w:color w:val="auto"/>
        </w:rPr>
        <w:t xml:space="preserve"> </w:t>
      </w:r>
      <w:r>
        <w:rPr>
          <w:rFonts w:ascii="Arial" w:cs="Arial" w:eastAsia="Arial" w:hAnsi="Arial"/>
          <w:sz w:val="19"/>
          <w:szCs w:val="19"/>
          <w:color w:val="auto"/>
        </w:rPr>
        <w:t>and Distributions (not including (a) Distributions made pursuant to and in accordance with stock incentive plans, employee stock purchase plans or other benefit plans for management or employees of the Company and its Subsidiaries or (b) solely to the extent no Loans are outstanding as of the last day of the fiscal quarter for which the calculation is being determined, Distributions made for the purpose of repurchasing Equity Interests as permitted by Section 6.06(e) hereof (such Distributions, the “</w:t>
      </w:r>
      <w:r>
        <w:rPr>
          <w:rFonts w:ascii="Arial" w:cs="Arial" w:eastAsia="Arial" w:hAnsi="Arial"/>
          <w:sz w:val="19"/>
          <w:szCs w:val="19"/>
          <w:u w:val="single" w:color="auto"/>
          <w:color w:val="auto"/>
        </w:rPr>
        <w:t>Subject Distributions</w:t>
      </w:r>
      <w:r>
        <w:rPr>
          <w:rFonts w:ascii="Arial" w:cs="Arial" w:eastAsia="Arial" w:hAnsi="Arial"/>
          <w:sz w:val="19"/>
          <w:szCs w:val="19"/>
          <w:color w:val="auto"/>
        </w:rPr>
        <w:t xml:space="preserve">”)) by the Company during the same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each of the fiscal quarters ending September 30, 2020, December 31, 2020, March 31, 2021 and June 30, 2021, to the extent Loans are outstanding as of the last day of the fiscal quarter for which the calculation is being determined, the amount of Subject Distributions included in the numerator shall be equal to the amount of Subject Distributions made during the previous four quarter period in excess of $7,500,000;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for all fiscal quarters ending after June 30, 2021, to the extent Loans are outstanding as of the last day of the fiscal quarter for which the calculation is being determined, the actual amount of all Distributions made during the previous four quarter period shall be included in the numerator except to the extent specifically excluded pursuant to clause (a) above.</w:t>
      </w:r>
    </w:p>
    <w:p>
      <w:pPr>
        <w:spacing w:after="0" w:line="193"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i w:val="1"/>
          <w:iCs w:val="1"/>
          <w:color w:val="auto"/>
        </w:rPr>
        <w:t>Denominator</w:t>
      </w:r>
      <w:r>
        <w:rPr>
          <w:rFonts w:ascii="Arial" w:cs="Arial" w:eastAsia="Arial" w:hAnsi="Arial"/>
          <w:sz w:val="19"/>
          <w:szCs w:val="19"/>
          <w:color w:val="auto"/>
        </w:rPr>
        <w:t>: (i) net cash taxes paid for the previous four fiscal quarters ending on such day, (ii) PLUS scheduled current</w:t>
      </w:r>
      <w:r>
        <w:rPr>
          <w:rFonts w:ascii="Arial" w:cs="Arial" w:eastAsia="Arial" w:hAnsi="Arial"/>
          <w:sz w:val="19"/>
          <w:szCs w:val="19"/>
          <w:i w:val="1"/>
          <w:iCs w:val="1"/>
          <w:color w:val="auto"/>
        </w:rPr>
        <w:t xml:space="preserve"> </w:t>
      </w:r>
      <w:r>
        <w:rPr>
          <w:rFonts w:ascii="Arial" w:cs="Arial" w:eastAsia="Arial" w:hAnsi="Arial"/>
          <w:sz w:val="19"/>
          <w:szCs w:val="19"/>
          <w:color w:val="auto"/>
        </w:rPr>
        <w:t>maturities of any Indebtedness for the next four fiscal quarters (excluding the maturity of the Revolving Loans on the Termination Date), (iii) PLUS Consolidated Interest Expense for the previous four fiscal quarters ending on such day (excluding amounts included in Consolidated Interest Expense for amortization of deferred financing fees).</w:t>
      </w:r>
    </w:p>
    <w:p>
      <w:pPr>
        <w:spacing w:after="0" w:line="16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means, collectively, (a) the National Flood Insurance Act of 1968 as now or hereafter in effect or any successor statute thereto, (b) the Flood Disaster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70" w:name="page71"/>
    <w:bookmarkEnd w:id="70"/>
    <w:p>
      <w:pPr>
        <w:jc w:val="both"/>
        <w:spacing w:after="0" w:line="239" w:lineRule="auto"/>
        <w:rPr>
          <w:sz w:val="20"/>
          <w:szCs w:val="20"/>
          <w:color w:val="auto"/>
        </w:rPr>
      </w:pPr>
      <w:r>
        <w:rPr>
          <w:rFonts w:ascii="Arial" w:cs="Arial" w:eastAsia="Arial" w:hAnsi="Arial"/>
          <w:sz w:val="22"/>
          <w:szCs w:val="22"/>
          <w:color w:val="auto"/>
        </w:rPr>
        <w:t xml:space="preserve">Protection Act of 1973 as now or hereafter in effect or any successor statute thereto, (c) the National Flood Insurance Reform Act of 1994 as now or hereafter in effect or any successor statute thereto, (d) the Flood Insurance Reform Act of 2004 as now or hereafter </w:t>
      </w:r>
      <w:r>
        <w:rPr>
          <w:rFonts w:ascii="Arial" w:cs="Arial" w:eastAsia="Arial" w:hAnsi="Arial"/>
          <w:sz w:val="19"/>
          <w:szCs w:val="19"/>
          <w:color w:val="auto"/>
        </w:rPr>
        <w:t>in effect or any successor statute thereto, and (e) the Biggert-Waters Flood Insurance Reform Act of 2012 as now or hereafter in</w:t>
      </w:r>
      <w:r>
        <w:rPr>
          <w:rFonts w:ascii="Arial" w:cs="Arial" w:eastAsia="Arial" w:hAnsi="Arial"/>
          <w:sz w:val="22"/>
          <w:szCs w:val="22"/>
          <w:color w:val="auto"/>
        </w:rPr>
        <w:t xml:space="preserve"> </w:t>
      </w:r>
      <w:r>
        <w:rPr>
          <w:rFonts w:ascii="Arial" w:cs="Arial" w:eastAsia="Arial" w:hAnsi="Arial"/>
          <w:sz w:val="19"/>
          <w:szCs w:val="19"/>
          <w:color w:val="auto"/>
        </w:rPr>
        <w:t>effect or any successor statute thereto.</w:t>
      </w:r>
    </w:p>
    <w:p>
      <w:pPr>
        <w:spacing w:after="0" w:line="23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LIBO Rate or the EURIBOR Rate, as applicable.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w:t>
      </w:r>
      <w:r>
        <w:rPr>
          <w:rFonts w:ascii="Arial" w:cs="Arial" w:eastAsia="Arial" w:hAnsi="Arial"/>
          <w:sz w:val="22"/>
          <w:szCs w:val="22"/>
          <w:color w:val="auto"/>
        </w:rPr>
        <w:t>” means each Borrower other than the Company.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 Canadian Dollars, (b) Euros, (c) Sterling and (d) Australian Dollars.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Exposure</w:t>
      </w:r>
      <w:r>
        <w:rPr>
          <w:rFonts w:ascii="Arial" w:cs="Arial" w:eastAsia="Arial" w:hAnsi="Arial"/>
          <w:sz w:val="22"/>
          <w:szCs w:val="22"/>
          <w:color w:val="auto"/>
        </w:rPr>
        <w:t>” means, at any time, the sum of the aggregate outstanding principal amount of Revolving Loans denominated in Foreign Currencies and the total LC Exposure of Letters of Credit denominated in Australian Dollars, Euros and Sterling, in each case, at such time.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Sublimit</w:t>
      </w:r>
      <w:r>
        <w:rPr>
          <w:rFonts w:ascii="Arial" w:cs="Arial" w:eastAsia="Arial" w:hAnsi="Arial"/>
          <w:sz w:val="22"/>
          <w:szCs w:val="22"/>
          <w:color w:val="auto"/>
        </w:rPr>
        <w:t>” means $75,000,000.</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with respect to any Borrower, any Lender that is organized under the laws of a jurisdiction other than that in which such Borrower is located. For purposes of this definition, (i) the United States of America, each State thereof and the District of Columbia shall be deemed to constitute a single jurisdiction, (ii) Canada, and each province or territory therein, shall be deemed to constitute a single jurisdiction, and (iii) a Lender that has designated a Canadian lending office in respect of Loans made to a Canadian Borrower, or that is an Authorized Foreign Bank, shall be deemed to be organized under the laws of the jurisdiction in which the Canadian Borrower is located.</w:t>
      </w:r>
    </w:p>
    <w:p>
      <w:pPr>
        <w:spacing w:after="0" w:line="2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any Subsidiary (other than the Foreign Borrowers) that is not incorporated or organized under the laws of the United States or its territories or possessions, or a Subsidiary that is incorporated under the laws of the United States or its territories or possessions but is not a Domestic Subsidiary as defined in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U.S. or any other nation or any political subdivision thereof, whether provincial, territorial,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71" w:name="page72"/>
    <w:bookmarkEnd w:id="71"/>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88" w:lineRule="auto"/>
        <w:tabs>
          <w:tab w:leader="none" w:pos="31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contaminants,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HMRC DT Treaty Passport scheme</w:t>
      </w:r>
      <w:r>
        <w:rPr>
          <w:rFonts w:ascii="Arial" w:cs="Arial" w:eastAsia="Arial" w:hAnsi="Arial"/>
          <w:sz w:val="22"/>
          <w:szCs w:val="22"/>
          <w:color w:val="auto"/>
        </w:rPr>
        <w:t>” means the Board of H.M. Revenue and Customs Double Taxation Treaty Passport scheme.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means any Subsidiary (other than a Borrower) (a) the total assets of which, determined as of the last day of any fiscal quarter, are less than or equal to 5% of the consolidated total assets of the Company and its Subsidiaries as at such date, and (b) for which the consolidated revenue attributable to such Subsidiary and its Subsidiaries for the three months ending on the last day of any fiscal quarter is less than or equal to 5% of the consolidated revenue of the Company and its Subsidiaries for the same period.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Lender</w:t>
      </w:r>
      <w:r>
        <w:rPr>
          <w:rFonts w:ascii="Arial" w:cs="Arial" w:eastAsia="Arial" w:hAnsi="Arial"/>
          <w:sz w:val="22"/>
          <w:szCs w:val="22"/>
          <w:color w:val="auto"/>
        </w:rPr>
        <w:t>” means Bank of America, N.A.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EURIBOR Rate Interest Period</w:t>
      </w:r>
      <w:r>
        <w:rPr>
          <w:rFonts w:ascii="Arial" w:cs="Arial" w:eastAsia="Arial" w:hAnsi="Arial"/>
          <w:sz w:val="19"/>
          <w:szCs w:val="19"/>
          <w:color w:val="auto"/>
        </w:rPr>
        <w:t>” has the meaning assigned to such term in the definition of “EURIBOR Rate.”</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LIBO Rate Interest Period</w:t>
      </w:r>
      <w:r>
        <w:rPr>
          <w:rFonts w:ascii="Arial" w:cs="Arial" w:eastAsia="Arial" w:hAnsi="Arial"/>
          <w:sz w:val="21"/>
          <w:szCs w:val="21"/>
          <w:color w:val="auto"/>
        </w:rPr>
        <w:t>” has the meaning assigned to such term in the definition of “LIBO Rate.”</w:t>
      </w:r>
    </w:p>
    <w:p>
      <w:pPr>
        <w:spacing w:after="0" w:line="2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means a Lender that agrees to increase its Revolving Commitment in accordance with the provisions of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or a new bank or financial institution that becomes party to this Agreement pursuant to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72" w:name="page73"/>
    <w:bookmarkEnd w:id="72"/>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(excluding current accounts payable incurred in the ordinary course of business),</w:t>
      </w:r>
    </w:p>
    <w:p>
      <w:pPr>
        <w:spacing w:after="0" w:line="1" w:lineRule="exact"/>
        <w:rPr>
          <w:sz w:val="20"/>
          <w:szCs w:val="20"/>
          <w:color w:val="auto"/>
        </w:rPr>
      </w:pPr>
    </w:p>
    <w:p>
      <w:pPr>
        <w:jc w:val="both"/>
        <w:ind w:firstLine="8"/>
        <w:spacing w:after="0" w:line="285" w:lineRule="auto"/>
        <w:tabs>
          <w:tab w:leader="none" w:pos="359"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(including, without limitation, all payment obligations under earn-out or similar agreements (but only once non-contingent and determinable)), except for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Company to convert or continue a Revolving Borrowing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Canadian Prime Rate Loan or any ABR Loan (in each case, other than a Swingline Loan), the last day of each March, June, September and December, (b) with respect to any CDOR Loan, Eurocurrency Loan or EURIBOR Loan, the last day of the Interest Period applicable to the Borrowing of which such Loan is a part and, in the case of a CDOR Borrowing, Eurocurrency Borrowing or EURIBOR Borrowing with an Interest Period of more than three months’ duration, each day prior to the last day of such Interest Period that occurs at intervals of three months’ duration after the first day of such Interest Period, and (c) with respect to any Swingline Loan, the last day of the month that such Loan is required to be repaid.</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any CDOR Borrowing, Eurocurrency Borrowing or EURIBOR Borrowing, the period commencing on the date of such Borrowing and ending on the numerically corresponding day in the calendar month that is one, two, three or six months thereafter, as the Company may elect; </w:t>
      </w:r>
      <w:r>
        <w:rPr>
          <w:rFonts w:ascii="Arial" w:cs="Arial" w:eastAsia="Arial" w:hAnsi="Arial"/>
          <w:sz w:val="21"/>
          <w:szCs w:val="21"/>
          <w:u w:val="single" w:color="auto"/>
          <w:color w:val="auto"/>
        </w:rPr>
        <w:t>provided</w:t>
      </w:r>
      <w:r>
        <w:rPr>
          <w:rFonts w:ascii="Arial" w:cs="Arial" w:eastAsia="Arial" w:hAnsi="Arial"/>
          <w:sz w:val="21"/>
          <w:szCs w:val="21"/>
          <w:color w:val="auto"/>
        </w:rPr>
        <w:t>, that (a) if any Interest Period would end on a day other than a Business Day, such Interest Period shall be extended to the next succeeding Business Day unless such next succeeding Business Day would fall in the next calendar month,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97" w:lineRule="auto"/>
        <w:rPr>
          <w:sz w:val="20"/>
          <w:szCs w:val="20"/>
          <w:color w:val="auto"/>
        </w:rPr>
      </w:pPr>
      <w:r>
        <w:rPr>
          <w:rFonts w:ascii="Arial" w:cs="Arial" w:eastAsia="Arial" w:hAnsi="Arial"/>
          <w:sz w:val="19"/>
          <w:szCs w:val="19"/>
          <w:color w:val="auto"/>
        </w:rPr>
        <w:t>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Revolving Borrowing initially shall be the date on which such Borrowing is made and thereafter shall be the effective date of the most recent conversion or continuation of such Borrowing.</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xml:space="preserve">” means, at any time, for any Interest Period, the rate per annum (rounded to the same number of decimal places as the applicable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relevant Interest Period; and (b) the applicable Screen Rate for the shortest period (for which the applicable Screen Rate is available for the applicable currency) that exceeds the relevant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 shall be less than zero, such rate shall be deemed to be zero for purposes of this Agreement.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JPMorgan Chase, Wells Fargo Bank, N.A. and each other Lender approved by Administrative Agent and reasonably satisfactory to, or requested by, the Borrowers to the extent that such other Lender agrees to act as an issuer of Letters of Credit hereunder, in each case, in its capacity as the issuer of Letters of Credit hereunder, and its successors in such capacity as provided in </w:t>
      </w:r>
      <w:r>
        <w:rPr>
          <w:rFonts w:ascii="Arial" w:cs="Arial" w:eastAsia="Arial" w:hAnsi="Arial"/>
          <w:sz w:val="21"/>
          <w:szCs w:val="21"/>
          <w:u w:val="single" w:color="auto"/>
          <w:color w:val="auto"/>
        </w:rPr>
        <w:t>Section 2.06(i)</w:t>
      </w:r>
      <w:r>
        <w:rPr>
          <w:rFonts w:ascii="Arial" w:cs="Arial" w:eastAsia="Arial" w:hAnsi="Arial"/>
          <w:sz w:val="21"/>
          <w:szCs w:val="21"/>
          <w:color w:val="auto"/>
        </w:rPr>
        <w:t xml:space="preserve"> and JPMorgan Chase, in its capacity as the issuer of the Existing Letters of Credit. The Issuing Bank may, in its discretion, arrange for one or more Letters of Credit to be issued by Affiliates of the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Income Tax Act (Canada), as amended from time to time (or any successor statute).</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 Chase</w:t>
      </w:r>
      <w:r>
        <w:rPr>
          <w:rFonts w:ascii="Arial" w:cs="Arial" w:eastAsia="Arial" w:hAnsi="Arial"/>
          <w:sz w:val="22"/>
          <w:szCs w:val="22"/>
          <w:color w:val="auto"/>
        </w:rPr>
        <w:t>” means JPMorgan Chase Bank, N.A. (including its branches and Affiliates).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 Conversion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the Issuing Bank pursuant to a Letter of Credit.</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applicable Borrowers and each Lender shall remain in full force and effect until the Issuing Bank and the Lenders shall have no further obligations to make any payments or disbursements under any circumstances with respect to any Letter of Credit.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Swap Agreement</w:t>
      </w:r>
      <w:r>
        <w:rPr>
          <w:rFonts w:ascii="Arial" w:cs="Arial" w:eastAsia="Arial" w:hAnsi="Arial"/>
          <w:sz w:val="22"/>
          <w:szCs w:val="22"/>
          <w:color w:val="auto"/>
        </w:rPr>
        <w:t>” means any Swap Agreement between the Company or any Subsidiary and any Lender or any Affiliate of a Lender that is entered in to while such Person is a Lender or an Affiliate of a Lender even if such Person ceases to be a Lender or an Affiliate of a Lender after entering into such Swap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2.01(a)</w:t>
      </w:r>
      <w:r>
        <w:rPr>
          <w:rFonts w:ascii="Arial" w:cs="Arial" w:eastAsia="Arial" w:hAnsi="Arial"/>
          <w:sz w:val="21"/>
          <w:szCs w:val="21"/>
          <w:color w:val="auto"/>
        </w:rPr>
        <w:t xml:space="preserve"> as Lenders and any other Person that shall have become a party hereto as a Lender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or pursuant to an Assignment and Assumption, other than any such Person that ceases to be a party hereto pursuant to an Assignment and Assumption or other documentation contemplated hereby. Unless the context otherwise requires, the term “Lenders” includes the Swingline Lender.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letter of credit issued pursuant to this Agreement and shall include each Existing Letter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75" w:name="page76"/>
    <w:bookmarkEnd w:id="75"/>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Commitment</w:t>
      </w:r>
      <w:r>
        <w:rPr>
          <w:rFonts w:ascii="Arial" w:cs="Arial" w:eastAsia="Arial" w:hAnsi="Arial"/>
          <w:sz w:val="19"/>
          <w:szCs w:val="19"/>
          <w:color w:val="auto"/>
        </w:rPr>
        <w:t xml:space="preserve">” means, with respect to each Issuing Bank, the commitment of such Issuing Bank to issue Letters of Credit hereunder. The initial amount of each Issuing Bank’s Letter of Credit Commitment is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2.01(b)</w:t>
      </w:r>
      <w:r>
        <w:rPr>
          <w:rFonts w:ascii="Arial" w:cs="Arial" w:eastAsia="Arial" w:hAnsi="Arial"/>
          <w:sz w:val="19"/>
          <w:szCs w:val="19"/>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$200,000,000.</w:t>
      </w:r>
    </w:p>
    <w:p>
      <w:pPr>
        <w:spacing w:after="0" w:line="2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Ratio</w:t>
      </w:r>
      <w:r>
        <w:rPr>
          <w:rFonts w:ascii="Arial" w:cs="Arial" w:eastAsia="Arial" w:hAnsi="Arial"/>
          <w:sz w:val="19"/>
          <w:szCs w:val="19"/>
          <w:color w:val="auto"/>
        </w:rPr>
        <w:t>” means, as of the last day of any fiscal quarter, the ratio of: (a) Consolidated Funded Indebtedness as of such day to (b) Consolidated EBITDA for the four fiscal quarters ending as of the last day of such fiscal quarter.</w:t>
      </w:r>
    </w:p>
    <w:p>
      <w:pPr>
        <w:spacing w:after="0" w:line="1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Interpolated Rate</w:t>
      </w:r>
      <w:r>
        <w:rPr>
          <w:rFonts w:ascii="Arial" w:cs="Arial" w:eastAsia="Arial" w:hAnsi="Arial"/>
          <w:sz w:val="19"/>
          <w:szCs w:val="19"/>
          <w:color w:val="auto"/>
        </w:rPr>
        <w:t>” means, at any time, with respect to any Eurocurrency Borrowing denominated in any Agreed Currency (other than Euros)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provided that if any LIBO Interpolated Rate shall be less than zero, such rate shall be deemed to be zero for the purposes of this Agreement.</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xml:space="preserve">” means, with respect to any Eurocurrency Borrowing denominated in any Agreed Currency (other than Euros) for any applicable currency and for any Interest Period, (a) the applicable Screen Rate as of (i) in the case of Australian Dollars, 10:30 a.m., Melbourne time, on the Quotation Day or (ii) in all other cases, approximately 11:00 a.m., London time, on the Quotation Day, or (b) if no Screen Rate is available for such currency or for such Interest Period, the applicable Interpolated Rate as of such time on the Quotation Day or, if applicable pursuant to the terms of </w:t>
      </w:r>
      <w:r>
        <w:rPr>
          <w:rFonts w:ascii="Arial" w:cs="Arial" w:eastAsia="Arial" w:hAnsi="Arial"/>
          <w:sz w:val="21"/>
          <w:szCs w:val="21"/>
          <w:u w:val="single" w:color="auto"/>
          <w:color w:val="auto"/>
        </w:rPr>
        <w:t>Section 2.14(a)</w:t>
      </w:r>
      <w:r>
        <w:rPr>
          <w:rFonts w:ascii="Arial" w:cs="Arial" w:eastAsia="Arial" w:hAnsi="Arial"/>
          <w:sz w:val="21"/>
          <w:szCs w:val="21"/>
          <w:color w:val="auto"/>
        </w:rPr>
        <w:t>, the applicable Reference Bank Rate as of such time on the Quotation Day.</w:t>
      </w:r>
    </w:p>
    <w:p>
      <w:pPr>
        <w:spacing w:after="0" w:line="20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means, for any day and time, with respect to any Eurocurrency Borrowing denominated in any Agreed Currency (other than Euros) for any applicable currency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22"/>
          <w:szCs w:val="22"/>
          <w:color w:val="auto"/>
        </w:rPr>
        <w:t xml:space="preserve">Agent in its reasonable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LIBO Screen Rate shall be less than zero, such rate shall be deemed to be zero for purposes of this Agreement.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all Notes issued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all letter of credit applications, all Collateral Documents, and all other mortgages, security agreements and other collateral or security documents, guaranty agreements and instruments from time to time made, issued or executed by any Person in connection with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pursuant to or as described in this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(a) with respect to a Loan or Borrowing denominated in U.S. Dollars, New York City time, (b) with respect to a Loan or Borrowing denominated in Canadian Dollars, Toronto time and (c) with respect to a Loan or Borrowing denominated in any other Foreign Currency, London time.</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operations, or condition, financial or otherwise, of the Company and the Subsidiaries taken as a whole, (b) the ability of the Borrowers to perform any of their obligations under this Agreement or any of the other Loan Documents, or (c) the rights of or benefits available to the Lenders under this Agreement or any of the other Loan Documents.</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Loans and Letters of Credit), and obligations in respect of one or more Swap Agreements, of any one or more of the Company and its Subsidiaries in an aggregate principal amount exceeding $10,000,000 (or the equivalent amount in any foreign currency).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any Subsidiary that is not an Immaterial Subsidiary.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means (a) those tracts and parcels of real property and all improvements thereon and appurtenances thereto described in the Perfection Certificate owned in fee by the applicable Credit Party (as opposed to a leasehold interest) and (b) that tract or parcel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of real property located at the Port of Catoosa in which one or more of the Credit Party(s) has a leasehold interest.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xml:space="preserve">” means all fee or leasehold mortgages or deeds of trust, as applicable, necessary to create a first and prior lien in favor of the Administrative Agent with respect to the fee or leasehold interest of the Company or its applicable Subsidiary in the Mortgaged Properties, including but not limited to those unreleased mortgages and deeds of trust described on </w:t>
      </w:r>
      <w:r>
        <w:rPr>
          <w:rFonts w:ascii="Arial" w:cs="Arial" w:eastAsia="Arial" w:hAnsi="Arial"/>
          <w:sz w:val="19"/>
          <w:szCs w:val="19"/>
          <w:u w:val="single" w:color="auto"/>
          <w:color w:val="auto"/>
        </w:rPr>
        <w:t>Exhibit D</w:t>
      </w:r>
      <w:r>
        <w:rPr>
          <w:rFonts w:ascii="Arial" w:cs="Arial" w:eastAsia="Arial" w:hAnsi="Arial"/>
          <w:sz w:val="19"/>
          <w:szCs w:val="19"/>
          <w:color w:val="auto"/>
        </w:rPr>
        <w:t>, in each case, as ratified, amended, restated, supplemented or otherwise modified from time to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3(37) or 4001(a)(3) of ERISA.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delivered to a Lender as contemplated by </w:t>
      </w:r>
      <w:r>
        <w:rPr>
          <w:rFonts w:ascii="Arial" w:cs="Arial" w:eastAsia="Arial" w:hAnsi="Arial"/>
          <w:sz w:val="22"/>
          <w:szCs w:val="22"/>
          <w:u w:val="single" w:color="auto"/>
          <w:color w:val="auto"/>
        </w:rPr>
        <w:t>Section 2.10(e)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NYFRB’s Website</w:t>
      </w:r>
      <w:r>
        <w:rPr>
          <w:rFonts w:ascii="Arial" w:cs="Arial" w:eastAsia="Arial" w:hAnsi="Arial"/>
          <w:sz w:val="21"/>
          <w:szCs w:val="21"/>
          <w:color w:val="auto"/>
        </w:rPr>
        <w:t>” means the website of the NYFRB at http://www.newyorkfed.org, or any successor source.</w:t>
      </w:r>
    </w:p>
    <w:p>
      <w:pPr>
        <w:spacing w:after="0" w:line="2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means, without duplication, any and all obligations, contingent or otherwise, now existing or hereafter arising, howsoever created, of the Company and the Subsidiaries to any of the Lenders, the Administrative Agent, the Issuing Bank or any of their respective Affiliates, or any indemnified party, arising under or in connection with (a) the Loan Documents, including without limitation unpaid principal of and accrued and unpaid interest (including post-petition interest) on the Loans and all reimbursement obligations in respect of LC Disbursements, (b) Lender Swap Agreements, (c) Cash Management Agreements and (d) all accrued and unpaid fees and all expenses, reimbursements, indemnities and other obligations of the Company and the Subsidiaries to the Lenders or to any Lender, the Administrative Agent, the Issuing Bank or any indemnified party under any of the foregoing.</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78" w:name="page79"/>
    <w:bookmarkEnd w:id="78"/>
    <w:p>
      <w:pPr>
        <w:jc w:val="both"/>
        <w:spacing w:after="0" w:line="312" w:lineRule="auto"/>
        <w:rPr>
          <w:sz w:val="20"/>
          <w:szCs w:val="20"/>
          <w:color w:val="auto"/>
        </w:rPr>
      </w:pPr>
      <w:r>
        <w:rPr>
          <w:rFonts w:ascii="Arial" w:cs="Arial" w:eastAsia="Arial" w:hAnsi="Arial"/>
          <w:sz w:val="19"/>
          <w:szCs w:val="19"/>
          <w:color w:val="auto"/>
        </w:rPr>
        <w:t>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Document).</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any present or future stamp, court, documentary, intangible, recording, filing or similar Taxes that arise from any payment made under, from the execution, delivery, performance, enforcement or registration of, from the registration, receipt or perfection of a security interest under, or otherwise with respect to, this Agreement or any Loan Document, except any such Taxes that are Other Connection Taxes imposed with respect to an assignment (other than an assignment under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21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 as an overnight bank funding rate (from and after such date as the FRBNY shall commence to publish such composite rate).</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Foreign Currency Rate</w:t>
      </w:r>
      <w:r>
        <w:rPr>
          <w:rFonts w:ascii="Arial" w:cs="Arial" w:eastAsia="Arial" w:hAnsi="Arial"/>
          <w:sz w:val="19"/>
          <w:szCs w:val="19"/>
          <w:color w:val="auto"/>
        </w:rPr>
        <w:t>” means, for any amount payable in a Foreign Currency, the rate of interest per annum as determined by the Administrative Agent at which overnight or weekend deposits in the relevant currency (or if such amount due remains unpaid for more than three (3) Business Days, then for such other period of time as the Administrative Agent may reasonably determine)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Loan or LC Disbursement, plus any taxes, levies, imposts, duties, deductions, charges or withholdings imposed upon, or charged to, the Administrative Agent by any relevant correspondent bank in respect of such amount in such relevant currency.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9.16</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means a perfection certificate, in form and substance satisfactory to the Administrative Agent, executed by an Authorized Officer of the Company, certifying as to existence, description, location, and other matters regarding,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79" w:name="page80"/>
    <w:bookmarkEnd w:id="79"/>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means an Acquisition as to which all the requirements of </w:t>
      </w:r>
      <w:r>
        <w:rPr>
          <w:rFonts w:ascii="Arial" w:cs="Arial" w:eastAsia="Arial" w:hAnsi="Arial"/>
          <w:sz w:val="22"/>
          <w:szCs w:val="22"/>
          <w:u w:val="single" w:color="auto"/>
          <w:color w:val="auto"/>
        </w:rPr>
        <w:t>Section 6.04(i)</w:t>
      </w:r>
      <w:r>
        <w:rPr>
          <w:rFonts w:ascii="Arial" w:cs="Arial" w:eastAsia="Arial" w:hAnsi="Arial"/>
          <w:sz w:val="22"/>
          <w:szCs w:val="22"/>
          <w:color w:val="auto"/>
        </w:rPr>
        <w:t xml:space="preserve"> have either been met or waived in accordance with the provisions of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47" w:lineRule="exact"/>
        <w:rPr>
          <w:sz w:val="20"/>
          <w:szCs w:val="20"/>
          <w:color w:val="auto"/>
        </w:rPr>
      </w:pPr>
    </w:p>
    <w:p>
      <w:pPr>
        <w:jc w:val="both"/>
        <w:ind w:firstLine="656"/>
        <w:spacing w:after="0" w:line="250" w:lineRule="auto"/>
        <w:tabs>
          <w:tab w:leader="none" w:pos="11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or levies on its property if the same either (i) shall not at the time be delinquent, (ii) thereafter can be paid without penalty, or (iii) are being contested in good faith by appropriate proceedings with adequate reserves having been set aside on the books of the Company and its Subsidiaries in accordance with Agreement Accounting Principles;</w:t>
      </w:r>
    </w:p>
    <w:p>
      <w:pPr>
        <w:spacing w:after="0" w:line="214" w:lineRule="exact"/>
        <w:rPr>
          <w:rFonts w:ascii="Arial" w:cs="Arial" w:eastAsia="Arial" w:hAnsi="Arial"/>
          <w:sz w:val="22"/>
          <w:szCs w:val="22"/>
          <w:color w:val="auto"/>
        </w:rPr>
      </w:pPr>
    </w:p>
    <w:p>
      <w:pPr>
        <w:jc w:val="both"/>
        <w:ind w:firstLine="656"/>
        <w:spacing w:after="0" w:line="250" w:lineRule="auto"/>
        <w:tabs>
          <w:tab w:leader="none" w:pos="11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and other like Liens imposed by law, arising in the ordinary course of business and securing obligations that are not overdue by more than sixty (60) days or are being contested by appropriate proceedings with adequate reserves having been set aside on the books of the Company and its Subsidiaries in accordance with Agreement Accounting Principles;</w:t>
      </w:r>
    </w:p>
    <w:p>
      <w:pPr>
        <w:spacing w:after="0" w:line="228" w:lineRule="exact"/>
        <w:rPr>
          <w:rFonts w:ascii="Arial" w:cs="Arial" w:eastAsia="Arial" w:hAnsi="Arial"/>
          <w:sz w:val="22"/>
          <w:szCs w:val="22"/>
          <w:color w:val="auto"/>
        </w:rPr>
      </w:pPr>
    </w:p>
    <w:p>
      <w:pPr>
        <w:ind w:firstLine="656"/>
        <w:spacing w:after="0" w:line="287" w:lineRule="auto"/>
        <w:tabs>
          <w:tab w:leader="none" w:pos="1329" w:val="left"/>
        </w:tabs>
        <w:numPr>
          <w:ilvl w:val="0"/>
          <w:numId w:val="46"/>
        </w:numPr>
        <w:rPr>
          <w:rFonts w:ascii="Arial" w:cs="Arial" w:eastAsia="Arial" w:hAnsi="Arial"/>
          <w:sz w:val="21"/>
          <w:szCs w:val="21"/>
          <w:color w:val="auto"/>
        </w:rPr>
      </w:pPr>
      <w:r>
        <w:rPr>
          <w:rFonts w:ascii="Arial" w:cs="Arial" w:eastAsia="Arial" w:hAnsi="Arial"/>
          <w:sz w:val="21"/>
          <w:szCs w:val="21"/>
          <w:color w:val="auto"/>
        </w:rPr>
        <w:t>pledges and deposits made in the ordinary course of business in compliance with workers’ compensation, unemployment insurance, old age pensions, and other social security or retirement benefit laws or regulations;</w:t>
      </w:r>
    </w:p>
    <w:p>
      <w:pPr>
        <w:spacing w:after="0" w:line="178" w:lineRule="exact"/>
        <w:rPr>
          <w:rFonts w:ascii="Arial" w:cs="Arial" w:eastAsia="Arial" w:hAnsi="Arial"/>
          <w:sz w:val="21"/>
          <w:szCs w:val="21"/>
          <w:color w:val="auto"/>
        </w:rPr>
      </w:pPr>
    </w:p>
    <w:p>
      <w:pPr>
        <w:jc w:val="both"/>
        <w:ind w:firstLine="656"/>
        <w:spacing w:after="0" w:line="265" w:lineRule="auto"/>
        <w:tabs>
          <w:tab w:leader="none" w:pos="1146" w:val="left"/>
        </w:tabs>
        <w:numPr>
          <w:ilvl w:val="0"/>
          <w:numId w:val="46"/>
        </w:numPr>
        <w:rPr>
          <w:rFonts w:ascii="Arial" w:cs="Arial" w:eastAsia="Arial" w:hAnsi="Arial"/>
          <w:sz w:val="21"/>
          <w:szCs w:val="21"/>
          <w:color w:val="auto"/>
        </w:rPr>
      </w:pPr>
      <w:r>
        <w:rPr>
          <w:rFonts w:ascii="Arial" w:cs="Arial" w:eastAsia="Arial" w:hAnsi="Arial"/>
          <w:sz w:val="21"/>
          <w:szCs w:val="21"/>
          <w:color w:val="auto"/>
        </w:rPr>
        <w:t>Liens or other interests of customers or vendors under title retention agreements or similar agreements whereby the Company or a Subsidiary obtains possession (but not ownership) of materials or goods provided to the Company or such Subsidiary by or for the account of a customer of the Company or such Subsidiary for the purpose of fabrication, assembly or manufacturing, provided that such interests attach only to such materials or goods;</w:t>
      </w:r>
    </w:p>
    <w:p>
      <w:pPr>
        <w:spacing w:after="0" w:line="202" w:lineRule="exact"/>
        <w:rPr>
          <w:rFonts w:ascii="Arial" w:cs="Arial" w:eastAsia="Arial" w:hAnsi="Arial"/>
          <w:sz w:val="21"/>
          <w:szCs w:val="21"/>
          <w:color w:val="auto"/>
        </w:rPr>
      </w:pPr>
    </w:p>
    <w:p>
      <w:pPr>
        <w:ind w:left="1120" w:hanging="464"/>
        <w:spacing w:after="0"/>
        <w:tabs>
          <w:tab w:leader="none" w:pos="11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judgment liens in respect of judgments that do not constitute an Event of Default under </w:t>
      </w:r>
      <w:r>
        <w:rPr>
          <w:rFonts w:ascii="Arial" w:cs="Arial" w:eastAsia="Arial" w:hAnsi="Arial"/>
          <w:sz w:val="22"/>
          <w:szCs w:val="22"/>
          <w:u w:val="single" w:color="auto"/>
          <w:color w:val="auto"/>
        </w:rPr>
        <w:t>Section 7.01(k)</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656"/>
        <w:spacing w:after="0" w:line="271" w:lineRule="auto"/>
        <w:tabs>
          <w:tab w:leader="none" w:pos="10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94" w:lineRule="exact"/>
        <w:rPr>
          <w:rFonts w:ascii="Arial" w:cs="Arial" w:eastAsia="Arial" w:hAnsi="Arial"/>
          <w:sz w:val="21"/>
          <w:szCs w:val="21"/>
          <w:color w:val="auto"/>
        </w:rPr>
      </w:pPr>
    </w:p>
    <w:p>
      <w:pPr>
        <w:jc w:val="both"/>
        <w:ind w:firstLine="656"/>
        <w:spacing w:after="0" w:line="253" w:lineRule="auto"/>
        <w:tabs>
          <w:tab w:leader="none" w:pos="12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Liens in favor of a banking or other financial institution arising as a matter of law or in the ordinary course of business under customary terms and conditions encumbering deposits or other funds maintained with such institution including bankers’ liens, rights of set-off or similar rights and remedies; and</w:t>
      </w:r>
    </w:p>
    <w:p>
      <w:pPr>
        <w:spacing w:after="0" w:line="212" w:lineRule="exact"/>
        <w:rPr>
          <w:rFonts w:ascii="Arial" w:cs="Arial" w:eastAsia="Arial" w:hAnsi="Arial"/>
          <w:sz w:val="22"/>
          <w:szCs w:val="22"/>
          <w:color w:val="auto"/>
        </w:rPr>
      </w:pPr>
    </w:p>
    <w:p>
      <w:pPr>
        <w:ind w:firstLine="656"/>
        <w:spacing w:after="0" w:line="263" w:lineRule="auto"/>
        <w:tabs>
          <w:tab w:leader="none" w:pos="1128"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deposits and Liens to secure Bonding Obligations permitted under </w:t>
      </w:r>
      <w:r>
        <w:rPr>
          <w:rFonts w:ascii="Arial" w:cs="Arial" w:eastAsia="Arial" w:hAnsi="Arial"/>
          <w:sz w:val="22"/>
          <w:szCs w:val="22"/>
          <w:u w:val="single" w:color="auto"/>
          <w:color w:val="auto"/>
        </w:rPr>
        <w:t>Section 6.01(i)</w:t>
      </w:r>
      <w:r>
        <w:rPr>
          <w:rFonts w:ascii="Arial" w:cs="Arial" w:eastAsia="Arial" w:hAnsi="Arial"/>
          <w:sz w:val="22"/>
          <w:szCs w:val="22"/>
          <w:color w:val="auto"/>
        </w:rPr>
        <w:t xml:space="preserve"> with respect to which no Event of Default under </w:t>
      </w:r>
      <w:r>
        <w:rPr>
          <w:rFonts w:ascii="Arial" w:cs="Arial" w:eastAsia="Arial" w:hAnsi="Arial"/>
          <w:sz w:val="22"/>
          <w:szCs w:val="22"/>
          <w:u w:val="single" w:color="auto"/>
          <w:color w:val="auto"/>
        </w:rPr>
        <w:t>Section 7.01(r)</w:t>
      </w:r>
      <w:r>
        <w:rPr>
          <w:rFonts w:ascii="Arial" w:cs="Arial" w:eastAsia="Arial" w:hAnsi="Arial"/>
          <w:sz w:val="22"/>
          <w:szCs w:val="22"/>
          <w:color w:val="auto"/>
        </w:rPr>
        <w:t xml:space="preserve"> has occurred and is continuing;</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xml:space="preserve">” shall not include any Lien securing Indebtedness, except with respect to clause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47" w:lineRule="exact"/>
        <w:rPr>
          <w:sz w:val="20"/>
          <w:szCs w:val="20"/>
          <w:color w:val="auto"/>
        </w:rPr>
      </w:pPr>
    </w:p>
    <w:p>
      <w:pPr>
        <w:ind w:firstLine="656"/>
        <w:spacing w:after="0" w:line="343" w:lineRule="auto"/>
        <w:tabs>
          <w:tab w:leader="none" w:pos="1123" w:val="left"/>
        </w:tabs>
        <w:numPr>
          <w:ilvl w:val="0"/>
          <w:numId w:val="47"/>
        </w:numPr>
        <w:rPr>
          <w:rFonts w:ascii="Arial" w:cs="Arial" w:eastAsia="Arial" w:hAnsi="Arial"/>
          <w:sz w:val="19"/>
          <w:szCs w:val="19"/>
          <w:color w:val="auto"/>
        </w:rPr>
      </w:pPr>
      <w:r>
        <w:rPr>
          <w:rFonts w:ascii="Arial" w:cs="Arial" w:eastAsia="Arial" w:hAnsi="Arial"/>
          <w:sz w:val="19"/>
          <w:szCs w:val="19"/>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31" w:lineRule="exact"/>
        <w:rPr>
          <w:rFonts w:ascii="Arial" w:cs="Arial" w:eastAsia="Arial" w:hAnsi="Arial"/>
          <w:sz w:val="19"/>
          <w:szCs w:val="19"/>
          <w:color w:val="auto"/>
        </w:rPr>
      </w:pPr>
    </w:p>
    <w:p>
      <w:pPr>
        <w:jc w:val="both"/>
        <w:ind w:firstLine="656"/>
        <w:spacing w:after="0" w:line="312" w:lineRule="auto"/>
        <w:tabs>
          <w:tab w:leader="none" w:pos="1146"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investments permitted by the Company’s Investment Policy as in effect as of the Effective Date, a copy of which is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as the same may be amended, restated, supplemented or otherwise modified from time to time with the consent of the Administrative Agent, such consent not to be unreasonably withheld, conditioned or delayed.</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(as defined in Section 3(2) of ERISA) (other than a Multiemployer Plan) subject to the provisions of Section 302 or Title IV of ERISA or Section 412 of the Code, and which the Company or any ERISA Affiliate is (or, if such plan were terminated, would under Section 4069 of ERISA be deemed to be) an “employer” as defined in Section 3(5) of ERISA.</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(Ontario), including the regulations thereto, provided that, if perfection or the effect of perfection or non-perfection or the priority of any Lien created under any of the Loan Documents on the Collateral is governed by the personal property security legislation or other applicable legislation with respect to personal property security in effect in a jurisdiction other than Ontario, “</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or such other applicable legislation in effect from time to time in such other jurisdiction for purposes of the provisions hereof relating to such perfection, effect of perfection or non-perfection or priority.</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81" w:name="page82"/>
    <w:bookmarkEnd w:id="81"/>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9.24</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in respect of any Swap Obligation, each Credit Party that has total assets exceeding $10,000,000 at the time the relevant Guarantee, joint and several liability, and/or Lien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Quotation Day</w:t>
      </w:r>
      <w:r>
        <w:rPr>
          <w:rFonts w:ascii="Arial" w:cs="Arial" w:eastAsia="Arial" w:hAnsi="Arial"/>
          <w:sz w:val="22"/>
          <w:szCs w:val="22"/>
          <w:color w:val="auto"/>
        </w:rPr>
        <w:t>” means (a) with respect to any currency (other than Sterling, Australian Dollars and Canadian Dollars), for any Interest Period, two Business Days prior to the first day of such Interest Period and (b) with respect to Sterling, Australian Dollars and Canadian Dollars for any Interest Period, the first day of such Interest Period, in each case, unless market practice differs in the relevant interbank market for any currency, in which case the Quotation Day for such currency shall be determined by the Administrative Agent in accordance with market practice in the relevant interbank market (and if quotations would normally be given by leading banks in the relevant market on more than one day, the Quotation Day will be the last of those days).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as applicable, (a) the Administrative Agent, (b) any Lender and (c) the Issuing Bank.</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Bank Rate</w:t>
      </w:r>
      <w:r>
        <w:rPr>
          <w:rFonts w:ascii="Arial" w:cs="Arial" w:eastAsia="Arial" w:hAnsi="Arial"/>
          <w:sz w:val="19"/>
          <w:szCs w:val="19"/>
          <w:color w:val="auto"/>
        </w:rPr>
        <w:t>” means the arithmetic mean of the rates (rounded upwards to four decimal places) supplied to the Administrative Agent at its request by the Reference Banks (as the case may be) for Loans in the applicable currency and the applicable Interest Period (a) in relation to the Canadian Dealer Offered Rate, as the rate at which the relevant Reference Bank is willing to extend credit by the purchase of bankers acceptances in Canadian Dollars which have been accepted by banks which are for the time being customarily regarded as being of appropriate credit standing for such purpose with a term to maturity comparable to the applicable Interest Period, (b) in relation to Eurocurrency Loans, as the rate quoted by the relevant Reference Bank to leading banks in the London interbank market for the offering of deposits in the applicable currency and for a period comparable to the applicable Interest Period and (c) in relation to EURIBOR Loans, as the rate quoted by the relevant Reference Bank to leading banks in the Banking Federation of the European Union for the offering of deposits in Euros and for a period comparable to the applicable Interest Period.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Banks</w:t>
      </w:r>
      <w:r>
        <w:rPr>
          <w:rFonts w:ascii="Arial" w:cs="Arial" w:eastAsia="Arial" w:hAnsi="Arial"/>
          <w:sz w:val="22"/>
          <w:szCs w:val="22"/>
          <w:color w:val="auto"/>
        </w:rPr>
        <w:t>” means such banks as may be appointed by the Administrative Agent in consultation with the Company. No Lender shall be obligated to be a Reference Bank without its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LIBO Rate,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11:00 a.m. (London time) on the day that is two London banking days preceding the date of such setting, and (2) if such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Benchmark is not LIBO Rate, the time determined by the Administrative Agent in its reasonable discretion.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Federal Reserve Board, as in effect from time to time and all official rulings and interpretations thereunder or thereof.</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Federal Reserve Board, as in effect from time to time and all official rulings and interpretations thereunder or thereof.</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Federal Reserve Board, as in effect from time to time and all official rulings and interpretations thereunder or thereof.</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Federal Reserve Board, as in effect from time to time and all official rulings and interpretations thereunder or thereof.</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means (i) with respect to any Eurocurrency Borrowing denominated in an Agreed Currency (other than Euros), the LIBO Rate or (ii) with respect to any Eurocurrency Borrowing denominated in Euros, the EURIBOR Rate, as applicable.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Screen Rate</w:t>
      </w:r>
      <w:r>
        <w:rPr>
          <w:rFonts w:ascii="Arial" w:cs="Arial" w:eastAsia="Arial" w:hAnsi="Arial"/>
          <w:sz w:val="22"/>
          <w:szCs w:val="22"/>
          <w:color w:val="auto"/>
        </w:rPr>
        <w:t>” means (i) with respect to any Eurocurrency Borrowing denominated in an Agreed Currency (other than Euros), the LIBO Screen Rate or (ii) with respect to any Eurocurrency Borrowing denominated in Euros, the EURIBOR Screen Rate, as applicable.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83" w:name="page84"/>
    <w:bookmarkEnd w:id="8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the Lenders having Revolving Credit Exposures and unused Revolving Commitments representing more than fifty percent (50%) of the sum of the total Revolving Credit Exposures and unused Revolving Commitments at such time.</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Thomsen Reuters Corp., Refinitiv, or any successor thereto.</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Commitment</w:t>
      </w:r>
      <w:r>
        <w:rPr>
          <w:rFonts w:ascii="Arial" w:cs="Arial" w:eastAsia="Arial" w:hAnsi="Arial"/>
          <w:sz w:val="21"/>
          <w:szCs w:val="21"/>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increased from time to time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(b) reduced from time to time pursuant to </w:t>
      </w:r>
      <w:r>
        <w:rPr>
          <w:rFonts w:ascii="Arial" w:cs="Arial" w:eastAsia="Arial" w:hAnsi="Arial"/>
          <w:sz w:val="21"/>
          <w:szCs w:val="21"/>
          <w:u w:val="single" w:color="auto"/>
          <w:color w:val="auto"/>
        </w:rPr>
        <w:t>Section 2.09</w:t>
      </w:r>
      <w:r>
        <w:rPr>
          <w:rFonts w:ascii="Arial" w:cs="Arial" w:eastAsia="Arial" w:hAnsi="Arial"/>
          <w:sz w:val="21"/>
          <w:szCs w:val="21"/>
          <w:color w:val="auto"/>
        </w:rPr>
        <w:t xml:space="preserve"> and (c)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initial amount of each Lender’s Revolving Commitment is set forth on </w:t>
      </w:r>
      <w:r>
        <w:rPr>
          <w:rFonts w:ascii="Arial" w:cs="Arial" w:eastAsia="Arial" w:hAnsi="Arial"/>
          <w:sz w:val="21"/>
          <w:szCs w:val="21"/>
          <w:u w:val="single" w:color="auto"/>
          <w:color w:val="auto"/>
        </w:rPr>
        <w:t>Schedule 2.01(a)</w:t>
      </w:r>
      <w:r>
        <w:rPr>
          <w:rFonts w:ascii="Arial" w:cs="Arial" w:eastAsia="Arial" w:hAnsi="Arial"/>
          <w:sz w:val="21"/>
          <w:szCs w:val="21"/>
          <w:color w:val="auto"/>
        </w:rPr>
        <w:t>, or in the Assignment and Assumption pursuant to which such Lender shall have assumed its Revolving Commitment, as applicable. As of the Effective Date, the aggregate amount of the Lenders’ Revolving Commitments is $200,000,000.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with respect to any Lender at any time, the sum of the outstanding principal amount of such Lender’s Revolving Loans and its LC Exposure and Swingline Exposure at such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of this Agreement.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itself, or whose government is, the subject or target of any Sanctions.</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Her Majesty’s Treasury of the United Kingdom or by the United Nations Security Council, the European Union or any European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22"/>
          <w:szCs w:val="22"/>
          <w:color w:val="auto"/>
        </w:rPr>
        <w:t>Union member state, (b) any Person operating, organized or resident in a Sanctioned Country, (c) any Person owned or controlled by any such Person, or (d) any Person otherwise the subject of any Sanctions.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means (a) in respect of the LIBO Rate for any currency and for any Interest Period, (i) in the case of U.S. Dollars, the LIBO Screen Rate, (ii) in the case of Australian Dollars, the average bid rate on Reuters Screen BBSY Page for bills of exchange having a tenor equal to (or approximating as closely as possible the length of) such Interest Period, and (iii) in the case of any other Foreign Currency, the London interbank offered rate as administered by ICE Benchmark Administration (or any other Person that takes over the administration of such rate) appearing on Reuters Screen LIBOR02 Page for such currency for such Interest Period (or, in each such case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on any successor or substitute page on such screen or service that displays such rate, or on the appropriate page of such other information service that publishes such rate as shall be selected by the Administrative Agent from time to time in its reasonable discretion), (b) in respect of the EURIBOR Rate for any Interest Period, the percentage per annum determined by the Banking Federation of the European Union for such Interest Period as displayed on the applicable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and (c) in respect of the Canadian Dealer Offered Rate, the average rate for bankers acceptances with a tenor equal in length to such Interest Period as displayed on CDOR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Screen Rate shall be less than zero, such rate shall be deemed to be zero for purposes of this Agreement.</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United States of America.</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Agreement</w:t>
      </w:r>
      <w:r>
        <w:rPr>
          <w:rFonts w:ascii="Arial" w:cs="Arial" w:eastAsia="Arial" w:hAnsi="Arial"/>
          <w:sz w:val="21"/>
          <w:szCs w:val="21"/>
          <w:color w:val="auto"/>
        </w:rPr>
        <w:t>” means each Existing Security Agreement and any other security agreement in a form acceptable to the Administrative Agent that is executed by the Company or any other Credit Party in connection with this Agreement, in each case, as ratified, amended, restated, supplemented or otherwise modified from time to time.</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(a) the Administrative Agent, (b) the Lenders, (c) the Issuing Bank, (d) each provider of cash management services, to the extent the Obligations under any Cash Management Agreement in respect thereof constitute Obligations, (e) each counterparty to any Lender Swap Agreement, to the extent the obligations thereunder constitute Secured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2"/>
          <w:szCs w:val="22"/>
          <w:color w:val="auto"/>
        </w:rPr>
        <w:t>Obligations, (f) the beneficiaries of each indemnification obligation undertaken by any Credit Party under any Loan Document, and (g) the successors and assigns of each of the foregoing.</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25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the Company, at any date, any corporation, limited liability company, partnership, association or other entity the accounts of which would be consolidated with those of the Company in the Company’s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Company or one or more subsidiaries of the Company or by the Company and one or more subsidiaries of the Company. Notwithstanding the foregoing, neither Matrix Service, Inc., Panama (formed in Panama) nor San Luis Tank S.A. de C.V. (formed in Mexico) shall be considered a Subsidiary as long as it is dormant, has no assets, conducts no operations and the Company has no plan or intention to utilize it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86" w:name="page87"/>
    <w:bookmarkEnd w:id="86"/>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means each Material Subsidiary and each other Subsidiary that is required to be a Subsidiary Guarantor pursuant to </w:t>
      </w:r>
      <w:r>
        <w:rPr>
          <w:rFonts w:ascii="Arial" w:cs="Arial" w:eastAsia="Arial" w:hAnsi="Arial"/>
          <w:sz w:val="22"/>
          <w:szCs w:val="22"/>
          <w:u w:val="single" w:color="auto"/>
          <w:color w:val="auto"/>
        </w:rPr>
        <w:t>Section 5.09</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Guaranty</w:t>
      </w:r>
      <w:r>
        <w:rPr>
          <w:rFonts w:ascii="Arial" w:cs="Arial" w:eastAsia="Arial" w:hAnsi="Arial"/>
          <w:sz w:val="19"/>
          <w:szCs w:val="19"/>
          <w:color w:val="auto"/>
        </w:rPr>
        <w:t xml:space="preserve">” means a Subsidiary Guaranty by each Subsidiary Guarantor,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hereto (for Domestic Subsidiaries) or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hereto (for Foreign Subsidiaries), and each supplement thereto.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9.24</w:t>
      </w:r>
      <w:r>
        <w:rPr>
          <w:rFonts w:ascii="Arial" w:cs="Arial" w:eastAsia="Arial" w:hAnsi="Arial"/>
          <w:sz w:val="22"/>
          <w:szCs w:val="22"/>
          <w:color w:val="auto"/>
        </w:rPr>
        <w:t>.</w:t>
      </w: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w:t>
      </w:r>
      <w:r>
        <w:rPr>
          <w:rFonts w:ascii="Arial" w:cs="Arial" w:eastAsia="Arial" w:hAnsi="Arial"/>
          <w:sz w:val="20"/>
          <w:szCs w:val="20"/>
          <w:color w:val="auto"/>
        </w:rPr>
        <w:t>” means any surety party to any contractual arrangements entered into by the Company or any Subsidiary with respect to any bid, performance, surety, notary, wage and welfare, license, registration, permit, lien, warranty, pay-on-demand or payment bonds, contracts or like undertakings.</w:t>
      </w:r>
    </w:p>
    <w:p>
      <w:pPr>
        <w:spacing w:after="0" w:line="23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Obligations</w:t>
      </w:r>
      <w:r>
        <w:rPr>
          <w:rFonts w:ascii="Arial" w:cs="Arial" w:eastAsia="Arial" w:hAnsi="Arial"/>
          <w:sz w:val="21"/>
          <w:szCs w:val="21"/>
          <w:color w:val="auto"/>
        </w:rPr>
        <w:t xml:space="preserve">” means, with respect to any </w:t>
      </w:r>
      <w:r>
        <w:rPr>
          <w:rFonts w:ascii="Arial" w:cs="Arial" w:eastAsia="Arial" w:hAnsi="Arial"/>
          <w:sz w:val="18"/>
          <w:szCs w:val="18"/>
          <w:color w:val="auto"/>
        </w:rPr>
        <w:t>Credit Party</w:t>
      </w:r>
      <w:r>
        <w:rPr>
          <w:rFonts w:ascii="Arial" w:cs="Arial" w:eastAsia="Arial" w:hAnsi="Arial"/>
          <w:sz w:val="21"/>
          <w:szCs w:val="21"/>
          <w:color w:val="auto"/>
        </w:rPr>
        <w:t>, any obligation to pay or perform under any agreement, contract or transaction that constitutes a “swap” within the meaning of section 1a(47) of the Commodity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Borrowers</w:t>
      </w:r>
      <w:r>
        <w:rPr>
          <w:rFonts w:ascii="Arial" w:cs="Arial" w:eastAsia="Arial" w:hAnsi="Arial"/>
          <w:sz w:val="22"/>
          <w:szCs w:val="22"/>
          <w:color w:val="auto"/>
        </w:rPr>
        <w:t>” means the Company and the Canadian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87" w:name="page88"/>
    <w:bookmarkEnd w:id="87"/>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at any time, the aggregate principal amount of all Swingline Loans outstanding at such time. The Swingline Exposure of any Lender at any time shall be the sum of (a) its Applicable Percentage of the total Swingline Exposure at such time related to Swingline Loans other than any Swingline Loans made by such Lender in its capacity as the Swingline Lender and (b) if such Lender shall be the Swingline Lender, the aggregate principal amount of all Swingline Loans made by such Lender outstanding at such time (to the extent that the other Lenders shall not have funded their participations in Swingline Loans).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JPMorgan Chase, in its capacity as lender of Swingline Loans hereunder.</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the Trans-European Automatic Real-time Gross Settlement Express Transfer payment system is open for the settlement of payments in Euros.</w:t>
      </w:r>
    </w:p>
    <w:p>
      <w:pPr>
        <w:spacing w:after="0" w:line="21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any and all present or future taxes, levies, imposts, duties, deductions, withholdings (including backup withholding), value added taxes, or any other goods or services, use or sales tax, assessments, fees or other charges imposed by any Governmental Authority, including any interest, additions to tax or penalties applicable thereto.</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third anniversary of the Effective Date, or any earlier date on which the Revolving Commitments are reduced to zero or all Revolving Commitments are otherwise terminated pursuant to the terms hereof, and if any such day is not a Business Day, then the next Business Day.</w:t>
      </w:r>
    </w:p>
    <w:p>
      <w:pPr>
        <w:spacing w:after="0" w:line="21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Borrower of the occurrence of a Term SOFR Transition Event.</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SOFR.</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Credit Parties of this Agreement and the other Loan Documents, the borrowing of Loans, the use of the proceeds thereof, the issuance of Letters of Credit hereunder and the granting and perfection of Liens to secure repayment of the Obligations.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88" w:name="page89"/>
    <w:bookmarkEnd w:id="88"/>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LIBO Rate, the Adjusted EURIBOR Rate, the Alternate Base Rate, the Canadian Dealer Offered Rate, the Canadian Prime Rate or the EURIBOR Rate.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or “</w:t>
      </w:r>
      <w:r>
        <w:rPr>
          <w:rFonts w:ascii="Arial" w:cs="Arial" w:eastAsia="Arial" w:hAnsi="Arial"/>
          <w:sz w:val="22"/>
          <w:szCs w:val="22"/>
          <w:u w:val="single" w:color="auto"/>
          <w:color w:val="auto"/>
        </w:rPr>
        <w:t>United Kingdom</w:t>
      </w:r>
      <w:r>
        <w:rPr>
          <w:rFonts w:ascii="Arial" w:cs="Arial" w:eastAsia="Arial" w:hAnsi="Arial"/>
          <w:sz w:val="22"/>
          <w:szCs w:val="22"/>
          <w:color w:val="auto"/>
        </w:rPr>
        <w:t>” means the United Kingdom of Great Britain and Northern Ireland.</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means any Borrower (a) that is organized or formed under the laws of the United Kingdom or (b) payments from which under this Agreement or any other Loan Document are subject to withholding Taxes imposed by the laws of the United Kingdom.</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Institutions</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Fee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9.24</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2.17(f)(ii)(B)(3)</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Subsidiary</w:t>
      </w:r>
      <w:r>
        <w:rPr>
          <w:rFonts w:ascii="Arial" w:cs="Arial" w:eastAsia="Arial" w:hAnsi="Arial"/>
          <w:sz w:val="22"/>
          <w:szCs w:val="22"/>
          <w:color w:val="auto"/>
        </w:rPr>
        <w:t>”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89" w:name="page90"/>
    <w:bookmarkEnd w:id="8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1 of Subtitle E of Title IV of ERISA.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Credit Party and the Administrative Agent.</w:t>
      </w:r>
    </w:p>
    <w:p>
      <w:pPr>
        <w:spacing w:after="0" w:line="24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Loan</w:t>
      </w:r>
      <w:r>
        <w:rPr>
          <w:rFonts w:ascii="Arial" w:cs="Arial" w:eastAsia="Arial" w:hAnsi="Arial"/>
          <w:sz w:val="19"/>
          <w:szCs w:val="19"/>
          <w:color w:val="auto"/>
        </w:rPr>
        <w:t>”) or by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Loan</w:t>
      </w:r>
      <w:r>
        <w:rPr>
          <w:rFonts w:ascii="Arial" w:cs="Arial" w:eastAsia="Arial" w:hAnsi="Arial"/>
          <w:sz w:val="19"/>
          <w:szCs w:val="19"/>
          <w:color w:val="auto"/>
        </w:rPr>
        <w:t>”)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Revolving Loan</w:t>
      </w:r>
      <w:r>
        <w:rPr>
          <w:rFonts w:ascii="Arial" w:cs="Arial" w:eastAsia="Arial" w:hAnsi="Arial"/>
          <w:sz w:val="19"/>
          <w:szCs w:val="19"/>
          <w:color w:val="auto"/>
        </w:rPr>
        <w:t>”). Borrowings also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Borrowing</w:t>
      </w:r>
      <w:r>
        <w:rPr>
          <w:rFonts w:ascii="Arial" w:cs="Arial" w:eastAsia="Arial" w:hAnsi="Arial"/>
          <w:sz w:val="19"/>
          <w:szCs w:val="19"/>
          <w:color w:val="auto"/>
        </w:rPr>
        <w:t>”) or by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Borrowing</w:t>
      </w:r>
      <w:r>
        <w:rPr>
          <w:rFonts w:ascii="Arial" w:cs="Arial" w:eastAsia="Arial" w:hAnsi="Arial"/>
          <w:sz w:val="19"/>
          <w:szCs w:val="19"/>
          <w:color w:val="auto"/>
        </w:rPr>
        <w:t>”)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Revolving Borrowing</w:t>
      </w:r>
      <w:r>
        <w:rPr>
          <w:rFonts w:ascii="Arial" w:cs="Arial" w:eastAsia="Arial" w:hAnsi="Arial"/>
          <w:sz w:val="19"/>
          <w:szCs w:val="19"/>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hereunder having the force of law or with which affected Persons customarily comply) and all judgments, orders and decrees of all Governmental Authorities. The word “will” shall be construed to have the same meaning and effect as the word “shall”. Unless the context requires otherwise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any reference herein to any Person shall be construed to include such Person’s successors and assigns, the words “herein”, “hereof” and “hereunder”, and words of similar import, shall be construed to refer to this Agreement in its entirety and not to any particular provision hereof, all references herein to Articles, Sections, Exhibits and Schedules shall be construed to refer to Articles and Sections of, and Exhibits and Schedules to, this Agreement any reference to any law, statute, rule or regulation herein shall, unless otherwise specified, refer to such law, statute, rule or regulation as amended, modified or supplemented from time to time, and the words “asset” and “property” shall be construed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90" w:name="page91"/>
    <w:bookmarkEnd w:id="90"/>
    <w:p>
      <w:pPr>
        <w:spacing w:after="0" w:line="287" w:lineRule="auto"/>
        <w:rPr>
          <w:sz w:val="20"/>
          <w:szCs w:val="20"/>
          <w:color w:val="auto"/>
        </w:rPr>
      </w:pPr>
      <w:r>
        <w:rPr>
          <w:rFonts w:ascii="Arial" w:cs="Arial" w:eastAsia="Arial" w:hAnsi="Arial"/>
          <w:sz w:val="21"/>
          <w:szCs w:val="21"/>
          <w:color w:val="auto"/>
        </w:rPr>
        <w:t>have the same meaning and effect and to refer to any and all tangible and intangible assets and properties and all assets and properties of a mixed tangible and intangible nature, including cash, securities, accounts and contract rights.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Accounting Terms; GAAP</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5" w:lineRule="auto"/>
        <w:tabs>
          <w:tab w:leader="none" w:pos="1158" w:val="left"/>
        </w:tabs>
        <w:numPr>
          <w:ilvl w:val="0"/>
          <w:numId w:val="48"/>
        </w:numPr>
        <w:rPr>
          <w:rFonts w:ascii="Arial" w:cs="Arial" w:eastAsia="Arial" w:hAnsi="Arial"/>
          <w:sz w:val="19"/>
          <w:szCs w:val="19"/>
          <w:color w:val="auto"/>
        </w:rPr>
      </w:pPr>
      <w:r>
        <w:rPr>
          <w:rFonts w:ascii="Arial" w:cs="Arial" w:eastAsia="Arial" w:hAnsi="Arial"/>
          <w:sz w:val="19"/>
          <w:szCs w:val="19"/>
          <w:color w:val="auto"/>
        </w:rPr>
        <w:t>Except as 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date hereof in GAAP or in the International Financial Reporting Standards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or in the application thereof, then such provision shall be interpreted on the basis of GAAP or International Financial Reporting Standards, as applicable,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5" w:lineRule="exact"/>
        <w:rPr>
          <w:rFonts w:ascii="Arial" w:cs="Arial" w:eastAsia="Arial" w:hAnsi="Arial"/>
          <w:sz w:val="19"/>
          <w:szCs w:val="19"/>
          <w:color w:val="auto"/>
        </w:rPr>
      </w:pPr>
    </w:p>
    <w:p>
      <w:pPr>
        <w:jc w:val="both"/>
        <w:ind w:firstLine="656"/>
        <w:spacing w:after="0" w:line="260" w:lineRule="auto"/>
        <w:tabs>
          <w:tab w:leader="none" w:pos="1289" w:val="left"/>
        </w:tabs>
        <w:numPr>
          <w:ilvl w:val="0"/>
          <w:numId w:val="48"/>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Currency Matters; Determination of U.S. Dollar Amounts</w:t>
      </w:r>
      <w:r>
        <w:rPr>
          <w:rFonts w:ascii="Arial" w:cs="Arial" w:eastAsia="Arial" w:hAnsi="Arial"/>
          <w:sz w:val="22"/>
          <w:szCs w:val="22"/>
          <w:color w:val="auto"/>
        </w:rPr>
        <w:t>.</w:t>
      </w:r>
    </w:p>
    <w:p>
      <w:pPr>
        <w:spacing w:after="0" w:line="21" w:lineRule="exact"/>
        <w:rPr>
          <w:sz w:val="20"/>
          <w:szCs w:val="20"/>
          <w:color w:val="auto"/>
        </w:rPr>
      </w:pPr>
    </w:p>
    <w:p>
      <w:pPr>
        <w:jc w:val="both"/>
        <w:ind w:firstLine="656"/>
        <w:spacing w:after="0" w:line="302" w:lineRule="auto"/>
        <w:tabs>
          <w:tab w:leader="none" w:pos="121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Currency Matters</w:t>
      </w:r>
      <w:r>
        <w:rPr>
          <w:rFonts w:ascii="Arial" w:cs="Arial" w:eastAsia="Arial" w:hAnsi="Arial"/>
          <w:sz w:val="19"/>
          <w:szCs w:val="19"/>
          <w:color w:val="auto"/>
        </w:rPr>
        <w:t>. Principal, interest, reimbursement obligations, fees, and all other amounts payable under this Agreement and the other Loan Documents to the Administrative Agent and the Lenders shall be payable in the currency in which such Obligations are denominated. Unless stated otherwise, all calculations, comparisons, measurements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97" w:lineRule="auto"/>
        <w:rPr>
          <w:sz w:val="20"/>
          <w:szCs w:val="20"/>
          <w:color w:val="auto"/>
        </w:rPr>
      </w:pPr>
      <w:r>
        <w:rPr>
          <w:rFonts w:ascii="Arial" w:cs="Arial" w:eastAsia="Arial" w:hAnsi="Arial"/>
          <w:sz w:val="19"/>
          <w:szCs w:val="19"/>
          <w:color w:val="auto"/>
        </w:rPr>
        <w:t>determinations under this Agreement shall be made in U.S. Dollars. For the purpose of such calculations, comparisons, measurements or determinations, amounts or proceeds denominated in other currencies shall be converted to the Equivalent Amount of U.S. Dollars on the date of calculation, comparison, measurement or determination. Unless expressly provided otherwise, where a reference is made to a dollar amount, the amount is to be considered as the amount in U.S. Dollars and, therefore, each other currency shall be converted into the Equivalent Amount thereof in U.S. Dollars.</w:t>
      </w:r>
    </w:p>
    <w:p>
      <w:pPr>
        <w:spacing w:after="0" w:line="174" w:lineRule="exact"/>
        <w:rPr>
          <w:sz w:val="20"/>
          <w:szCs w:val="20"/>
          <w:color w:val="auto"/>
        </w:rPr>
      </w:pPr>
    </w:p>
    <w:p>
      <w:pPr>
        <w:ind w:left="1200" w:hanging="544"/>
        <w:spacing w:after="0"/>
        <w:tabs>
          <w:tab w:leader="none" w:pos="120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Determination of Equivalent Amounts</w:t>
      </w:r>
      <w:r>
        <w:rPr>
          <w:rFonts w:ascii="Arial" w:cs="Arial" w:eastAsia="Arial" w:hAnsi="Arial"/>
          <w:sz w:val="19"/>
          <w:szCs w:val="19"/>
          <w:color w:val="auto"/>
        </w:rPr>
        <w:t>. The Administrative Agent will determine the Equivalent Amount in U.S.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Dollars of:</w:t>
      </w:r>
    </w:p>
    <w:p>
      <w:pPr>
        <w:spacing w:after="0" w:line="228" w:lineRule="exact"/>
        <w:rPr>
          <w:rFonts w:ascii="Arial" w:cs="Arial" w:eastAsia="Arial" w:hAnsi="Arial"/>
          <w:sz w:val="19"/>
          <w:szCs w:val="19"/>
          <w:color w:val="auto"/>
        </w:rPr>
      </w:pPr>
    </w:p>
    <w:p>
      <w:pPr>
        <w:jc w:val="both"/>
        <w:ind w:left="660" w:firstLine="440"/>
        <w:spacing w:after="0" w:line="253" w:lineRule="auto"/>
        <w:tabs>
          <w:tab w:leader="none" w:pos="1362" w:val="left"/>
        </w:tabs>
        <w:numPr>
          <w:ilvl w:val="1"/>
          <w:numId w:val="50"/>
        </w:numPr>
        <w:rPr>
          <w:rFonts w:ascii="Arial" w:cs="Arial" w:eastAsia="Arial" w:hAnsi="Arial"/>
          <w:sz w:val="22"/>
          <w:szCs w:val="22"/>
          <w:color w:val="auto"/>
        </w:rPr>
      </w:pPr>
      <w:r>
        <w:rPr>
          <w:rFonts w:ascii="Arial" w:cs="Arial" w:eastAsia="Arial" w:hAnsi="Arial"/>
          <w:sz w:val="22"/>
          <w:szCs w:val="22"/>
          <w:color w:val="auto"/>
        </w:rPr>
        <w:t>each Borrowing denominated in a Foreign Currency as of the date two (2) Business Days prior to the date of such Borrowing (or, in the case of a Canadian Prime Rate Borrowing, as of the date of receipt of the request for such Loan) or, if applicable, the date of conversion/continuation of any such Borrowing;</w:t>
      </w:r>
    </w:p>
    <w:p>
      <w:pPr>
        <w:spacing w:after="0" w:line="212" w:lineRule="exact"/>
        <w:rPr>
          <w:rFonts w:ascii="Arial" w:cs="Arial" w:eastAsia="Arial" w:hAnsi="Arial"/>
          <w:sz w:val="22"/>
          <w:szCs w:val="22"/>
          <w:color w:val="auto"/>
        </w:rPr>
      </w:pPr>
    </w:p>
    <w:p>
      <w:pPr>
        <w:ind w:left="660" w:firstLine="380"/>
        <w:spacing w:after="0" w:line="263" w:lineRule="auto"/>
        <w:tabs>
          <w:tab w:leader="none" w:pos="1362"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LC Exposure as of the date of each request for the issuance, amendment, renewal or extension of any Letter of Credit; and</w:t>
      </w:r>
    </w:p>
    <w:p>
      <w:pPr>
        <w:spacing w:after="0" w:line="215" w:lineRule="exact"/>
        <w:rPr>
          <w:rFonts w:ascii="Arial" w:cs="Arial" w:eastAsia="Arial" w:hAnsi="Arial"/>
          <w:sz w:val="22"/>
          <w:szCs w:val="22"/>
          <w:color w:val="auto"/>
        </w:rPr>
      </w:pPr>
    </w:p>
    <w:p>
      <w:pPr>
        <w:jc w:val="both"/>
        <w:ind w:left="660" w:firstLine="320"/>
        <w:spacing w:after="0" w:line="253" w:lineRule="auto"/>
        <w:tabs>
          <w:tab w:leader="none" w:pos="1362"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outstanding Revolving Credit Exposure on and as of the last Business Day of each calendar quarter and, during the continuation of an Event of Default, on any other Business Day elected by the Administrative Agent in its discretion or upon instruction by the Required Lenders.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Each day upon or as of which the Administrative Agent determines Equivalent Amounts as described in the preceding clauses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is herein described as a “</w:t>
      </w:r>
      <w:r>
        <w:rPr>
          <w:rFonts w:ascii="Arial" w:cs="Arial" w:eastAsia="Arial" w:hAnsi="Arial"/>
          <w:sz w:val="22"/>
          <w:szCs w:val="22"/>
          <w:u w:val="single" w:color="auto"/>
          <w:color w:val="auto"/>
        </w:rPr>
        <w:t>Computation Date</w:t>
      </w:r>
      <w:r>
        <w:rPr>
          <w:rFonts w:ascii="Arial" w:cs="Arial" w:eastAsia="Arial" w:hAnsi="Arial"/>
          <w:sz w:val="22"/>
          <w:szCs w:val="22"/>
          <w:color w:val="auto"/>
        </w:rPr>
        <w:t>” with respect to each Borrowing, Letter of Credit or LC Exposure for which an Equivalent Amount is determined on or as of such day.</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9"/>
          <w:szCs w:val="19"/>
          <w:u w:val="single" w:color="auto"/>
          <w:color w:val="auto"/>
        </w:rPr>
        <w:t>IBA</w:t>
      </w:r>
      <w:r>
        <w:rPr>
          <w:rFonts w:ascii="Arial" w:cs="Arial" w:eastAsia="Arial" w:hAnsi="Arial"/>
          <w:sz w:val="19"/>
          <w:szCs w:val="19"/>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92" w:name="page93"/>
    <w:bookmarkEnd w:id="92"/>
    <w:p>
      <w:pPr>
        <w:jc w:val="both"/>
        <w:spacing w:after="0" w:line="286" w:lineRule="auto"/>
        <w:rPr>
          <w:sz w:val="20"/>
          <w:szCs w:val="20"/>
          <w:color w:val="auto"/>
        </w:rPr>
      </w:pPr>
      <w:r>
        <w:rPr>
          <w:rFonts w:ascii="Arial" w:cs="Arial" w:eastAsia="Arial" w:hAnsi="Arial"/>
          <w:sz w:val="19"/>
          <w:szCs w:val="19"/>
          <w:color w:val="auto"/>
        </w:rPr>
        <w:t xml:space="preserve">reference rates to be used in place of the London interbank offered rate. Upon the occurrence of a Benchmark Transition Event, a Term SOFR Transition Event or an Early Opt-in Election,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provide the mechanism for determining an alternative rate of interest. The Administrative Agent will promptly notify the Borrower, pursuant to </w:t>
      </w:r>
      <w:r>
        <w:rPr>
          <w:rFonts w:ascii="Arial" w:cs="Arial" w:eastAsia="Arial" w:hAnsi="Arial"/>
          <w:sz w:val="19"/>
          <w:szCs w:val="19"/>
          <w:u w:val="single" w:color="auto"/>
          <w:color w:val="auto"/>
        </w:rPr>
        <w:t>Section 2.14(f)</w:t>
      </w:r>
      <w:r>
        <w:rPr>
          <w:rFonts w:ascii="Arial" w:cs="Arial" w:eastAsia="Arial" w:hAnsi="Arial"/>
          <w:sz w:val="19"/>
          <w:szCs w:val="19"/>
          <w:color w:val="auto"/>
        </w:rPr>
        <w:t xml:space="preserv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“EURIBOR Rate”, as applicable) or with respect to any alternative or successor rate thereto, or replacement rate thereof (including, without limitation, any such alternative, successor or replacement rate implemented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whether upon the occurrence of a Benchmark Transition Event, a Term SOFR Transition Event or an Early Opt-in Election, and the implementation of any Benchmark Replacement Conforming Changes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including without limitation, whether the composition or characteristics of any such alternative, successor or replacement reference rate will be similar to, or produce the same value or economic equivalence of, the LIBO Rate (or the EURIBOR Rate, as applicable) or have the same volume or liquidity as did the London interbank offered rate (or the euro interbank offered rate, as applicable) prior to its discontinuance or unavailability.</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Letter of Credit Amounts</w:t>
      </w:r>
      <w:r>
        <w:rPr>
          <w:rFonts w:ascii="Arial" w:cs="Arial" w:eastAsia="Arial" w:hAnsi="Arial"/>
          <w:sz w:val="22"/>
          <w:szCs w:val="22"/>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 and if any new Person comes into existence, such new Person shall be deemed to have been organized and acquired on the first date of its existence by the holders of its Equity Interests at such time.</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The Credits</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Loans and Revolving Commitments</w:t>
      </w:r>
      <w:r>
        <w:rPr>
          <w:rFonts w:ascii="Arial" w:cs="Arial" w:eastAsia="Arial" w:hAnsi="Arial"/>
          <w:sz w:val="22"/>
          <w:szCs w:val="22"/>
          <w:color w:val="auto"/>
        </w:rPr>
        <w:t>. Subject to the terms and conditions set forth herein, each Lender agrees to make Revolving Loans in Canadian Dollars to the Canadian Borrowers, Revolving Loans in U.S. Dollars and Foreign Currencies to the Company, Revolving Loans in Australian Dollars to the Australian Borrower and Revolving Loans in Euros or Sterling to the Euro/Sterling Borrower, in each case, from time to time during the Availability Period in an aggregate principal amount that will not result in such Lender’s Revolving Credit Exposure exceeding such Lender’s Revolving Commitment, the total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auto"/>
        </w:rPr>
        <w:t>Revolving Credit Exposure exceeding the aggregate Revolving Commitments or the Foreign Currency Exposure exceeding the Foreign Currency Sublimit. Within the foregoing limits and subject to the terms and conditions set forth in this Agreement, the Borrowers may borrow, prepay and reborrow Revolving Loans.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302" w:lineRule="auto"/>
        <w:tabs>
          <w:tab w:leader="none" w:pos="1185"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Each Revolving Loan shall be made as part of a Borrowing consisting of Revolving Loans made by the Lenders ratably in accordance with their Applicable Percentages. The failure of any Lender to make any Revolving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Commitments of the Lenders are several and no Lender shall be responsible for any other Lender’s failure to make Revolving Loans as required.</w:t>
      </w:r>
    </w:p>
    <w:p>
      <w:pPr>
        <w:spacing w:after="0" w:line="169" w:lineRule="exact"/>
        <w:rPr>
          <w:rFonts w:ascii="Arial" w:cs="Arial" w:eastAsia="Arial" w:hAnsi="Arial"/>
          <w:sz w:val="19"/>
          <w:szCs w:val="19"/>
          <w:color w:val="auto"/>
        </w:rPr>
      </w:pPr>
    </w:p>
    <w:p>
      <w:pPr>
        <w:jc w:val="both"/>
        <w:ind w:firstLine="656"/>
        <w:spacing w:after="0" w:line="258" w:lineRule="auto"/>
        <w:tabs>
          <w:tab w:leader="none" w:pos="1116"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each Revolving Borrowing denominated in Canadian Dollars shall be comprised entirely of Canadian Prime Rate Loans or CDOR Loans as the Company may request in accordance herewith, each Revolving Borrowing denominated in U.S. Dollars shall be comprised entirely of ABR Loans or Eurocurrency Loans as the Company may request in accordance herewith, each Revolving Loan denominated in Euros shall be comprised entirely of EURIBOR Loans and each Revolving Loan denominated in a Foreign Currency (other than Euros and Canadian Dollars) shall be comprised entirely of Eurocurrency Loans. Each Swingline Loan denominated in Canadian Dollars shall be a Canadian Prime Rate Loan and each Swingline Loan denominated in U.S. Dollars shall be an ABR Loan. Each Lender at its option may make any Eurocurrency Loan, EURIBOR Loan or CDOR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Borrowers to repay such Loan in accordance with the terms of this Agreement.</w:t>
      </w:r>
    </w:p>
    <w:p>
      <w:pPr>
        <w:spacing w:after="0" w:line="225" w:lineRule="exact"/>
        <w:rPr>
          <w:rFonts w:ascii="Arial" w:cs="Arial" w:eastAsia="Arial" w:hAnsi="Arial"/>
          <w:sz w:val="21"/>
          <w:szCs w:val="21"/>
          <w:color w:val="auto"/>
        </w:rPr>
      </w:pPr>
    </w:p>
    <w:p>
      <w:pPr>
        <w:jc w:val="both"/>
        <w:ind w:firstLine="656"/>
        <w:spacing w:after="0" w:line="288" w:lineRule="auto"/>
        <w:tabs>
          <w:tab w:leader="none" w:pos="117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CDOR Borrowing, Eurocurrency Borrowing or EURIBOR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$100,000 and not less than $100,000, and at the time that each Canadian Prime Rate Borrowing is made, such Borrowing shall be in an aggregate amount that is an integral multiple of Cdn$100,000 and not less than Cdn$100,000;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or Canadian Prime Rate Revolving Borrowing may be in an aggregate amount that is equal to the entire unused balance of the aggregate Revolving Commitments, that which is required to repay a Swingline Loan or that which is required to finance the reimbursement of an LC Disbursement as contemplated by </w:t>
      </w:r>
      <w:r>
        <w:rPr>
          <w:rFonts w:ascii="Arial" w:cs="Arial" w:eastAsia="Arial" w:hAnsi="Arial"/>
          <w:sz w:val="19"/>
          <w:szCs w:val="19"/>
          <w:u w:val="single" w:color="auto"/>
          <w:color w:val="auto"/>
        </w:rPr>
        <w:t>Section 2.06(e)</w:t>
      </w:r>
      <w:r>
        <w:rPr>
          <w:rFonts w:ascii="Arial" w:cs="Arial" w:eastAsia="Arial" w:hAnsi="Arial"/>
          <w:sz w:val="19"/>
          <w:szCs w:val="19"/>
          <w:color w:val="auto"/>
        </w:rPr>
        <w:t>. Each Swingline Loan shall be in an amount not less than $100,000 or Cdn$100,000, as applicable. Borrowings of more than one Type and Class may be outstanding at the same time.</w:t>
      </w:r>
    </w:p>
    <w:p>
      <w:pPr>
        <w:spacing w:after="0" w:line="186" w:lineRule="exact"/>
        <w:rPr>
          <w:rFonts w:ascii="Arial" w:cs="Arial" w:eastAsia="Arial" w:hAnsi="Arial"/>
          <w:sz w:val="19"/>
          <w:szCs w:val="19"/>
          <w:color w:val="auto"/>
        </w:rPr>
      </w:pPr>
    </w:p>
    <w:p>
      <w:pPr>
        <w:jc w:val="both"/>
        <w:ind w:firstLine="656"/>
        <w:spacing w:after="0" w:line="253" w:lineRule="auto"/>
        <w:tabs>
          <w:tab w:leader="none" w:pos="115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Borrowers shall not be entitled to request or to elect to convert or continue any Revolving Borrowing if the Interest Period requested with respect thereto would end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94" w:name="page95"/>
    <w:bookmarkEnd w:id="94"/>
    <w:p>
      <w:pPr>
        <w:jc w:val="both"/>
        <w:ind w:firstLine="648"/>
        <w:spacing w:after="0" w:line="28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Revolving Borrowings</w:t>
      </w:r>
      <w:r>
        <w:rPr>
          <w:rFonts w:ascii="Arial" w:cs="Arial" w:eastAsia="Arial" w:hAnsi="Arial"/>
          <w:sz w:val="19"/>
          <w:szCs w:val="19"/>
          <w:color w:val="auto"/>
        </w:rPr>
        <w:t xml:space="preserve">. To request a Revolving Borrowing, the Company shall notify the Administrative Agent of such request by telephone in the case of a Borrowing in U.S. Dollars and in writing in the case of a Borrowing in a Foreign Currency in the case of a CDOR Borrowing or Eurocurrency Borrowing denominated in U.S. Dollars, not later than 11:00 a.m., New York City time, three (3) Business Days before the date of the proposed Borrowing, in the case of a Eurocurrency Borrowing denominated in a Foreign Currency or a EURIBOR Borrowing, not later than 11:00 a.m., Local Time, three Business Days before the date of the proposed Borrowing, or in the case of a Canadian Prime Rate Borrowing or an ABR Borrowing, not later than 11:00 a.m., New York City time, one Business Day before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of a Canadian Prime Rate Borrowing or an ABR Revolving Borrowing to finance the reimbursement of an LC Disbursement as contemplated by </w:t>
      </w:r>
      <w:r>
        <w:rPr>
          <w:rFonts w:ascii="Arial" w:cs="Arial" w:eastAsia="Arial" w:hAnsi="Arial"/>
          <w:sz w:val="19"/>
          <w:szCs w:val="19"/>
          <w:u w:val="single" w:color="auto"/>
          <w:color w:val="auto"/>
        </w:rPr>
        <w:t>Section 2.06(e)</w:t>
      </w:r>
      <w:r>
        <w:rPr>
          <w:rFonts w:ascii="Arial" w:cs="Arial" w:eastAsia="Arial" w:hAnsi="Arial"/>
          <w:sz w:val="19"/>
          <w:szCs w:val="19"/>
          <w:color w:val="auto"/>
        </w:rPr>
        <w:t xml:space="preserve"> may be given not later than 10:00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Company. Each such telephonic and written Borrowing Request shall specify the following information in compliance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200" w:lineRule="exact"/>
        <w:rPr>
          <w:sz w:val="20"/>
          <w:szCs w:val="20"/>
          <w:color w:val="auto"/>
        </w:rPr>
      </w:pPr>
    </w:p>
    <w:p>
      <w:pPr>
        <w:spacing w:after="0" w:line="242"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name of the Borrower that will receive the requested Borrowing;</w:t>
      </w:r>
    </w:p>
    <w:p>
      <w:pPr>
        <w:spacing w:after="0" w:line="246" w:lineRule="exact"/>
        <w:rPr>
          <w:rFonts w:ascii="Arial" w:cs="Arial" w:eastAsia="Arial" w:hAnsi="Arial"/>
          <w:sz w:val="22"/>
          <w:szCs w:val="22"/>
          <w:color w:val="auto"/>
        </w:rPr>
      </w:pPr>
    </w:p>
    <w:p>
      <w:pPr>
        <w:ind w:left="1140" w:hanging="478"/>
        <w:spacing w:after="0"/>
        <w:tabs>
          <w:tab w:leader="none" w:pos="11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currency and the aggregate amount of the requested Borrowing;</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46" w:lineRule="exact"/>
        <w:rPr>
          <w:rFonts w:ascii="Arial" w:cs="Arial" w:eastAsia="Arial" w:hAnsi="Arial"/>
          <w:sz w:val="22"/>
          <w:szCs w:val="22"/>
          <w:color w:val="auto"/>
        </w:rPr>
      </w:pPr>
    </w:p>
    <w:p>
      <w:pPr>
        <w:ind w:right="20" w:firstLine="656"/>
        <w:spacing w:after="0" w:line="263" w:lineRule="auto"/>
        <w:tabs>
          <w:tab w:leader="none" w:pos="1243" w:val="left"/>
        </w:tabs>
        <w:numPr>
          <w:ilvl w:val="0"/>
          <w:numId w:val="52"/>
        </w:numPr>
        <w:rPr>
          <w:rFonts w:ascii="Arial" w:cs="Arial" w:eastAsia="Arial" w:hAnsi="Arial"/>
          <w:sz w:val="22"/>
          <w:szCs w:val="22"/>
          <w:color w:val="auto"/>
        </w:rPr>
      </w:pPr>
      <w:r>
        <w:rPr>
          <w:rFonts w:ascii="Arial" w:cs="Arial" w:eastAsia="Arial" w:hAnsi="Arial"/>
          <w:sz w:val="22"/>
          <w:szCs w:val="22"/>
          <w:color w:val="auto"/>
        </w:rPr>
        <w:t>whether such Borrowing is to be an ABR Borrowing, a Canadian Prime Rate Borrowing, a CDOR Borrowing, a Eurocurrency Borrowing or a EURIBOR Borrowing, as applicable;</w:t>
      </w:r>
    </w:p>
    <w:p>
      <w:pPr>
        <w:spacing w:after="0" w:line="201" w:lineRule="exact"/>
        <w:rPr>
          <w:rFonts w:ascii="Arial" w:cs="Arial" w:eastAsia="Arial" w:hAnsi="Arial"/>
          <w:sz w:val="22"/>
          <w:szCs w:val="22"/>
          <w:color w:val="auto"/>
        </w:rPr>
      </w:pPr>
    </w:p>
    <w:p>
      <w:pPr>
        <w:ind w:firstLine="656"/>
        <w:spacing w:after="0" w:line="287" w:lineRule="auto"/>
        <w:tabs>
          <w:tab w:leader="none" w:pos="1139"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case of a CDOR Borrowing, a Eurocurrency Borrowing or a EURIBOR Borrowing, the initial Interest Period to be applicable thereto, which shall be a period contemplated by the definition of the term “Interest Period”; and</w:t>
      </w:r>
    </w:p>
    <w:p>
      <w:pPr>
        <w:spacing w:after="0" w:line="178" w:lineRule="exact"/>
        <w:rPr>
          <w:rFonts w:ascii="Arial" w:cs="Arial" w:eastAsia="Arial" w:hAnsi="Arial"/>
          <w:sz w:val="21"/>
          <w:szCs w:val="21"/>
          <w:color w:val="auto"/>
        </w:rPr>
      </w:pPr>
    </w:p>
    <w:p>
      <w:pPr>
        <w:ind w:firstLine="656"/>
        <w:spacing w:after="0" w:line="263" w:lineRule="auto"/>
        <w:tabs>
          <w:tab w:leader="none" w:pos="1289"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If no election as to the Type of Revolving Borrowing is specified, then the requested Revolving Borrowing shall be in the case of a Borrowing denominated in U.S. Dollars, an ABR Borrowing, in the case of a Borrowing denominated in Canadian Dollars, a Canadian Prime Rate Borrowing, in the case of a Borrowing denominated in Euros, a EURIBOR Borrowing and in the case of a Borrowing denominated in any other Foreign Currency, a Eurocurrency Borrowing. If no Interest Period is specified with respect to any requested CDOR Borrowing, Eurocurrency Borrowing or EURIBOR Borrowing, then the Company shall be deemed to have selected an Interest Period of one month’s duration. Promptly following receipt of a Borrowing Request in accordance with this Section, the Administrative Agent shall advise each Lender of the details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thereof and of the amount of such Lender’s Revolving Loan to be made as part of the requested Borrowing.</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Increase in Revolving Commitments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4" w:lineRule="auto"/>
        <w:tabs>
          <w:tab w:leader="none" w:pos="122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Request for Increase</w:t>
      </w:r>
      <w:r>
        <w:rPr>
          <w:rFonts w:ascii="Arial" w:cs="Arial" w:eastAsia="Arial" w:hAnsi="Arial"/>
          <w:sz w:val="19"/>
          <w:szCs w:val="19"/>
          <w:color w:val="auto"/>
        </w:rPr>
        <w:t>. Provided there exists no Default, the Company may, at any time and from time to time, request, by notice to the Administrative Agent, the Administrative Agent’s approval of an increase of the aggregate Revolving Commitments (a “</w:t>
      </w:r>
      <w:r>
        <w:rPr>
          <w:rFonts w:ascii="Arial" w:cs="Arial" w:eastAsia="Arial" w:hAnsi="Arial"/>
          <w:sz w:val="19"/>
          <w:szCs w:val="19"/>
          <w:u w:val="single" w:color="auto"/>
          <w:color w:val="auto"/>
        </w:rPr>
        <w:t>Revolving Commitment Increase</w:t>
      </w:r>
      <w:r>
        <w:rPr>
          <w:rFonts w:ascii="Arial" w:cs="Arial" w:eastAsia="Arial" w:hAnsi="Arial"/>
          <w:sz w:val="19"/>
          <w:szCs w:val="19"/>
          <w:color w:val="auto"/>
        </w:rPr>
        <w:t xml:space="preserve">”) within the limitations hereafter described, which request shall set forth the amount of each such requested Revolving Commitment Increase. The Administrative Agent shall notify all the Lenders of any such request and provide them the first right to participate in the same proportions that their respective Applicable Percentages bear to those of all the Lenders who elect to participate therein. Within twenty (20) days of such request, the Administrative Agent shall advise the Company of its approval or disapproval of such request; failure to so advise the Company shall constitute disapproval. If the Administrative Agent approves any such Revolving Commitment Increase, then the aggregate Revolving Commitments may be so increased (up to the amount of such approved Revolving Commitment Increase) by having one or more of the Lenders increase the amount of their then existing Revolving Commitments and, if the existing Lenders do not choose to participate to the extent necessary for the applicable Revolving Commitment Increase to be provided entirely by the existing Lenders, by having one or more new banks or financial institutions become the Lenders party to this Agreement. Any Revolving Commitment Increase shall be subject to the following limitations and conditions: any Revolving Commitment Increase shall not be less than $10,000,000 (and shall be in integral multiples of $10,000,000 if in excess thereof); no Revolving Commitment Increase shall increase the aggregate Revolving Commitments to an amount in excess of $250,000,000;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9.04(b)</w:t>
      </w:r>
      <w:r>
        <w:rPr>
          <w:rFonts w:ascii="Arial" w:cs="Arial" w:eastAsia="Arial" w:hAnsi="Arial"/>
          <w:sz w:val="19"/>
          <w:szCs w:val="19"/>
          <w:color w:val="auto"/>
        </w:rPr>
        <w:t xml:space="preserve"> shall apply in respect of any Increasing Lender that is not a Lender before the Revolving Commitment Increase, as if such Increasing Lender were an assignee of a Revolving Commitment, the Borrowers shall have executed and delivered to the Administrative Agent such Note or Notes as the applicable Increasing Lender requests to reflect such Revolving Commitment Increase (or, in the case of a new Lender, such Lender’s Revolving Commitment); the Company shall have delivered a certificate executed by an Authorized Officer of the Company and dated the effective date of such Revolving Commitment Increase, to the effect that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(with all references in such paragraphs to a Borrowing being deemed to be references to such Revolving Commitment Increase and attaching resolutions of the Borrowers approving such Revolving Commitment Increase); the </w:t>
      </w:r>
      <w:r>
        <w:rPr>
          <w:rFonts w:ascii="Arial" w:cs="Arial" w:eastAsia="Arial" w:hAnsi="Arial"/>
          <w:sz w:val="17"/>
          <w:szCs w:val="17"/>
          <w:color w:val="auto"/>
        </w:rPr>
        <w:t>Subsidiary</w:t>
      </w:r>
      <w:r>
        <w:rPr>
          <w:rFonts w:ascii="Arial" w:cs="Arial" w:eastAsia="Arial" w:hAnsi="Arial"/>
          <w:sz w:val="19"/>
          <w:szCs w:val="19"/>
          <w:color w:val="auto"/>
        </w:rPr>
        <w:t xml:space="preserve"> Guarantors shall have consented in writing to the Revolving Commitment Increase and shall have agreed in writing that their respective Subsidiary Guaranties continue in full force and effect; and the Company, the Subsidiary Guarantors and each Increasing Lender shall have executed and delivered such other instruments and documents as the Administrative Agent shall have reasonably requested in connection with such Revolving Commitment Increase, in the case of the documents required under clauses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in form and substance reasonably satisfactory to the Administrative Agent. The Administrative Agent shall provide written notice to all of the Lenders hereunder of any Revolving Commitment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96" w:name="page97"/>
    <w:bookmarkEnd w:id="96"/>
    <w:p>
      <w:pPr>
        <w:jc w:val="both"/>
        <w:ind w:left="-220" w:firstLine="656"/>
        <w:spacing w:after="0" w:line="286" w:lineRule="auto"/>
        <w:tabs>
          <w:tab w:leader="none" w:pos="105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Revolving Loans by Increasing Lenders</w:t>
      </w:r>
      <w:r>
        <w:rPr>
          <w:rFonts w:ascii="Arial" w:cs="Arial" w:eastAsia="Arial" w:hAnsi="Arial"/>
          <w:sz w:val="19"/>
          <w:szCs w:val="19"/>
          <w:color w:val="auto"/>
        </w:rPr>
        <w:t xml:space="preserve">. Upon the effective date of any increase in the aggregate Revolving Commitments pursuant to the provisions hereof, which effective date shall be mutually agreed upon by the Company, each Increasing Lender and the Administrative Agent, each Increasing Lender shall make a payment to the Administrative Agent in an amount sufficient, upon the application of such payments by all Increasing Lenders to the reduction of the outstanding Revolving Loans held by the Lenders, to cause the principal amount outstanding under the Revolving Loans made by each Lender (including, as applicable, any Increasing Lender) to be in the amount of its Applicable Percentage (upon the effective date of such increase). The Borrowers hereby irrevocably authorize each Increasing Lender to fund to the Administrative Agent the payment required to be made pursuant to the immediately preceding sentence for application to the reduction of the outstanding Revolving Loans held by the other the Lenders hereunder. If, as a result of the repayment of the Revolving Loans provided for in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any payment of a Eurocurrency Borrowing, CDOR Borrowing or EURIBOR Borrowing occurs on a day which is not the last day of the applicable Interest Period, the Borrowers will pay to the Administrative Agent for the benefit of any of the Lenders holding such Borrowing any loss or cost incurred by such Lender resulting therefrom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Upon the effective date of such increase in the aggregate Revolving Commitments, all Eurocurrency Loans denominated in U.S. Dollars outstanding hereunder (including any Revolving Loans made by the Increasing Lenders on such date) shall be ABR Loans, subject to the Company’s right to convert the same to Eurocurrency Loans on or after such date in accordance with the provisions of </w:t>
      </w:r>
      <w:r>
        <w:rPr>
          <w:rFonts w:ascii="Arial" w:cs="Arial" w:eastAsia="Arial" w:hAnsi="Arial"/>
          <w:sz w:val="19"/>
          <w:szCs w:val="19"/>
          <w:u w:val="single" w:color="auto"/>
          <w:color w:val="auto"/>
        </w:rPr>
        <w:t>Section 2.08</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left="-220" w:firstLine="656"/>
        <w:spacing w:after="0" w:line="292" w:lineRule="auto"/>
        <w:tabs>
          <w:tab w:leader="none" w:pos="10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Increasing Lenders’ Participation in Letters of Credit</w:t>
      </w:r>
      <w:r>
        <w:rPr>
          <w:rFonts w:ascii="Arial" w:cs="Arial" w:eastAsia="Arial" w:hAnsi="Arial"/>
          <w:sz w:val="19"/>
          <w:szCs w:val="19"/>
          <w:color w:val="auto"/>
        </w:rPr>
        <w:t xml:space="preserve">. Upon the effective date of any increase in the aggregate Revolving Commitments and the making of the Revolving Loans by the Increasing Lenders in accordance with the provisions of </w:t>
      </w:r>
      <w:r>
        <w:rPr>
          <w:rFonts w:ascii="Arial" w:cs="Arial" w:eastAsia="Arial" w:hAnsi="Arial"/>
          <w:sz w:val="19"/>
          <w:szCs w:val="19"/>
          <w:u w:val="single" w:color="auto"/>
          <w:color w:val="auto"/>
        </w:rPr>
        <w:t>Section 2.04(b)</w:t>
      </w:r>
      <w:r>
        <w:rPr>
          <w:rFonts w:ascii="Arial" w:cs="Arial" w:eastAsia="Arial" w:hAnsi="Arial"/>
          <w:sz w:val="19"/>
          <w:szCs w:val="19"/>
          <w:color w:val="auto"/>
        </w:rPr>
        <w:t>, each Increasing Lender shall also be deemed to have irrevocably and unconditionally purchased and received, without recourse or warranty, from the Lenders party to this Agreement immediately prior to the effective date of such increase, an undivided interest and participation in any Letters of Credit then outstanding, ratably, such that each Lender (including each Increasing Lender) holds a participation interest in each such Letter of Credit in proportion equal to its Applicable Percentage upon the effective date of such increase in the aggregate Revolving Commitments.</w:t>
      </w:r>
    </w:p>
    <w:p>
      <w:pPr>
        <w:spacing w:after="0" w:line="177" w:lineRule="exact"/>
        <w:rPr>
          <w:rFonts w:ascii="Arial" w:cs="Arial" w:eastAsia="Arial" w:hAnsi="Arial"/>
          <w:sz w:val="19"/>
          <w:szCs w:val="19"/>
          <w:color w:val="auto"/>
        </w:rPr>
      </w:pPr>
    </w:p>
    <w:p>
      <w:pPr>
        <w:jc w:val="both"/>
        <w:ind w:left="-220" w:firstLine="656"/>
        <w:spacing w:after="0" w:line="263" w:lineRule="auto"/>
        <w:tabs>
          <w:tab w:leader="none" w:pos="1044"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 Obligation to Increase Revolving Commitment</w:t>
      </w:r>
      <w:r>
        <w:rPr>
          <w:rFonts w:ascii="Arial" w:cs="Arial" w:eastAsia="Arial" w:hAnsi="Arial"/>
          <w:sz w:val="21"/>
          <w:szCs w:val="21"/>
          <w:color w:val="auto"/>
        </w:rPr>
        <w:t>. Nothing contained herein shall constitute, or otherwise be deemed to be, a commitment or agreement on the part of the Borrowers or the Administrative Agent to give or grant any Lender the right to increase its Revolving Commitment hereunder at any time or a commitment or agreement on the part of any Lender to increase its Revolving Commitment hereunder at any time, and no Revolving Commitment of a Lender shall be increased without its prior written approval, which it may grant or deny in its sole discretion.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60" w:lineRule="exact"/>
        <w:rPr>
          <w:sz w:val="20"/>
          <w:szCs w:val="20"/>
          <w:color w:val="auto"/>
        </w:rPr>
      </w:pPr>
    </w:p>
    <w:p>
      <w:pPr>
        <w:jc w:val="both"/>
        <w:ind w:left="-220" w:firstLine="656"/>
        <w:spacing w:after="0" w:line="253" w:lineRule="auto"/>
        <w:tabs>
          <w:tab w:leader="none" w:pos="1062"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the Swingline Lender agrees to make Swingline Loans denominated in Canadian Dollars to the Canadian Borrowers and Swingline Loans denominated in U.S. Dollars or Canadian Dollars to the Company from time 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20"/>
          </w:cols>
          <w:pgMar w:left="540" w:top="1428" w:right="339" w:bottom="1440" w:gutter="0" w:footer="0" w:header="0"/>
        </w:sectPr>
      </w:pPr>
    </w:p>
    <w:bookmarkStart w:id="97" w:name="page98"/>
    <w:bookmarkEnd w:id="97"/>
    <w:p>
      <w:pPr>
        <w:jc w:val="both"/>
        <w:spacing w:after="0" w:line="263" w:lineRule="auto"/>
        <w:rPr>
          <w:sz w:val="20"/>
          <w:szCs w:val="20"/>
          <w:color w:val="auto"/>
        </w:rPr>
      </w:pPr>
      <w:r>
        <w:rPr>
          <w:rFonts w:ascii="Arial" w:cs="Arial" w:eastAsia="Arial" w:hAnsi="Arial"/>
          <w:sz w:val="21"/>
          <w:szCs w:val="21"/>
          <w:color w:val="auto"/>
        </w:rPr>
        <w:t xml:space="preserve">time during the Availability Period, in an aggregate principal amount at any time outstanding that will not result in the aggregate principal amount of outstanding Swingline Loans exceeding $30,000,000 or the Swingline Lender’s Revolving Credit Exposure exceeding its Revolving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Swingline Lender shall not be required to make a Swingline Loan to refinance an outstanding Swingline Loan. Within the foregoing limits and subject to the terms and conditions set forth herein, the Swingline Borrowers may borrow, prepay and reborrow Swingline Loans.</w:t>
      </w:r>
    </w:p>
    <w:p>
      <w:pPr>
        <w:spacing w:after="0" w:line="202" w:lineRule="exact"/>
        <w:rPr>
          <w:sz w:val="20"/>
          <w:szCs w:val="20"/>
          <w:color w:val="auto"/>
        </w:rPr>
      </w:pPr>
    </w:p>
    <w:p>
      <w:pPr>
        <w:jc w:val="both"/>
        <w:ind w:firstLine="656"/>
        <w:spacing w:after="0" w:line="289" w:lineRule="auto"/>
        <w:tabs>
          <w:tab w:leader="none" w:pos="122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To request a Swingline Loan, the Company shall notify the Administrative Agent of such request by telephone (confirmed by telecopy or electronic mail), not later than 12:00 noon, New York City time, on the day of a proposed Swingline Loan. Each such notice shall be irrevocable and shall specify the requested date (which shall be a Business Day) and amount of the requested Swingline Loan, as well as the name of the Swingline Borrower that will receive the Swingline Loan. The Administrative Agent will promptly advise the Swingline Lender of any such notice received from the Company. The Swingline Lender shall make each Swingline Loan available to the applicable Swingline Borrower by means of a credit to the general deposit account of such Swingline Borrower with the Swingline Lender (or, in the case of a Swingline Loan made to finance the reimbursement of an LC Disbursement as provided in </w:t>
      </w:r>
      <w:r>
        <w:rPr>
          <w:rFonts w:ascii="Arial" w:cs="Arial" w:eastAsia="Arial" w:hAnsi="Arial"/>
          <w:sz w:val="19"/>
          <w:szCs w:val="19"/>
          <w:u w:val="single" w:color="auto"/>
          <w:color w:val="auto"/>
        </w:rPr>
        <w:t>Section 2.06(e)</w:t>
      </w:r>
      <w:r>
        <w:rPr>
          <w:rFonts w:ascii="Arial" w:cs="Arial" w:eastAsia="Arial" w:hAnsi="Arial"/>
          <w:sz w:val="19"/>
          <w:szCs w:val="19"/>
          <w:color w:val="auto"/>
        </w:rPr>
        <w:t>, by remittance to the Issuing Bank) by 5:00 p.m., New York City time, on the requested date of such Swingline Loan.</w:t>
      </w:r>
    </w:p>
    <w:p>
      <w:pPr>
        <w:spacing w:after="0" w:line="183" w:lineRule="exact"/>
        <w:rPr>
          <w:rFonts w:ascii="Arial" w:cs="Arial" w:eastAsia="Arial" w:hAnsi="Arial"/>
          <w:sz w:val="19"/>
          <w:szCs w:val="19"/>
          <w:color w:val="auto"/>
        </w:rPr>
      </w:pPr>
    </w:p>
    <w:p>
      <w:pPr>
        <w:jc w:val="both"/>
        <w:ind w:firstLine="656"/>
        <w:spacing w:after="0" w:line="285" w:lineRule="auto"/>
        <w:tabs>
          <w:tab w:leader="none" w:pos="111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Revolving Loans made by such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Swingline Borrowers (or other party on behalf of any Swingline Borrower) in respect of a Swingline Loan after receipt by the Swingline Lender of the proceeds of a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98" w:name="page99"/>
    <w:bookmarkEnd w:id="98"/>
    <w:p>
      <w:pPr>
        <w:jc w:val="both"/>
        <w:spacing w:after="0" w:line="294" w:lineRule="auto"/>
        <w:rPr>
          <w:sz w:val="20"/>
          <w:szCs w:val="20"/>
          <w:color w:val="auto"/>
        </w:rPr>
      </w:pPr>
      <w:r>
        <w:rPr>
          <w:rFonts w:ascii="Arial" w:cs="Arial" w:eastAsia="Arial" w:hAnsi="Arial"/>
          <w:sz w:val="19"/>
          <w:szCs w:val="19"/>
          <w:color w:val="auto"/>
        </w:rPr>
        <w:t xml:space="preserve">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Swingline Borrowers of any default in the payment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5" w:lineRule="auto"/>
        <w:tabs>
          <w:tab w:leader="none" w:pos="115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the Company may request the issuance of Letters of Credit for its own account or for the account of any Subsidiary, and denominated in U.S. Dollars or a Foreign Currency, in a form reasonably acceptable to the Administrative Agent and the Issuing Bank, at any time and from time to time during the Availability Period. For the avoidance of doubt, no Borrower other than the Company may request the issuance of Letters of Credit. In the event of any inconsistency between the terms and conditions of this Agreement and the terms and conditions of any Letter of Credit Agreement, the terms and conditions of this Agreement shall control. Each Issuing Bank agrees to issue such Letters of Credit, provided however, such Letters of Credit issued by such Issuing Bank shall not exceed such Issuing Bank’s Letter of Credit Commitments. Notwithstanding anything herein to the contrary, the Issuing Bank shall have no obligation hereunder to issue, and shall not issue, any Letter of Credit (i) the proceeds of which would be made to any Person (y) to fund any activity or business of or with any Sanctioned Person, or in any Sanctioned Country or (z) in any manner that would result in a violation of any Sanctions by any party to this Agreement, (ii) if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in the case of any Borrower, shall impose upon such Issuing Bank with respect to such Letter of Credit any restriction, reserve or capital or liquidity requirement, or shall impose upon such Issuing Bank any unreimbursed loss, cost or expense, in each case for which such Issuing Bank is not otherwise compensated hereunder, or (iii) if such Letter of Credit is not in the currency approved for issuance by such Issuing Bank. The issuance of Letters of Credit by any Issuing Bank shall be subject to customary procedures of such Issuing Bank.</w:t>
      </w:r>
    </w:p>
    <w:p>
      <w:pPr>
        <w:spacing w:after="0" w:line="186" w:lineRule="exact"/>
        <w:rPr>
          <w:rFonts w:ascii="Arial" w:cs="Arial" w:eastAsia="Arial" w:hAnsi="Arial"/>
          <w:sz w:val="19"/>
          <w:szCs w:val="19"/>
          <w:color w:val="auto"/>
        </w:rPr>
      </w:pPr>
    </w:p>
    <w:p>
      <w:pPr>
        <w:jc w:val="both"/>
        <w:ind w:firstLine="656"/>
        <w:spacing w:after="0" w:line="294" w:lineRule="auto"/>
        <w:tabs>
          <w:tab w:leader="none" w:pos="119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83" w:lineRule="auto"/>
        <w:rPr>
          <w:sz w:val="20"/>
          <w:szCs w:val="20"/>
          <w:color w:val="auto"/>
        </w:rPr>
      </w:pPr>
      <w:r>
        <w:rPr>
          <w:rFonts w:ascii="Arial" w:cs="Arial" w:eastAsia="Arial" w:hAnsi="Arial"/>
          <w:sz w:val="19"/>
          <w:szCs w:val="19"/>
          <w:color w:val="auto"/>
        </w:rPr>
        <w:t xml:space="preserve">on which such Letter of Credit is to expire (which shall comply with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the amount of such Letter of Credit, whether such Letter of Credit is to be denominated in U.S. Dollars or one of the Foreign Currencies in which case such Foreign Currency shall be specified, the name and address of the beneficiary thereof and such other information as shall be necessary to prepare, amend, renew or extend such Letter of Credit. If requested by the Issuing Bank, the Company also shall have entered into a continuing agreement (or other letter of credit agreement) for the issuance of letters of credit and/or submit a letter of credit application, in each case, as required by the Issuing Bank and using the Issuing Bank’s standard form (each, a “</w:t>
      </w:r>
      <w:r>
        <w:rPr>
          <w:rFonts w:ascii="Arial" w:cs="Arial" w:eastAsia="Arial" w:hAnsi="Arial"/>
          <w:sz w:val="19"/>
          <w:szCs w:val="19"/>
          <w:u w:val="single" w:color="auto"/>
          <w:color w:val="auto"/>
        </w:rPr>
        <w:t>Letter of Credit Agreement</w:t>
      </w:r>
      <w:r>
        <w:rPr>
          <w:rFonts w:ascii="Arial" w:cs="Arial" w:eastAsia="Arial" w:hAnsi="Arial"/>
          <w:sz w:val="19"/>
          <w:szCs w:val="19"/>
          <w:color w:val="auto"/>
        </w:rPr>
        <w:t>”). In the event of inconsistency between terms of this Agreement and the terms and conditions of any Letter of Credit Agreement, the terms and conditions of this Agreement shall control. A Letter of Credit shall be issued, amended, renewed or extended only if (and upon issuance, amendment, renewal or extension of each Letter of Credit the Company shall be deemed to represent and warrant that), after giving effect to such issuance, amendment, renewal or extension</w:t>
      </w:r>
    </w:p>
    <w:p>
      <w:pPr>
        <w:spacing w:after="0" w:line="7" w:lineRule="exact"/>
        <w:rPr>
          <w:sz w:val="20"/>
          <w:szCs w:val="20"/>
          <w:color w:val="auto"/>
        </w:rPr>
      </w:pPr>
    </w:p>
    <w:p>
      <w:pPr>
        <w:jc w:val="both"/>
        <w:ind w:firstLine="8"/>
        <w:spacing w:after="0" w:line="256" w:lineRule="auto"/>
        <w:tabs>
          <w:tab w:leader="none" w:pos="276"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Letter of Credit Commitment, (ii) the LC Exposure shall not exceed the total Letter of Credit Commitments, (iii) the LC Exposure shall not exceed the Letter of Credit Sublimit, (iv) the total Revolving Credit Exposures shall not exceed the aggregate Revolving Commitments and (v) the Foreign Currency Exposure shall not exceed the Foreign Currency Sublimit. The Company may, at any time and from time to time, reduce the Letter of Credit Commitment of any Issuing Bank with the consent of such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reduce the Letter of Credit Commitment of any Issuing Bank if, after giving effect of such reduction, the conditions set forth in clauses (i) through (v) above shall not be satisfied.</w:t>
      </w:r>
    </w:p>
    <w:p>
      <w:pPr>
        <w:spacing w:after="0" w:line="215" w:lineRule="exact"/>
        <w:rPr>
          <w:rFonts w:ascii="Arial" w:cs="Arial" w:eastAsia="Arial" w:hAnsi="Arial"/>
          <w:sz w:val="21"/>
          <w:szCs w:val="21"/>
          <w:color w:val="auto"/>
        </w:rPr>
      </w:pPr>
    </w:p>
    <w:p>
      <w:pPr>
        <w:jc w:val="both"/>
        <w:ind w:firstLine="656"/>
        <w:spacing w:after="0" w:line="288" w:lineRule="auto"/>
        <w:tabs>
          <w:tab w:leader="none" w:pos="1131"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(or be subject to termination by notice from the Issuing Bank to the beneficiary thereof) at or prior to the close of business on the earlier of the date one year after the date of the issuance of such Letter of Credit (or, in the case of any renewal or extension thereof, one year after such renewal or extension), and the date that is five (5) Business Days prior to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Letter of Credit with a one-year tenor may provide for the renewal thereof for additional one-year periods (which shall in no event extent beyond the date referred to in clause (ii) above, except as hereinafter provided); Letters of Credit may have tenors longer than one year, but in no event longer than three years, so long as the LC Exposure of all such Letters of Credit does not exceed $50,000,000 at any time; and the expiration date of a Letter of Credit may be up to one year later than the date referred to in clause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Issuing Bank consents to the issuance of such Letter of Credit in its sole discretion, which consent may be subject to, among other things, the provision of cash collateral by the Company in respect of such Letter of Credit in a manner satisfactory to the Issuing Bank.</w:t>
      </w:r>
    </w:p>
    <w:p>
      <w:pPr>
        <w:spacing w:after="0" w:line="186" w:lineRule="exact"/>
        <w:rPr>
          <w:rFonts w:ascii="Arial" w:cs="Arial" w:eastAsia="Arial" w:hAnsi="Arial"/>
          <w:sz w:val="19"/>
          <w:szCs w:val="19"/>
          <w:color w:val="auto"/>
        </w:rPr>
      </w:pPr>
    </w:p>
    <w:p>
      <w:pPr>
        <w:jc w:val="both"/>
        <w:ind w:firstLine="656"/>
        <w:spacing w:after="0" w:line="312" w:lineRule="auto"/>
        <w:tabs>
          <w:tab w:leader="none" w:pos="1170"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00" w:name="page101"/>
    <w:bookmarkEnd w:id="100"/>
    <w:p>
      <w:pPr>
        <w:jc w:val="both"/>
        <w:spacing w:after="0" w:line="289" w:lineRule="auto"/>
        <w:rPr>
          <w:sz w:val="20"/>
          <w:szCs w:val="20"/>
          <w:color w:val="auto"/>
        </w:rPr>
      </w:pPr>
      <w:r>
        <w:rPr>
          <w:rFonts w:ascii="Arial" w:cs="Arial" w:eastAsia="Arial" w:hAnsi="Arial"/>
          <w:sz w:val="19"/>
          <w:szCs w:val="19"/>
          <w:color w:val="auto"/>
        </w:rPr>
        <w:t xml:space="preserve">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84" w:lineRule="exact"/>
        <w:rPr>
          <w:sz w:val="20"/>
          <w:szCs w:val="20"/>
          <w:color w:val="auto"/>
        </w:rPr>
      </w:pPr>
    </w:p>
    <w:p>
      <w:pPr>
        <w:jc w:val="both"/>
        <w:ind w:firstLine="656"/>
        <w:spacing w:after="0" w:line="284" w:lineRule="auto"/>
        <w:tabs>
          <w:tab w:leader="none" w:pos="111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the Issuing Bank shall make any LC Disbursement in respect of a Letter of Credit, the Company shall reimburse such LC Disbursement by paying to the Administrative Agent an amount equal to such LC Disbursement not later than 12:00 noon,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12:00 noon, New York City time, on the Business Day that the Company receives such notice, if such notice is received prior to 10:00 a.m., New York City time, on the day of receipt, or the Business Day immediately following the day that the Company receives such notice, if such notice is not received prior to such time on the day of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$500,000, the Company may, subject to the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that such payment be financed with a Canadian Prime Rate Borrowing, an ABR Revolving Borrowing or Swingline Loan in an equivalent amount and, to the extent so financed, the Company’s obligation to make such payment shall be discharged and replaced by the resulting Canadian Prime Rate Borrowing, ABR Revolving Borrowing or Swingline Loan.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Issuing Bank the amounts so received by it from the Lenders. Promptly following receipt by the Administrative Agent of any payment from the Company pursuant to this paragraph, the Administrative Agent shall distribute such payment to the Issuing Bank or, to the extent that the Lenders have made payments pursuant to this paragraph to reimburse the Issuing Bank, then to such the Lenders and the Issuing Bank as their interests may appear. Any payment made by a Lender pursuant to this paragraph to reimburse the Issuing Bank for any LC Disbursement (other than the funding of a Canadian Prime Rate Loan, ABR Revolving Loan or Swingline Loan as contemplated above) shall not constitute a Loan and shall not relieve the Company of its obligation to reimburse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01" w:name="page102"/>
    <w:bookmarkEnd w:id="101"/>
    <w:p>
      <w:pPr>
        <w:jc w:val="both"/>
        <w:ind w:left="-220" w:firstLine="656"/>
        <w:spacing w:after="0" w:line="284"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Company’s obligation to reimburse LC Disbursements as provided in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shall be absolute, unconditional and irrevocable, and shall be performed strictly in accordance with the terms of this Agreement under any and all circumstances whatsoever and irrespective of any lack of validity or enforceability of any Letter of Credit, any Letter of Credit Agreement or this Agreement, or any term or provision therein, any draft or other document presented under a Letter of Credit proving to be forged, fraudulent or invalid in any respect or any statement therein being untrue or inaccurate in any respect,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Issuing Bank from liability to the Company to the extent of any direct damages (as opposed to consequential damages, claims in respect of which are hereby waived by the Company to the extent permitted by applicable law) suffered by the Company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jc w:val="both"/>
        <w:ind w:left="-220" w:firstLine="656"/>
        <w:spacing w:after="0" w:line="246" w:lineRule="auto"/>
        <w:tabs>
          <w:tab w:leader="none" w:pos="89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xml:space="preserve">. The Issuing Bank shall, within the time allowed by applicable law or the specific terms of the applicable Letter of Credit following its receipt thereof, examine all documents purporting to represent a demand for payment under a Letter of Credit. The Issuing Bank shall promptly after such examination notify the Administrative Agent and the Company by telephone (confirmed in writing), telecopy or electronic mail of such demand for payment and whether the Issuing Bank has made or will make an LC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Company of their obligation to reimburse the Issuing Bank and the Lenders with respect to any such LC Disbursement.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20"/>
          </w:cols>
          <w:pgMar w:left="540" w:top="1428" w:right="339" w:bottom="1440" w:gutter="0" w:footer="0" w:header="0"/>
        </w:sectPr>
      </w:pPr>
    </w:p>
    <w:bookmarkStart w:id="102" w:name="page103"/>
    <w:bookmarkEnd w:id="102"/>
    <w:p>
      <w:pPr>
        <w:jc w:val="both"/>
        <w:ind w:left="-220" w:firstLine="656"/>
        <w:spacing w:after="0" w:line="289" w:lineRule="auto"/>
        <w:tabs>
          <w:tab w:leader="none" w:pos="8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shall make any LC Disbursement, then, unless the Company shall reimburse the Issuing Bank for such LC Disbursement in full on the date such LC Disbursement is made, the unpaid amount thereof shall bear interest, for each day from and including the date such LC Disbursement is made to but excluding the date that the Company reimburse such LC Disbursement, at the rate per annum then applicable to Canadian Prime Rate Revolving Loans (if the LC Disbursement is in Canadian Dollars) or ABR Revolving Loans (if the LC Disbursement is in U.S.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fails to reimburse such LC Disbursement when due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then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shall apply. Interest accrued pursuant to this paragraph shall be for the account of the Issuing Bank, except that interest accrued on and after the date of payment by any Lender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to reimburse the Issuing Bank shall be for the account of such Lender to the extent of such payment.</w:t>
      </w:r>
    </w:p>
    <w:p>
      <w:pPr>
        <w:spacing w:after="0" w:line="183" w:lineRule="exact"/>
        <w:rPr>
          <w:rFonts w:ascii="Arial" w:cs="Arial" w:eastAsia="Arial" w:hAnsi="Arial"/>
          <w:sz w:val="19"/>
          <w:szCs w:val="19"/>
          <w:color w:val="auto"/>
        </w:rPr>
      </w:pPr>
    </w:p>
    <w:p>
      <w:pPr>
        <w:jc w:val="both"/>
        <w:ind w:left="-220" w:firstLine="656"/>
        <w:spacing w:after="0" w:line="287" w:lineRule="auto"/>
        <w:tabs>
          <w:tab w:leader="none" w:pos="90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xml:space="preserve">.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w:t>
      </w:r>
      <w:r>
        <w:rPr>
          <w:rFonts w:ascii="Arial" w:cs="Arial" w:eastAsia="Arial" w:hAnsi="Arial"/>
          <w:sz w:val="19"/>
          <w:szCs w:val="19"/>
          <w:u w:val="single" w:color="auto"/>
          <w:color w:val="auto"/>
        </w:rPr>
        <w:t>Section 2.12(b)</w:t>
      </w:r>
      <w:r>
        <w:rPr>
          <w:rFonts w:ascii="Arial" w:cs="Arial" w:eastAsia="Arial" w:hAnsi="Arial"/>
          <w:sz w:val="19"/>
          <w:szCs w:val="19"/>
          <w:color w:val="auto"/>
        </w:rPr>
        <w:t>. From and after the effective date of any such replacement, the successor Issuing Bank shall have all the rights and obligations of the Issuing Bank under this Agreement with respect to Letters of Credit to be issued thereafter and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any existing Letter of Credit.</w:t>
      </w:r>
    </w:p>
    <w:p>
      <w:pPr>
        <w:spacing w:after="0" w:line="190" w:lineRule="exact"/>
        <w:rPr>
          <w:rFonts w:ascii="Arial" w:cs="Arial" w:eastAsia="Arial" w:hAnsi="Arial"/>
          <w:sz w:val="19"/>
          <w:szCs w:val="19"/>
          <w:color w:val="auto"/>
        </w:rPr>
      </w:pPr>
    </w:p>
    <w:p>
      <w:pPr>
        <w:jc w:val="both"/>
        <w:ind w:left="-220" w:firstLine="656"/>
        <w:spacing w:after="0" w:line="253" w:lineRule="auto"/>
        <w:tabs>
          <w:tab w:leader="none" w:pos="887"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Subject to the appointment and acceptance of a successor Issuing Bank, the Issuing Bank may resign as the Issuing Bank at any time upon thirty days’ prior written notice to the Administrative Agent, the Company and the Lenders, in each case, such resigning Issuing Bank shall be replaced in accordance with </w:t>
      </w:r>
      <w:r>
        <w:rPr>
          <w:rFonts w:ascii="Arial" w:cs="Arial" w:eastAsia="Arial" w:hAnsi="Arial"/>
          <w:sz w:val="22"/>
          <w:szCs w:val="22"/>
          <w:u w:val="single" w:color="auto"/>
          <w:color w:val="auto"/>
        </w:rPr>
        <w:t>Section 2.06(i)</w:t>
      </w:r>
      <w:r>
        <w:rPr>
          <w:rFonts w:ascii="Arial" w:cs="Arial" w:eastAsia="Arial" w:hAnsi="Arial"/>
          <w:sz w:val="22"/>
          <w:szCs w:val="22"/>
          <w:color w:val="auto"/>
        </w:rPr>
        <w:t xml:space="preserve"> above.</w:t>
      </w:r>
    </w:p>
    <w:p>
      <w:pPr>
        <w:spacing w:after="0" w:line="212" w:lineRule="exact"/>
        <w:rPr>
          <w:rFonts w:ascii="Arial" w:cs="Arial" w:eastAsia="Arial" w:hAnsi="Arial"/>
          <w:sz w:val="22"/>
          <w:szCs w:val="22"/>
          <w:color w:val="auto"/>
        </w:rPr>
      </w:pPr>
    </w:p>
    <w:p>
      <w:pPr>
        <w:jc w:val="both"/>
        <w:ind w:left="-220" w:firstLine="656"/>
        <w:spacing w:after="0" w:line="289" w:lineRule="auto"/>
        <w:tabs>
          <w:tab w:leader="none" w:pos="8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that the Company receives notice from the Administrative Agent or the Required Lenders (or, if the maturity of the Loans has been accelerated, the Lenders with LC Exposure representing greater than fifty percent (50%) of the total LC Exposure) demanding the deposit of cash collateral pursuant to this paragraph, the Company shall deposit in an account with the Administrative Agent, in the name of the Administrative Agent and for the benefit of the Lenders, an amount in cash equal to the LC Exposure as of such date plus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of the Borrowers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7.01</w:t>
      </w:r>
      <w:r>
        <w:rPr>
          <w:rFonts w:ascii="Arial" w:cs="Arial" w:eastAsia="Arial" w:hAnsi="Arial"/>
          <w:sz w:val="19"/>
          <w:szCs w:val="19"/>
          <w:color w:val="auto"/>
        </w:rPr>
        <w:t>. Such deposit shall be held by the Administrative Agent as collateral for the payment and performance of the obligations of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20"/>
          </w:cols>
          <w:pgMar w:left="540" w:top="1428" w:right="339" w:bottom="1440" w:gutter="0" w:footer="0" w:header="0"/>
        </w:sectPr>
      </w:pPr>
    </w:p>
    <w:bookmarkStart w:id="103" w:name="page104"/>
    <w:bookmarkEnd w:id="103"/>
    <w:p>
      <w:pPr>
        <w:jc w:val="both"/>
        <w:spacing w:after="0" w:line="287" w:lineRule="auto"/>
        <w:rPr>
          <w:sz w:val="20"/>
          <w:szCs w:val="20"/>
          <w:color w:val="auto"/>
        </w:rPr>
      </w:pPr>
      <w:r>
        <w:rPr>
          <w:rFonts w:ascii="Arial" w:cs="Arial" w:eastAsia="Arial" w:hAnsi="Arial"/>
          <w:sz w:val="19"/>
          <w:szCs w:val="19"/>
          <w:color w:val="auto"/>
        </w:rPr>
        <w:t>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Company for the LC Exposure at such time or, if the maturity of the Loans has been accelerated (but subject to the consent of the Lenders with LC Exposure representing greater than fifty percent (50%) of the total LC Exposure), be applied to satisfy other obligations of the Borrowers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w:t>
      </w:r>
    </w:p>
    <w:p>
      <w:pPr>
        <w:spacing w:after="0" w:line="200" w:lineRule="exact"/>
        <w:rPr>
          <w:sz w:val="20"/>
          <w:szCs w:val="20"/>
          <w:color w:val="auto"/>
        </w:rPr>
      </w:pPr>
    </w:p>
    <w:p>
      <w:pPr>
        <w:spacing w:after="0" w:line="247" w:lineRule="exact"/>
        <w:rPr>
          <w:sz w:val="20"/>
          <w:szCs w:val="20"/>
          <w:color w:val="auto"/>
        </w:rPr>
      </w:pPr>
    </w:p>
    <w:p>
      <w:pPr>
        <w:jc w:val="both"/>
        <w:ind w:firstLine="656"/>
        <w:spacing w:after="0" w:line="253" w:lineRule="auto"/>
        <w:tabs>
          <w:tab w:leader="none" w:pos="109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Existing Letters of Credit; Assumption of Existing Letter of Credit Denominated in Canadian Dollars</w:t>
      </w:r>
      <w:r>
        <w:rPr>
          <w:rFonts w:ascii="Arial" w:cs="Arial" w:eastAsia="Arial" w:hAnsi="Arial"/>
          <w:sz w:val="22"/>
          <w:szCs w:val="22"/>
          <w:color w:val="auto"/>
        </w:rPr>
        <w:t>. The Existing Letters of Credit shall be Letters of Credit hereunder for all purposes and shall be deemed to have been issued under this Agreement.</w:t>
      </w:r>
    </w:p>
    <w:p>
      <w:pPr>
        <w:spacing w:after="0" w:line="212" w:lineRule="exact"/>
        <w:rPr>
          <w:rFonts w:ascii="Arial" w:cs="Arial" w:eastAsia="Arial" w:hAnsi="Arial"/>
          <w:sz w:val="22"/>
          <w:szCs w:val="22"/>
          <w:color w:val="auto"/>
        </w:rPr>
      </w:pPr>
    </w:p>
    <w:p>
      <w:pPr>
        <w:jc w:val="both"/>
        <w:ind w:firstLine="656"/>
        <w:spacing w:after="0" w:line="288" w:lineRule="auto"/>
        <w:tabs>
          <w:tab w:leader="none" w:pos="124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Company shall reimburse, indemnify and compensate the Issuing Bank hereunder for such Letter of Credit (including to reimburse any and all drawings thereunder) as if such Letter of Credit had been issued solely for the account of the Company and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94" w:lineRule="auto"/>
        <w:tabs>
          <w:tab w:leader="none" w:pos="119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2.05</w:t>
      </w:r>
      <w:r>
        <w:rPr>
          <w:rFonts w:ascii="Arial" w:cs="Arial" w:eastAsia="Arial" w:hAnsi="Arial"/>
          <w:sz w:val="19"/>
          <w:szCs w:val="19"/>
          <w:color w:val="auto"/>
        </w:rPr>
        <w:t>. Except in respect of the provisions of this Agreement covering reimbursement of Letters of Credit, the Administrative Agent will make such Loans available to the applicable Borrower by promptly crediting the amounts so received, in like funds, to an account of the Company or the applicable Borrower, maintained with the Administrative Agent in Tulsa, Oklahoma or elsewhere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53" w:lineRule="auto"/>
        <w:rPr>
          <w:sz w:val="20"/>
          <w:szCs w:val="20"/>
          <w:color w:val="auto"/>
        </w:rPr>
      </w:pPr>
      <w:r>
        <w:rPr>
          <w:rFonts w:ascii="Arial" w:cs="Arial" w:eastAsia="Arial" w:hAnsi="Arial"/>
          <w:sz w:val="22"/>
          <w:szCs w:val="22"/>
          <w:color w:val="auto"/>
        </w:rPr>
        <w:t xml:space="preserve">designated by the Company in the applicable Borrowing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ABR Revolving Loans and Canadian Prime Rate Revolving Loans made to finance the reimbursement of an LC Disbursement as provided in </w:t>
      </w:r>
      <w:r>
        <w:rPr>
          <w:rFonts w:ascii="Arial" w:cs="Arial" w:eastAsia="Arial" w:hAnsi="Arial"/>
          <w:sz w:val="22"/>
          <w:szCs w:val="22"/>
          <w:u w:val="single" w:color="auto"/>
          <w:color w:val="auto"/>
        </w:rPr>
        <w:t>Section 2.06(e)</w:t>
      </w:r>
      <w:r>
        <w:rPr>
          <w:rFonts w:ascii="Arial" w:cs="Arial" w:eastAsia="Arial" w:hAnsi="Arial"/>
          <w:sz w:val="22"/>
          <w:szCs w:val="22"/>
          <w:color w:val="auto"/>
        </w:rPr>
        <w:t xml:space="preserve"> shall be remitted by the Administrative Agent to the Issuing Bank.</w:t>
      </w:r>
    </w:p>
    <w:p>
      <w:pPr>
        <w:spacing w:after="0" w:line="212" w:lineRule="exact"/>
        <w:rPr>
          <w:sz w:val="20"/>
          <w:szCs w:val="20"/>
          <w:color w:val="auto"/>
        </w:rPr>
      </w:pPr>
    </w:p>
    <w:p>
      <w:pPr>
        <w:jc w:val="both"/>
        <w:ind w:firstLine="656"/>
        <w:spacing w:after="0" w:line="288" w:lineRule="auto"/>
        <w:tabs>
          <w:tab w:leader="none" w:pos="1273" w:val="left"/>
        </w:tabs>
        <w:numPr>
          <w:ilvl w:val="1"/>
          <w:numId w:val="64"/>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w:t>
      </w:r>
    </w:p>
    <w:p>
      <w:pPr>
        <w:jc w:val="both"/>
        <w:ind w:firstLine="8"/>
        <w:spacing w:after="0" w:line="286" w:lineRule="auto"/>
        <w:tabs>
          <w:tab w:leader="none" w:pos="333" w:val="left"/>
        </w:tabs>
        <w:numPr>
          <w:ilvl w:val="0"/>
          <w:numId w:val="65"/>
        </w:numPr>
        <w:rPr>
          <w:rFonts w:ascii="Arial" w:cs="Arial" w:eastAsia="Arial" w:hAnsi="Arial"/>
          <w:sz w:val="19"/>
          <w:szCs w:val="19"/>
          <w:u w:val="single" w:color="auto"/>
          <w:color w:val="auto"/>
        </w:rPr>
      </w:pPr>
      <w:r>
        <w:rPr>
          <w:rFonts w:ascii="Arial" w:cs="Arial" w:eastAsia="Arial" w:hAnsi="Arial"/>
          <w:sz w:val="19"/>
          <w:szCs w:val="19"/>
          <w:color w:val="auto"/>
        </w:rPr>
        <w:t>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in the case of such Lender, the greater of the NYFRB and a rate determined by the Administrative Agent in accordance with banking industry rules on interbank compensation (including without limitation the Overnight Foreign Currency Rate in the case of Loans denominated in a Foreign Currency) or in the case of such Borrower, the interest rate applicable to the subject Loan. If such Lender pays such amount to the Administrative Agent, then such amount shall constitute such Lender’s Loan included in such Borrowing.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8" w:lineRule="auto"/>
        <w:tabs>
          <w:tab w:leader="none" w:pos="1153"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Each Revolving Borrowing initially shall be of the Type specified in the applicable Borrowing Request and, in the case of a CDOR Revolving Borrowing, Eurocurrency Revolving Borrowing or EURIBOR Revolving Borrowing, shall have an initial Interest Period as specified in such Borrowing Request. Thereafter, the Company may elect to convert such Borrowing to a different Type or to continue such Borrowing and, in the case of a CDOR Revolving Borrowing, Eurocurrency Revolving Borrowing or EURIBOR Revolving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Borrowing in one currency may only be converted to another Type of Borrowing denominated in the same currency as the Borrowing to be so converted. This Section shall not apply to Swingline Borrowings, which may not be converted or continued.</w:t>
      </w:r>
    </w:p>
    <w:p>
      <w:pPr>
        <w:spacing w:after="0" w:line="199" w:lineRule="exact"/>
        <w:rPr>
          <w:rFonts w:ascii="Arial" w:cs="Arial" w:eastAsia="Arial" w:hAnsi="Arial"/>
          <w:sz w:val="19"/>
          <w:szCs w:val="19"/>
          <w:color w:val="auto"/>
        </w:rPr>
      </w:pPr>
    </w:p>
    <w:p>
      <w:pPr>
        <w:jc w:val="both"/>
        <w:ind w:firstLine="656"/>
        <w:spacing w:after="0" w:line="247" w:lineRule="auto"/>
        <w:tabs>
          <w:tab w:leader="none" w:pos="1119"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To make an election pursuant to this Section, the Company shall notify the Administrative Agent of such election by telephone in the case of a Borrowing in U.S. Dollars and in writing in the case of a Borrowing in a Foreign Currency, in each case, by the time that a Borrowing Request would be required under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if the Company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Interest Election Request in a form approved by the Administrative Agent and signed by the Company.</w:t>
      </w:r>
    </w:p>
    <w:p>
      <w:pPr>
        <w:spacing w:after="0" w:line="247" w:lineRule="exact"/>
        <w:rPr>
          <w:sz w:val="20"/>
          <w:szCs w:val="20"/>
          <w:color w:val="auto"/>
        </w:rPr>
      </w:pPr>
    </w:p>
    <w:p>
      <w:pPr>
        <w:ind w:left="1180" w:hanging="524"/>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28" w:lineRule="exact"/>
        <w:rPr>
          <w:rFonts w:ascii="Arial" w:cs="Arial" w:eastAsia="Arial" w:hAnsi="Arial"/>
          <w:sz w:val="19"/>
          <w:szCs w:val="19"/>
          <w:color w:val="auto"/>
        </w:rPr>
      </w:pPr>
    </w:p>
    <w:p>
      <w:pPr>
        <w:jc w:val="both"/>
        <w:ind w:left="660" w:firstLine="644"/>
        <w:spacing w:after="0" w:line="250" w:lineRule="auto"/>
        <w:tabs>
          <w:tab w:leader="none" w:pos="1741"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the Borrowing to which such Interest Election Request applies and, if different options are being elected with respect to different portions of a Borrowing, the portions thereof to be allocated to each resulting Borrowing (in which case the information to be specified pursuant to clauses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below shall be specified for each resulting Borrowing);</w:t>
      </w:r>
    </w:p>
    <w:p>
      <w:pPr>
        <w:spacing w:after="0" w:line="214" w:lineRule="exact"/>
        <w:rPr>
          <w:rFonts w:ascii="Arial" w:cs="Arial" w:eastAsia="Arial" w:hAnsi="Arial"/>
          <w:sz w:val="22"/>
          <w:szCs w:val="22"/>
          <w:color w:val="auto"/>
        </w:rPr>
      </w:pPr>
    </w:p>
    <w:p>
      <w:pPr>
        <w:ind w:left="1800" w:hanging="496"/>
        <w:spacing w:after="0"/>
        <w:tabs>
          <w:tab w:leader="none" w:pos="18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242" w:lineRule="exact"/>
        <w:rPr>
          <w:rFonts w:ascii="Arial" w:cs="Arial" w:eastAsia="Arial" w:hAnsi="Arial"/>
          <w:sz w:val="19"/>
          <w:szCs w:val="19"/>
          <w:color w:val="auto"/>
        </w:rPr>
      </w:pPr>
    </w:p>
    <w:p>
      <w:pPr>
        <w:ind w:left="660" w:right="20" w:firstLine="644"/>
        <w:spacing w:after="0" w:line="287" w:lineRule="auto"/>
        <w:tabs>
          <w:tab w:leader="none" w:pos="1925" w:val="left"/>
        </w:tabs>
        <w:numPr>
          <w:ilvl w:val="1"/>
          <w:numId w:val="67"/>
        </w:numPr>
        <w:rPr>
          <w:rFonts w:ascii="Arial" w:cs="Arial" w:eastAsia="Arial" w:hAnsi="Arial"/>
          <w:sz w:val="21"/>
          <w:szCs w:val="21"/>
          <w:color w:val="auto"/>
        </w:rPr>
      </w:pPr>
      <w:r>
        <w:rPr>
          <w:rFonts w:ascii="Arial" w:cs="Arial" w:eastAsia="Arial" w:hAnsi="Arial"/>
          <w:sz w:val="21"/>
          <w:szCs w:val="21"/>
          <w:color w:val="auto"/>
        </w:rPr>
        <w:t>whether the resulting Borrowing, if in Canadian Dollars, is to be a Canadian Prime Rate Borrowing or a CDOR Borrowing, or, if in U.S. Dollars, is to be an ABR Borrowing or a Eurocurrency Borrowing; and</w:t>
      </w:r>
    </w:p>
    <w:p>
      <w:pPr>
        <w:spacing w:after="0" w:line="178" w:lineRule="exact"/>
        <w:rPr>
          <w:rFonts w:ascii="Arial" w:cs="Arial" w:eastAsia="Arial" w:hAnsi="Arial"/>
          <w:sz w:val="21"/>
          <w:szCs w:val="21"/>
          <w:color w:val="auto"/>
        </w:rPr>
      </w:pPr>
    </w:p>
    <w:p>
      <w:pPr>
        <w:jc w:val="both"/>
        <w:ind w:left="660" w:firstLine="644"/>
        <w:spacing w:after="0" w:line="253" w:lineRule="auto"/>
        <w:tabs>
          <w:tab w:leader="none" w:pos="1903" w:val="left"/>
        </w:tabs>
        <w:numPr>
          <w:ilvl w:val="1"/>
          <w:numId w:val="67"/>
        </w:numPr>
        <w:rPr>
          <w:rFonts w:ascii="Arial" w:cs="Arial" w:eastAsia="Arial" w:hAnsi="Arial"/>
          <w:sz w:val="22"/>
          <w:szCs w:val="22"/>
          <w:color w:val="auto"/>
        </w:rPr>
      </w:pPr>
      <w:r>
        <w:rPr>
          <w:rFonts w:ascii="Arial" w:cs="Arial" w:eastAsia="Arial" w:hAnsi="Arial"/>
          <w:sz w:val="22"/>
          <w:szCs w:val="22"/>
          <w:color w:val="auto"/>
        </w:rPr>
        <w:t>if the resulting Borrowing is a CDOR Borrowing, Eurocurrency Borrowing or EURIBOR Borrowing, the Interest Period to be applicable thereto after giving effect to such election, which shall be a period contemplated by the definition of the term “Interest Period”.</w:t>
      </w:r>
    </w:p>
    <w:p>
      <w:pPr>
        <w:spacing w:after="0" w:line="21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If any such Interest Election Request requests a CDOR Borrowing, Eurocurrency Borrowing or EURIBOR Borrowing but does not specify an Interest Period, then the Company shall be deemed to have selected an Interest Period of one month.</w:t>
      </w:r>
    </w:p>
    <w:p>
      <w:pPr>
        <w:spacing w:after="0" w:line="131" w:lineRule="exact"/>
        <w:rPr>
          <w:sz w:val="20"/>
          <w:szCs w:val="20"/>
          <w:color w:val="auto"/>
        </w:rPr>
      </w:pPr>
    </w:p>
    <w:p>
      <w:pPr>
        <w:ind w:firstLine="656"/>
        <w:spacing w:after="0" w:line="287" w:lineRule="auto"/>
        <w:tabs>
          <w:tab w:leader="none" w:pos="1119" w:val="left"/>
        </w:tabs>
        <w:numPr>
          <w:ilvl w:val="0"/>
          <w:numId w:val="68"/>
        </w:numPr>
        <w:rPr>
          <w:rFonts w:ascii="Arial" w:cs="Arial" w:eastAsia="Arial" w:hAnsi="Arial"/>
          <w:sz w:val="21"/>
          <w:szCs w:val="21"/>
          <w:color w:val="auto"/>
        </w:rPr>
      </w:pPr>
      <w:r>
        <w:rPr>
          <w:rFonts w:ascii="Arial" w:cs="Arial" w:eastAsia="Arial" w:hAnsi="Arial"/>
          <w:sz w:val="21"/>
          <w:szCs w:val="21"/>
          <w:color w:val="auto"/>
        </w:rPr>
        <w:t>Promptly following receipt of an Interest Election Request, the Administrative Agent shall advise each Lender of the details thereof and of such Lender’s portion of each Borrowing affected by such Interest Election Request.</w:t>
      </w:r>
    </w:p>
    <w:p>
      <w:pPr>
        <w:spacing w:after="0" w:line="178" w:lineRule="exact"/>
        <w:rPr>
          <w:rFonts w:ascii="Arial" w:cs="Arial" w:eastAsia="Arial" w:hAnsi="Arial"/>
          <w:sz w:val="21"/>
          <w:szCs w:val="21"/>
          <w:color w:val="auto"/>
        </w:rPr>
      </w:pPr>
    </w:p>
    <w:p>
      <w:pPr>
        <w:jc w:val="both"/>
        <w:ind w:firstLine="656"/>
        <w:spacing w:after="0" w:line="288" w:lineRule="auto"/>
        <w:tabs>
          <w:tab w:leader="none" w:pos="1325"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the Company fails to deliver a timely Interest Election Request with respect to a CDOR Borrowing, a Eurocurrency Borrowing or a EURIBOR Borrowing prior to the end of the Interest Period applicable thereto, then, unless such Borrowing is repaid as provided herein, at the end of such Interest Period such Borrowing shall in the case of a Borrowing denominated in U.S. Dollars, be converted to an ABR Borrowing, in the case of a Borrowing denominated in Canadian Dollars, be converted to a Canadian Prime Rate Borrowing and in the case of a Borrowing denominated in any other Foreign Currency, automatically continue as a Eurocurrency Borrowing or EURIBOR Borrowing, as the case may be, with an Interest Period of one month. Notwithstanding any contrary provision hereof, if an Event of Default has occurred and is continuing then no outstanding Borrowing in U.S. Dollars may be converted to or continued as a Eurocurrency Borrowing, unless repaid, each Eurocurrency Borrowing in U.S. Dollars shall be converted to an ABR Borrowing at the end of the Interest Period applicable thereto, no outstanding Borrowing in Canadian Dollars may be converted to or continued as 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CDOR Borrowing and unless repaid, each CDOR Borrowing shall be converted to a Canadian Prime Rate Borrowing at the end of the Interest Period applicable thereto.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Termination and Reduction of Revolving Commitments</w:t>
      </w:r>
      <w:r>
        <w:rPr>
          <w:rFonts w:ascii="Arial" w:cs="Arial" w:eastAsia="Arial" w:hAnsi="Arial"/>
          <w:sz w:val="22"/>
          <w:szCs w:val="22"/>
          <w:color w:val="auto"/>
        </w:rPr>
        <w:t>.</w:t>
      </w:r>
    </w:p>
    <w:p>
      <w:pPr>
        <w:spacing w:after="0" w:line="247" w:lineRule="exact"/>
        <w:rPr>
          <w:sz w:val="20"/>
          <w:szCs w:val="20"/>
          <w:color w:val="auto"/>
        </w:rPr>
      </w:pPr>
    </w:p>
    <w:p>
      <w:pPr>
        <w:ind w:left="1120" w:hanging="464"/>
        <w:spacing w:after="0"/>
        <w:tabs>
          <w:tab w:leader="none" w:pos="11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Unless previously terminated, the Revolving Commitments shall terminate on the Termination Date.</w:t>
      </w:r>
    </w:p>
    <w:p>
      <w:pPr>
        <w:spacing w:after="0" w:line="246" w:lineRule="exact"/>
        <w:rPr>
          <w:rFonts w:ascii="Arial" w:cs="Arial" w:eastAsia="Arial" w:hAnsi="Arial"/>
          <w:sz w:val="22"/>
          <w:szCs w:val="22"/>
          <w:color w:val="auto"/>
        </w:rPr>
      </w:pPr>
    </w:p>
    <w:p>
      <w:pPr>
        <w:jc w:val="both"/>
        <w:ind w:firstLine="656"/>
        <w:spacing w:after="0" w:line="297" w:lineRule="auto"/>
        <w:tabs>
          <w:tab w:leader="none" w:pos="1155"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Company may at any time terminate, or from time to time reduce,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reduction of the Revolving Commitments shall be in an amount that is an integral multiple of $5,000,000 and not less than $5,000,000, and the Company shall not terminate or reduce the Revolving Commitments if, after giving effect to any concurrent prepayment of the Loans in accordance with </w:t>
      </w:r>
      <w:r>
        <w:rPr>
          <w:rFonts w:ascii="Arial" w:cs="Arial" w:eastAsia="Arial" w:hAnsi="Arial"/>
          <w:sz w:val="19"/>
          <w:szCs w:val="19"/>
          <w:u w:val="single" w:color="auto"/>
          <w:color w:val="auto"/>
        </w:rPr>
        <w:t>Section 2.11(a)</w:t>
      </w:r>
      <w:r>
        <w:rPr>
          <w:rFonts w:ascii="Arial" w:cs="Arial" w:eastAsia="Arial" w:hAnsi="Arial"/>
          <w:sz w:val="19"/>
          <w:szCs w:val="19"/>
          <w:color w:val="auto"/>
        </w:rPr>
        <w:t>, the aggregate Revolving Credit Exposures would exceed the aggregate Revolving Commitments or the Foreign Currency Exposure would exceed the Foreign Currency Sublimit.</w:t>
      </w:r>
    </w:p>
    <w:p>
      <w:pPr>
        <w:spacing w:after="0" w:line="187" w:lineRule="exact"/>
        <w:rPr>
          <w:rFonts w:ascii="Arial" w:cs="Arial" w:eastAsia="Arial" w:hAnsi="Arial"/>
          <w:sz w:val="19"/>
          <w:szCs w:val="19"/>
          <w:color w:val="auto"/>
        </w:rPr>
      </w:pPr>
    </w:p>
    <w:p>
      <w:pPr>
        <w:jc w:val="both"/>
        <w:ind w:firstLine="656"/>
        <w:spacing w:after="0" w:line="289" w:lineRule="auto"/>
        <w:tabs>
          <w:tab w:leader="none" w:pos="1322"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Revolving Commitments under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Revolving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59" w:lineRule="auto"/>
        <w:tabs>
          <w:tab w:leader="none" w:pos="1136"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Each Borrower hereby unconditionally promises to pay to the Administrative Agent for the account of each Lender the then unpaid principal amount of each Revolving Loan of such Borrower on the Termination Date. Each Swingline Borrower hereby unconditionally promises to pay to the Swingline Lender the then unpaid principal amount of each Swingline Loan of such Borrower on the earlier of the Termination Date and the first date after such Swingline Loan is made that is the 15th or last day of a calendar month and is at least two (2) Business Days after such Swingline Loan is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 each date that a Revolving Borrowing is made to a Swingline Borrower, such Borrower shall repay all Swingline Loans of such Borrower then outstanding, which may be made by the Administrative Agent’s application of the proceeds of any such Borrowing to such outstanding Swingline Loans.</w:t>
      </w:r>
    </w:p>
    <w:p>
      <w:pPr>
        <w:spacing w:after="0" w:line="210" w:lineRule="exact"/>
        <w:rPr>
          <w:rFonts w:ascii="Arial" w:cs="Arial" w:eastAsia="Arial" w:hAnsi="Arial"/>
          <w:sz w:val="21"/>
          <w:szCs w:val="21"/>
          <w:color w:val="auto"/>
        </w:rPr>
      </w:pPr>
    </w:p>
    <w:p>
      <w:pPr>
        <w:ind w:firstLine="656"/>
        <w:spacing w:after="0" w:line="263" w:lineRule="auto"/>
        <w:tabs>
          <w:tab w:leader="none" w:pos="1121"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each Borrower to such Lender resulting from each Loan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07" w:name="page108"/>
    <w:bookmarkEnd w:id="107"/>
    <w:p>
      <w:pPr>
        <w:ind w:right="20"/>
        <w:spacing w:after="0" w:line="263" w:lineRule="auto"/>
        <w:rPr>
          <w:sz w:val="20"/>
          <w:szCs w:val="20"/>
          <w:color w:val="auto"/>
        </w:rPr>
      </w:pPr>
      <w:r>
        <w:rPr>
          <w:rFonts w:ascii="Arial" w:cs="Arial" w:eastAsia="Arial" w:hAnsi="Arial"/>
          <w:sz w:val="22"/>
          <w:szCs w:val="22"/>
          <w:color w:val="auto"/>
        </w:rPr>
        <w:t>made by such Lender, including the amounts of principal and interest payable and paid to such Lender from time to time hereunder.</w:t>
      </w:r>
    </w:p>
    <w:p>
      <w:pPr>
        <w:spacing w:after="0" w:line="202" w:lineRule="exact"/>
        <w:rPr>
          <w:sz w:val="20"/>
          <w:szCs w:val="20"/>
          <w:color w:val="auto"/>
        </w:rPr>
      </w:pPr>
    </w:p>
    <w:p>
      <w:pPr>
        <w:jc w:val="both"/>
        <w:ind w:firstLine="656"/>
        <w:spacing w:after="0" w:line="302" w:lineRule="auto"/>
        <w:tabs>
          <w:tab w:leader="none" w:pos="128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the amount of each Loan made hereunder, the currency, Class and Type thereof and the Interest Period applicable thereto, the amount of any principal or interest due and payable or to become due and payable from the Borrowers to each Lender hereunder and the amount of any sum received by the Administrative Agent hereunder for the account of the Lenders and each Lender’s share thereof.</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189"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Section shall be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214" w:lineRule="exact"/>
        <w:rPr>
          <w:rFonts w:ascii="Arial" w:cs="Arial" w:eastAsia="Arial" w:hAnsi="Arial"/>
          <w:sz w:val="22"/>
          <w:szCs w:val="22"/>
          <w:color w:val="auto"/>
        </w:rPr>
      </w:pPr>
    </w:p>
    <w:p>
      <w:pPr>
        <w:jc w:val="both"/>
        <w:ind w:firstLine="656"/>
        <w:spacing w:after="0" w:line="294" w:lineRule="auto"/>
        <w:tabs>
          <w:tab w:leader="none" w:pos="1205"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promissory note. In such event, Agent shall prepare and the Borrowers shall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order of the payee named therein (or, if such promissory note is a registered note, to such payee and its registered assigns).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6" w:lineRule="auto"/>
        <w:tabs>
          <w:tab w:leader="none" w:pos="1137"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Borrowers shall have the right at any time and from time to time to prepay any Borrowing in whole or in part, subject to prior notice in accordance with this paragraph. The Company shall notify the Administrative Agent (and, in the case of prepayment of a Swingline Loan, the Swingline Lender) of any prepayment by the Borrowers hereunder in the case of prepayment of a CDOR Borrowing or Eurocurrency Borrowing denominated in U.S. Dollars, by telephone (confirmed by telecopy or electronic mail) not later than 11:00 a.m., New York City time, three (3) Business Days before the date of prepayment, in the case of a Eurocurrency Borrowing denominated in a Foreign Currency or a EURIBOR Borrowing, in writing not later than 11:00 a.m., Local Time, (3) Business Days before the date of payment, in the case of prepayment of a Canadian Prime Rate Borrowing or an ABR Borrowing, by telephone (confirmed by telecopy or electronic mail) not later than 11:00 a.m., New York City time, one Business Day before the date of prepayment or in the case of prepayment of a Swingline Loan, by telephone (confirmed by telecopy or electronic mail)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Revolving Commitments as contemplated by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48" w:lineRule="auto"/>
        <w:rPr>
          <w:sz w:val="20"/>
          <w:szCs w:val="20"/>
          <w:color w:val="auto"/>
        </w:rPr>
      </w:pPr>
      <w:r>
        <w:rPr>
          <w:rFonts w:ascii="Arial" w:cs="Arial" w:eastAsia="Arial" w:hAnsi="Arial"/>
          <w:sz w:val="22"/>
          <w:szCs w:val="22"/>
          <w:u w:val="single" w:color="auto"/>
          <w:color w:val="auto"/>
        </w:rPr>
        <w:t>2.09</w:t>
      </w:r>
      <w:r>
        <w:rPr>
          <w:rFonts w:ascii="Arial" w:cs="Arial" w:eastAsia="Arial" w:hAnsi="Arial"/>
          <w:sz w:val="22"/>
          <w:szCs w:val="22"/>
          <w:color w:val="auto"/>
        </w:rPr>
        <w:t xml:space="preserve">. Promptly following receipt of any such notice,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19" w:lineRule="exact"/>
        <w:rPr>
          <w:sz w:val="20"/>
          <w:szCs w:val="20"/>
          <w:color w:val="auto"/>
        </w:rPr>
      </w:pPr>
    </w:p>
    <w:p>
      <w:pPr>
        <w:jc w:val="both"/>
        <w:ind w:firstLine="656"/>
        <w:spacing w:after="0" w:line="287" w:lineRule="auto"/>
        <w:tabs>
          <w:tab w:leader="none" w:pos="120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If at any time, other than as a result of fluctuations in currency exchange rates, the aggregate Revolving Credit Exposures (calculated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as of the most recent Computation Date) exceed the aggregate Revolving Commitments, the Foreign Currency Exposure (calculated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as of the most recent Computation Date) exceeds the Foreign Currency Sublimit or the aggregate LC Exposure (calculated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1.05(b)</w:t>
      </w:r>
      <w:r>
        <w:rPr>
          <w:rFonts w:ascii="Arial" w:cs="Arial" w:eastAsia="Arial" w:hAnsi="Arial"/>
          <w:sz w:val="19"/>
          <w:szCs w:val="19"/>
          <w:color w:val="auto"/>
        </w:rPr>
        <w:t xml:space="preserve"> as of the most recent Computation Date) exceeds the Letter of Credit Sublimit, or solely as a result of fluctuations in currency exchange rates, the aggregate Revolving Credit Exposures (so calculated) exceed 105% of the aggregate Revolving Commitments, the Foreign Currency Exposure (so calculated) exceeds 105% the Foreign Currency Sublimit or the aggregate LC Exposure (so calculated) exceeds 105% of the Letter of Credit Sublimit, the Borrowers shall in each case immediately repay Borrowings or cash collateralize LC Exposure pursuant to </w:t>
      </w:r>
      <w:r>
        <w:rPr>
          <w:rFonts w:ascii="Arial" w:cs="Arial" w:eastAsia="Arial" w:hAnsi="Arial"/>
          <w:sz w:val="19"/>
          <w:szCs w:val="19"/>
          <w:u w:val="single" w:color="auto"/>
          <w:color w:val="auto"/>
        </w:rPr>
        <w:t>Section 2.06(k)</w:t>
      </w:r>
      <w:r>
        <w:rPr>
          <w:rFonts w:ascii="Arial" w:cs="Arial" w:eastAsia="Arial" w:hAnsi="Arial"/>
          <w:sz w:val="19"/>
          <w:szCs w:val="19"/>
          <w:color w:val="auto"/>
        </w:rPr>
        <w:t>, as applicable, in an aggregate principal amount sufficient to cause the aggregate Revolving Credit Exposures (so calculated) to be less than or equal to the aggregate Revolving Commitments, the Foreign Currency Exposure (so calculated) to be less than or equal to the Foreign Currency Sublimit and the aggregate LC Exposure (so calculated) to be less than or equal to the Letter of Credit Sublimit, as applicable.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Fees; Cost of Audits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8" w:lineRule="auto"/>
        <w:tabs>
          <w:tab w:leader="none" w:pos="111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for the account of each Lender an unused fee (the “</w:t>
      </w:r>
      <w:r>
        <w:rPr>
          <w:rFonts w:ascii="Arial" w:cs="Arial" w:eastAsia="Arial" w:hAnsi="Arial"/>
          <w:sz w:val="19"/>
          <w:szCs w:val="19"/>
          <w:u w:val="single" w:color="auto"/>
          <w:color w:val="auto"/>
        </w:rPr>
        <w:t>Unused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xml:space="preserve">”), which shall accrue at the Applicable Margin for Unused Fees described in the definition of “Applicable Margin” on the daily unutilized amount of the Revolving Commitment of such Lender during the period from and including the Effective Date to but excluding the date on which such Revolving Commitment terminates. Accrued Unused Fees shall be payable in arrears on the first day of each fiscal quarter (currently January 1, April 1, July 1, and October 1 of each year) and on the date on which the Revolving Commitments terminate,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Unused Fees accruing after the date on which the Revolving Commitments terminate shall be payable on demand. All Unused Fees shall be computed on the basis of a year of 360 days and shall be payable for the actual number of days elapsed (including the first day but excluding the last day). For purposes of calculating the unutilized Revolving Commitment of each Lender, Swingline Loans made by or deemed made by such Lender shall not count as utilization.</w:t>
      </w:r>
    </w:p>
    <w:p>
      <w:pPr>
        <w:spacing w:after="0" w:line="199" w:lineRule="exact"/>
        <w:rPr>
          <w:rFonts w:ascii="Arial" w:cs="Arial" w:eastAsia="Arial" w:hAnsi="Arial"/>
          <w:sz w:val="19"/>
          <w:szCs w:val="19"/>
          <w:color w:val="auto"/>
        </w:rPr>
      </w:pPr>
    </w:p>
    <w:p>
      <w:pPr>
        <w:jc w:val="both"/>
        <w:ind w:firstLine="656"/>
        <w:spacing w:after="0" w:line="312" w:lineRule="auto"/>
        <w:tabs>
          <w:tab w:leader="none" w:pos="1185"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Company agrees to pay to the Administrative Agent for the account of each Lender a participation fee with respect to its participations in Letters of Credit, which shall accrue at a rate per annum equal to the Applicable Margin for Eurocurrency Loans on the average daily amount of such Lender’s LC Exposure (excluding any portion thereof attributable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09" w:name="page110"/>
    <w:bookmarkEnd w:id="109"/>
    <w:p>
      <w:pPr>
        <w:jc w:val="both"/>
        <w:spacing w:after="0" w:line="287" w:lineRule="auto"/>
        <w:rPr>
          <w:sz w:val="20"/>
          <w:szCs w:val="20"/>
          <w:color w:val="auto"/>
        </w:rPr>
      </w:pPr>
      <w:r>
        <w:rPr>
          <w:rFonts w:ascii="Arial" w:cs="Arial" w:eastAsia="Arial" w:hAnsi="Arial"/>
          <w:sz w:val="19"/>
          <w:szCs w:val="19"/>
          <w:color w:val="auto"/>
        </w:rPr>
        <w:t xml:space="preserve">to unreimbursed LC Disbursements) during the period from and including the Effective Date to but excluding the later of the date on which such Lender’s Revolving Commitment terminates and the date on which such Lender ceases to have any LC Exposure, and to the Issuing Bank a fronting fee of 0.125% per annum of the face of amount of each Letter of Credit, as well as the Issuing Bank’s standard fees with respect to the issuance, documentation, processing, amendment, renewal or extension of any Letter of Credit or processing of drawings, fees, and other standard costs and charges, of the Issuing Bank relating to the Letters of Credit as from time to time in effect. Participation fees and fronting fees accrued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6" w:lineRule="exact"/>
        <w:rPr>
          <w:sz w:val="20"/>
          <w:szCs w:val="20"/>
          <w:color w:val="auto"/>
        </w:rPr>
      </w:pPr>
    </w:p>
    <w:p>
      <w:pPr>
        <w:ind w:right="20" w:firstLine="656"/>
        <w:spacing w:after="0" w:line="263" w:lineRule="auto"/>
        <w:tabs>
          <w:tab w:leader="none" w:pos="110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Company agrees to pay to the Administrative Agent, for its own account, fees payable in the amounts and at the times separately agreed upon between the Company and the Administrative Agent.</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(or to the Issuing Bank, in the case of fees payable to it) for distribution, in the case of Unused Fees and participation fees, to the Lenders. Fees paid shall not be refundable under any circumstances.</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42"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The Company shall pay the cost of all audits, inspections, valuations and/or field examinations conducted pursuant to </w:t>
      </w:r>
      <w:r>
        <w:rPr>
          <w:rFonts w:ascii="Arial" w:cs="Arial" w:eastAsia="Arial" w:hAnsi="Arial"/>
          <w:sz w:val="21"/>
          <w:szCs w:val="21"/>
          <w:u w:val="single" w:color="auto"/>
          <w:color w:val="auto"/>
        </w:rPr>
        <w:t>Section 5.06</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 Event of Default shall be continuing, the Company shall not be required to pay for any such audit, inspection, valuation and/or field examination conducted prior to the date one (1) year after the Effective Date or more than two (2) such audits, inspections, valuations and/or field examinations per calendar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50" w:lineRule="auto"/>
        <w:tabs>
          <w:tab w:leader="none" w:pos="118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Loans comprising each ABR Borrowing (including each Swingline Loan denominated in U.S. Dollars) shall bear interest at the Alternate Base Rate plus the Applicable Margin. The Loans comprising each Canadian Prime Rate Borrowing (including each Swingline Loan denominated in Canadian Dollars) shall bear interest at the Canadian Prime Rate plus the Applicable Margin.</w:t>
      </w:r>
    </w:p>
    <w:p>
      <w:pPr>
        <w:spacing w:after="0" w:line="214" w:lineRule="exact"/>
        <w:rPr>
          <w:rFonts w:ascii="Arial" w:cs="Arial" w:eastAsia="Arial" w:hAnsi="Arial"/>
          <w:sz w:val="22"/>
          <w:szCs w:val="22"/>
          <w:color w:val="auto"/>
        </w:rPr>
      </w:pPr>
    </w:p>
    <w:p>
      <w:pPr>
        <w:ind w:firstLine="656"/>
        <w:spacing w:after="0" w:line="263" w:lineRule="auto"/>
        <w:tabs>
          <w:tab w:leader="none" w:pos="119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Loans comprising each Eurocurrency Borrowing shall bear interest in the case of a Eurocurrency Revolving Loan, at the Adjusted LIBO Rate or the Adjusted EURIBOR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Rate, as applicable, for the Interest Period in effect for such Borrowing plus the Applicable Margin.</w:t>
      </w:r>
    </w:p>
    <w:p>
      <w:pPr>
        <w:spacing w:after="0" w:line="247" w:lineRule="exact"/>
        <w:rPr>
          <w:sz w:val="20"/>
          <w:szCs w:val="20"/>
          <w:color w:val="auto"/>
        </w:rPr>
      </w:pPr>
    </w:p>
    <w:p>
      <w:pPr>
        <w:ind w:firstLine="656"/>
        <w:spacing w:after="0" w:line="263" w:lineRule="auto"/>
        <w:tabs>
          <w:tab w:leader="none" w:pos="1238"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Loans comprising each CDOR Borrowing shall bear interest at the Canadian Dealer Offered Rate for the Interest Period in effect for such Borrowing plus the Applicable Margin.</w:t>
      </w:r>
    </w:p>
    <w:p>
      <w:pPr>
        <w:spacing w:after="0" w:line="201" w:lineRule="exact"/>
        <w:rPr>
          <w:rFonts w:ascii="Arial" w:cs="Arial" w:eastAsia="Arial" w:hAnsi="Arial"/>
          <w:sz w:val="22"/>
          <w:szCs w:val="22"/>
          <w:color w:val="auto"/>
        </w:rPr>
      </w:pPr>
    </w:p>
    <w:p>
      <w:pPr>
        <w:ind w:firstLine="656"/>
        <w:spacing w:after="0" w:line="263" w:lineRule="auto"/>
        <w:tabs>
          <w:tab w:leader="none" w:pos="11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Loans comprising each EURIBOR Borrowing shall bear interest at the EURIBO Rate for the Interest Period in effect for such Borrowing plus the Applicable Margin.</w:t>
      </w:r>
    </w:p>
    <w:p>
      <w:pPr>
        <w:spacing w:after="0" w:line="201" w:lineRule="exact"/>
        <w:rPr>
          <w:rFonts w:ascii="Arial" w:cs="Arial" w:eastAsia="Arial" w:hAnsi="Arial"/>
          <w:sz w:val="22"/>
          <w:szCs w:val="22"/>
          <w:color w:val="auto"/>
        </w:rPr>
      </w:pPr>
    </w:p>
    <w:p>
      <w:pPr>
        <w:jc w:val="both"/>
        <w:ind w:firstLine="656"/>
        <w:spacing w:after="0" w:line="284" w:lineRule="auto"/>
        <w:tabs>
          <w:tab w:leader="none" w:pos="1117"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in the case of overdue principal of any Loan, 2% plus the rate otherwise applicable to such Loan as provided in the preceding paragraphs of this Section, in the case of overdue interest on any Eurocurrency Loan denominated in Foreign Currencies, any CDOR Loan or any EURIBOR Loan, 2% plus the rate applicable to such Loan as provided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as applicable, in the case of any other amount (other than any amount denominated in Canadian Dollars), 2% plus the rate applicable to ABR Loans as provided in paragraph</w:t>
      </w:r>
    </w:p>
    <w:p>
      <w:pPr>
        <w:spacing w:after="0" w:line="3" w:lineRule="exact"/>
        <w:rPr>
          <w:rFonts w:ascii="Arial" w:cs="Arial" w:eastAsia="Arial" w:hAnsi="Arial"/>
          <w:sz w:val="19"/>
          <w:szCs w:val="19"/>
          <w:color w:val="auto"/>
        </w:rPr>
      </w:pPr>
    </w:p>
    <w:p>
      <w:pPr>
        <w:ind w:right="20" w:firstLine="8"/>
        <w:spacing w:after="0" w:line="246" w:lineRule="auto"/>
        <w:tabs>
          <w:tab w:leader="none" w:pos="297" w:val="left"/>
        </w:tabs>
        <w:numPr>
          <w:ilvl w:val="0"/>
          <w:numId w:val="78"/>
        </w:numPr>
        <w:rPr>
          <w:rFonts w:ascii="Arial" w:cs="Arial" w:eastAsia="Arial" w:hAnsi="Arial"/>
          <w:sz w:val="22"/>
          <w:szCs w:val="22"/>
          <w:u w:val="single" w:color="auto"/>
          <w:color w:val="auto"/>
        </w:rPr>
      </w:pPr>
      <w:r>
        <w:rPr>
          <w:rFonts w:ascii="Arial" w:cs="Arial" w:eastAsia="Arial" w:hAnsi="Arial"/>
          <w:sz w:val="22"/>
          <w:szCs w:val="22"/>
          <w:color w:val="auto"/>
        </w:rPr>
        <w:t xml:space="preserve">of this Section, or in the case of any other amount denominated in Canadian Dollars, 2% plus the rate applicable to Canadian Prime Rate Loans as provided in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Section.</w:t>
      </w:r>
    </w:p>
    <w:p>
      <w:pPr>
        <w:spacing w:after="0" w:line="232" w:lineRule="exact"/>
        <w:rPr>
          <w:rFonts w:ascii="Arial" w:cs="Arial" w:eastAsia="Arial" w:hAnsi="Arial"/>
          <w:sz w:val="22"/>
          <w:szCs w:val="22"/>
          <w:u w:val="single" w:color="auto"/>
          <w:color w:val="auto"/>
        </w:rPr>
      </w:pPr>
    </w:p>
    <w:p>
      <w:pPr>
        <w:jc w:val="both"/>
        <w:ind w:firstLine="656"/>
        <w:spacing w:after="0" w:line="260" w:lineRule="auto"/>
        <w:tabs>
          <w:tab w:leader="none" w:pos="1138"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Accrued interest on each Loan shall be payable in arrears on each Interest Payment Date for such Loan and upon termination of the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interest accrued pursuant to paragraph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of this Section shall be payable on demand, in the event of any repayment or prepayment of any Loan (other than a prepayment of a Canadian Prime Rate Revolving Loan or an ABR Revolving Loan prior to the end of the Availability Period), accrued interest on the principal amount repaid or prepaid shall be payable on the date of such repayment or prepayment and in the event of any conversion of any CDOR Loan, Eurocurrency Loan or EURIBOR Loan prior to the end of the current Interest Period therefor, accrued interest on such Loan shall be payable on the effective date of such conversion.</w:t>
      </w:r>
    </w:p>
    <w:p>
      <w:pPr>
        <w:spacing w:after="0" w:line="207" w:lineRule="exact"/>
        <w:rPr>
          <w:rFonts w:ascii="Arial" w:cs="Arial" w:eastAsia="Arial" w:hAnsi="Arial"/>
          <w:sz w:val="21"/>
          <w:szCs w:val="21"/>
          <w:color w:val="auto"/>
        </w:rPr>
      </w:pPr>
    </w:p>
    <w:p>
      <w:pPr>
        <w:jc w:val="both"/>
        <w:ind w:firstLine="656"/>
        <w:spacing w:after="0" w:line="292" w:lineRule="auto"/>
        <w:tabs>
          <w:tab w:leader="none" w:pos="1192"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on Borrowings denominated in Sterling and Canadian Dollars and interest computed by reference to the Alternate Base Rate at times when the Alternate Base Rate is based on the Prime Rate, in each case, shall be computed on the basis of a year of 365 days (or, except in the case of Borrowings denominated in Sterling, 366 days in a leap year), and in each case shall be payable for the actual number of days elapsed (including the first day but excluding the last day). The applicable Alternate Base Rate, Adjusted LIBO Rate, Canadian Prime Rate, Canadian Dealer Offered Rate, Eurocurrency Rate, EURIBOR Rate or LIBO Rate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11" w:name="page112"/>
    <w:bookmarkEnd w:id="111"/>
    <w:p>
      <w:pPr>
        <w:jc w:val="both"/>
        <w:ind w:left="-220" w:firstLine="656"/>
        <w:spacing w:after="0" w:line="312" w:lineRule="auto"/>
        <w:tabs>
          <w:tab w:leader="none" w:pos="909" w:val="left"/>
        </w:tabs>
        <w:numPr>
          <w:ilvl w:val="0"/>
          <w:numId w:val="79"/>
        </w:numPr>
        <w:rPr>
          <w:rFonts w:ascii="Arial" w:cs="Arial" w:eastAsia="Arial" w:hAnsi="Arial"/>
          <w:sz w:val="19"/>
          <w:szCs w:val="19"/>
          <w:color w:val="auto"/>
        </w:rPr>
      </w:pPr>
      <w:r>
        <w:rPr>
          <w:rFonts w:ascii="Arial" w:cs="Arial" w:eastAsia="Arial" w:hAnsi="Arial"/>
          <w:sz w:val="19"/>
          <w:szCs w:val="19"/>
          <w:color w:val="auto"/>
        </w:rPr>
        <w:t>For purposes of the Interest Act (Canada), where in this Agreement or any other Loan Document a rate of interest is to be calculated on the basis of a year of 360, 365 or 366 days, the yearly rate of interest to which the rate is equivalent is the rate multiplied by the number of days in the year for which the calculation is made and divided by 360, 365 or 366, as applicable.</w:t>
      </w:r>
    </w:p>
    <w:p>
      <w:pPr>
        <w:spacing w:after="0" w:line="160" w:lineRule="exact"/>
        <w:rPr>
          <w:rFonts w:ascii="Arial" w:cs="Arial" w:eastAsia="Arial" w:hAnsi="Arial"/>
          <w:sz w:val="19"/>
          <w:szCs w:val="19"/>
          <w:color w:val="auto"/>
        </w:rPr>
      </w:pPr>
    </w:p>
    <w:p>
      <w:pPr>
        <w:jc w:val="both"/>
        <w:ind w:left="-220" w:firstLine="656"/>
        <w:spacing w:after="0" w:line="285" w:lineRule="auto"/>
        <w:tabs>
          <w:tab w:leader="none" w:pos="87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If any provision of this Agreement or of any of the other Loan Documents would obligate any Credit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firstly, by reducing the amount or rate of interest required to be paid to the Lenders under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Credit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paragraph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earliest possible date to the Termination Date and, in the event of a dispute, a certificate of a Fellow of the Canadian Institute of Actuaries appointed by the Administrative Agent shall be conclusive for the purposes of such determination.</w:t>
      </w: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Alternate Rate of Interest; Illegality</w:t>
      </w:r>
      <w:r>
        <w:rPr>
          <w:rFonts w:ascii="Arial" w:cs="Arial" w:eastAsia="Arial" w:hAnsi="Arial"/>
          <w:sz w:val="22"/>
          <w:szCs w:val="22"/>
          <w:color w:val="auto"/>
        </w:rPr>
        <w:t>.</w:t>
      </w:r>
    </w:p>
    <w:p>
      <w:pPr>
        <w:spacing w:after="0" w:line="247" w:lineRule="exact"/>
        <w:rPr>
          <w:sz w:val="20"/>
          <w:szCs w:val="20"/>
          <w:color w:val="auto"/>
        </w:rPr>
      </w:pPr>
    </w:p>
    <w:p>
      <w:pPr>
        <w:jc w:val="both"/>
        <w:ind w:left="-220" w:firstLine="656"/>
        <w:spacing w:after="0" w:line="259" w:lineRule="auto"/>
        <w:tabs>
          <w:tab w:leader="none" w:pos="933"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If, at the time the Administrative Agent shall seek to determine the relevant Screen Rate on the Quotation Day for any Interest Period, the applicable Screen Rate shall not be available for such Interest Period and/or for the applicable currency for any reason and the Administrative Agent shall determine that it is not possible to determine the Interpolated Rate (which conclusion shall be conclusive and binding absent manifest error), then the LIBO Rate, EURIBOR Rate or CDOR Rate, as the case may be, for such Interest Period for the relevant Borrowing shall be the Reference Bank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Reference Bank Rate shall be less than zero, such rate shall be deemed to be zero for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less than two Reference Banks shall supply a rate to the Administrative Agent for purposes of determining such rate for such Borrowing, if such Borrowing shall be requested 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020"/>
          </w:cols>
          <w:pgMar w:left="540" w:top="1428" w:right="339" w:bottom="1440" w:gutter="0" w:footer="0" w:header="0"/>
        </w:sectPr>
      </w:pPr>
    </w:p>
    <w:bookmarkStart w:id="112" w:name="page113"/>
    <w:bookmarkEnd w:id="112"/>
    <w:p>
      <w:pPr>
        <w:jc w:val="both"/>
        <w:spacing w:after="0" w:line="253" w:lineRule="auto"/>
        <w:rPr>
          <w:sz w:val="20"/>
          <w:szCs w:val="20"/>
          <w:color w:val="auto"/>
        </w:rPr>
      </w:pPr>
      <w:r>
        <w:rPr>
          <w:rFonts w:ascii="Arial" w:cs="Arial" w:eastAsia="Arial" w:hAnsi="Arial"/>
          <w:sz w:val="22"/>
          <w:szCs w:val="22"/>
          <w:color w:val="auto"/>
        </w:rPr>
        <w:t>U.S. Dollars, then such Borrowing shall be made as an ABR Borrowing, if such Borrowing shall be requested in Canadian Dollars, then such Borrowing shall be made as a Canadian Prime Rate Borrowing and if such Borrowing shall be requested in any other currency, the request for such Borrowing shall be ineffective.</w:t>
      </w:r>
    </w:p>
    <w:p>
      <w:pPr>
        <w:spacing w:after="0" w:line="212" w:lineRule="exact"/>
        <w:rPr>
          <w:sz w:val="20"/>
          <w:szCs w:val="20"/>
          <w:color w:val="auto"/>
        </w:rPr>
      </w:pPr>
    </w:p>
    <w:p>
      <w:pPr>
        <w:ind w:firstLine="656"/>
        <w:spacing w:after="0" w:line="263" w:lineRule="auto"/>
        <w:tabs>
          <w:tab w:leader="none" w:pos="1193"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Subject to clauses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if prior to the commencement of any Interest Period for a CDOR Borrowing, a Eurocurrency Borrowing or a EURIBOR Borrowing:</w:t>
      </w:r>
    </w:p>
    <w:p>
      <w:pPr>
        <w:spacing w:after="0" w:line="201" w:lineRule="exact"/>
        <w:rPr>
          <w:rFonts w:ascii="Arial" w:cs="Arial" w:eastAsia="Arial" w:hAnsi="Arial"/>
          <w:sz w:val="22"/>
          <w:szCs w:val="22"/>
          <w:color w:val="auto"/>
        </w:rPr>
      </w:pPr>
    </w:p>
    <w:p>
      <w:pPr>
        <w:jc w:val="both"/>
        <w:ind w:left="660" w:firstLine="644"/>
        <w:spacing w:after="0" w:line="297" w:lineRule="auto"/>
        <w:tabs>
          <w:tab w:leader="none" w:pos="182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that adequate and reasonable means do not exist for ascertaining the Adjusted LIBO Rate, the LIBO Rate, the Canadian Dealer Offered Rate or the Adjusted EURIBOR Rate or the EURIBOR Rate, as applicable (including because the Relevant Screen Rate is not available or published on a current basis), for the applicable Agreed Currency and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shall have occurred at such time; or</w:t>
      </w:r>
    </w:p>
    <w:p>
      <w:pPr>
        <w:spacing w:after="0" w:line="173" w:lineRule="exact"/>
        <w:rPr>
          <w:rFonts w:ascii="Arial" w:cs="Arial" w:eastAsia="Arial" w:hAnsi="Arial"/>
          <w:sz w:val="19"/>
          <w:szCs w:val="19"/>
          <w:color w:val="auto"/>
        </w:rPr>
      </w:pPr>
    </w:p>
    <w:p>
      <w:pPr>
        <w:jc w:val="both"/>
        <w:ind w:left="660" w:firstLine="644"/>
        <w:spacing w:after="0" w:line="265" w:lineRule="auto"/>
        <w:tabs>
          <w:tab w:leader="none" w:pos="1826"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Administrative Agent is advised by the Required Lenders that the Adjusted LIBO Rate, the LIBO Rate, the Canadian Dealer Offered Rate or the EURIBOR Rate, as applicable, for the applicable Agreed Currency for such Interest Period will not adequately and fairly reflect the cost to such Lenders (or Lender) of making or maintaining their Loans included in such Borrowing for the applicable Agreed Currency and such Interest Period;</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no outstanding Borrowing of U.S. Dollars or Canadian Dollars shall be converted to or continued as a Eurocurrency Borrowing or CDOR Borrowing, as applicable, and any Interest Election Request requesting such conversion or continuation shall be ineffective, no outstanding Eurocurrency Borrowing in any Foreign Currency or EURIBOR Borrowing shall be continued and any Interest Election Request requesting such continuation shall be ineffective, if any Borrowing Request requests a Eurocurrency Borrowing in U.S. Dollars, such Borrowing shall be made as an ABR Borrowing, if any Borrower Request requests a Eurocurrency Borrowing in an Alternative Currency, then such request shall be ineffective, (E) if any Borrowing Request requests a CDOR Borrowing, such Borrowing shall be made as a Canadian Prime Rate Borrowing and (F) if any Borrowing Request requests a EURIBOR Borrowing, such request shall be ineffective;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less than all Types of Borrowings, then the other Types of Borrowings shall be permitted. Furthermore, if any Eurocurrency Loan in any Agreed Currency is outstanding on the date of the Company’s receipt of the notice from the Administrative Agent referred to in this Section 2.14(b) with respect to a Relevant Rate applicable to such Eurocurrency Loan, then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13" w:name="page114"/>
    <w:bookmarkEnd w:id="113"/>
    <w:p>
      <w:pPr>
        <w:jc w:val="both"/>
        <w:spacing w:after="0" w:line="288" w:lineRule="auto"/>
        <w:rPr>
          <w:sz w:val="20"/>
          <w:szCs w:val="20"/>
          <w:color w:val="auto"/>
        </w:rPr>
      </w:pPr>
      <w:r>
        <w:rPr>
          <w:rFonts w:ascii="Arial" w:cs="Arial" w:eastAsia="Arial" w:hAnsi="Arial"/>
          <w:sz w:val="19"/>
          <w:szCs w:val="19"/>
          <w:color w:val="auto"/>
        </w:rPr>
        <w:t>denominated in dollars on such day or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Borrowers on such day or</w:t>
      </w:r>
    </w:p>
    <w:p>
      <w:pPr>
        <w:spacing w:after="0" w:line="1" w:lineRule="exact"/>
        <w:rPr>
          <w:sz w:val="20"/>
          <w:szCs w:val="20"/>
          <w:color w:val="auto"/>
        </w:rPr>
      </w:pPr>
    </w:p>
    <w:p>
      <w:pPr>
        <w:jc w:val="both"/>
        <w:ind w:firstLine="8"/>
        <w:spacing w:after="0" w:line="256" w:lineRule="auto"/>
        <w:tabs>
          <w:tab w:leader="none" w:pos="359" w:val="left"/>
        </w:tabs>
        <w:numPr>
          <w:ilvl w:val="0"/>
          <w:numId w:val="82"/>
        </w:numPr>
        <w:rPr>
          <w:rFonts w:ascii="Arial" w:cs="Arial" w:eastAsia="Arial" w:hAnsi="Arial"/>
          <w:sz w:val="21"/>
          <w:szCs w:val="21"/>
          <w:color w:val="auto"/>
        </w:rPr>
      </w:pPr>
      <w:r>
        <w:rPr>
          <w:rFonts w:ascii="Arial" w:cs="Arial" w:eastAsia="Arial" w:hAnsi="Arial"/>
          <w:sz w:val="21"/>
          <w:szCs w:val="21"/>
          <w:color w:val="auto"/>
        </w:rPr>
        <w:t>be converted by the Administrative Agent to, and (subject to the remainder of this subclause (B)) shall constitute, an ABR Loan denominated in dollars (in an amount equal to the Dollar Equivalent of such Agreed Currency) on such day (it being understood and agreed that if the Borrowers do not so prepay such Loan on such day by 12:00 noon, local time, the Administrative Agent is authorized to effect such conversion of such Eurocurrency Loan into an ABR Loan denominated in dollars), and, in the case of such subclause (B), upon the Company’s receipt of notice from the Administrative Agent that the circumstances giving rise to the aforementioned notice no longer exist, such ABR Loan denominated in dollars shall then be converted by the Administrative Agent to, and shall constitute, a Eurocurrency Loan denominated in such original Agreed Currency (in an amount equal to the Alternative Currency Equivalent of such Agreed Currency) on the day of such notice being given to the Company by the Administrative Agent.</w:t>
      </w:r>
    </w:p>
    <w:p>
      <w:pPr>
        <w:spacing w:after="0" w:line="215" w:lineRule="exact"/>
        <w:rPr>
          <w:rFonts w:ascii="Arial" w:cs="Arial" w:eastAsia="Arial" w:hAnsi="Arial"/>
          <w:sz w:val="21"/>
          <w:szCs w:val="21"/>
          <w:color w:val="auto"/>
        </w:rPr>
      </w:pPr>
    </w:p>
    <w:p>
      <w:pPr>
        <w:jc w:val="both"/>
        <w:ind w:firstLine="656"/>
        <w:spacing w:after="0" w:line="286" w:lineRule="auto"/>
        <w:tabs>
          <w:tab w:leader="none" w:pos="1109"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2" w:lineRule="exact"/>
        <w:rPr>
          <w:rFonts w:ascii="Arial" w:cs="Arial" w:eastAsia="Arial" w:hAnsi="Arial"/>
          <w:sz w:val="19"/>
          <w:szCs w:val="19"/>
          <w:color w:val="auto"/>
        </w:rPr>
      </w:pPr>
    </w:p>
    <w:p>
      <w:pPr>
        <w:jc w:val="both"/>
        <w:ind w:firstLine="656"/>
        <w:spacing w:after="0" w:line="290" w:lineRule="auto"/>
        <w:tabs>
          <w:tab w:leader="none" w:pos="1135"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subject to the proviso below in this paragraph, solely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shall not be effective unless the Administrative Agent has delivered to the Lenders and the Company a Term SOFR Notice. For the avoidance of doubt, the Administrative Agent shall not be required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to deliver a Term SOFR Notice after a Term SOFR Transition Event and may do so in its sole discretion.</w:t>
      </w:r>
    </w:p>
    <w:p>
      <w:pPr>
        <w:spacing w:after="0" w:line="247" w:lineRule="exact"/>
        <w:rPr>
          <w:sz w:val="20"/>
          <w:szCs w:val="20"/>
          <w:color w:val="auto"/>
        </w:rPr>
      </w:pPr>
    </w:p>
    <w:p>
      <w:pPr>
        <w:jc w:val="both"/>
        <w:ind w:firstLine="656"/>
        <w:spacing w:after="0" w:line="302" w:lineRule="auto"/>
        <w:tabs>
          <w:tab w:leader="none" w:pos="1104"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9" w:lineRule="exact"/>
        <w:rPr>
          <w:rFonts w:ascii="Arial" w:cs="Arial" w:eastAsia="Arial" w:hAnsi="Arial"/>
          <w:sz w:val="19"/>
          <w:szCs w:val="19"/>
          <w:color w:val="auto"/>
        </w:rPr>
      </w:pPr>
    </w:p>
    <w:p>
      <w:pPr>
        <w:jc w:val="both"/>
        <w:ind w:firstLine="656"/>
        <w:spacing w:after="0" w:line="288" w:lineRule="auto"/>
        <w:tabs>
          <w:tab w:leader="none" w:pos="11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Administrative Agent will promptly notify the Company and the Lenders of any occurrence of a Benchmark Transition Event, a Term SOFR Transition Event or an Early Opt-in Election, as applicable, and its related Benchmark Replacement Date, the implementation of any Benchmark Replacement, the effectiveness of any Benchmark Replacement Conforming Changes, the removal or reinstatement of any tenor of a Benchmark pursuant to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656"/>
        <w:spacing w:after="0" w:line="257" w:lineRule="auto"/>
        <w:tabs>
          <w:tab w:leader="none" w:pos="1305"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or in any other Loan Document, at any time (including in connection with the implementation of a Benchmark Replacement), if the then-current Benchmark is a term rate (including Term SOFR or LIBO Rate) and either any tenor for such Benchmark is not displayed on a screen or other information service that publishes such rate from time to time as selected by the Administrative Agent in its reasonable discretion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if a tenor that was removed pursuant to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above either is subsequently displayed on a screen or information service for a Benchmark (including a Benchmark Replacement) or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31" w:lineRule="exact"/>
        <w:rPr>
          <w:rFonts w:ascii="Arial" w:cs="Arial" w:eastAsia="Arial" w:hAnsi="Arial"/>
          <w:sz w:val="21"/>
          <w:szCs w:val="21"/>
          <w:color w:val="auto"/>
        </w:rPr>
      </w:pPr>
    </w:p>
    <w:p>
      <w:pPr>
        <w:jc w:val="both"/>
        <w:ind w:firstLine="656"/>
        <w:spacing w:after="0" w:line="265" w:lineRule="auto"/>
        <w:tabs>
          <w:tab w:leader="none" w:pos="1167" w:val="left"/>
        </w:tabs>
        <w:numPr>
          <w:ilvl w:val="0"/>
          <w:numId w:val="83"/>
        </w:numPr>
        <w:rPr>
          <w:rFonts w:ascii="Arial" w:cs="Arial" w:eastAsia="Arial" w:hAnsi="Arial"/>
          <w:sz w:val="21"/>
          <w:szCs w:val="21"/>
          <w:color w:val="auto"/>
        </w:rPr>
      </w:pPr>
      <w:r>
        <w:rPr>
          <w:rFonts w:ascii="Arial" w:cs="Arial" w:eastAsia="Arial" w:hAnsi="Arial"/>
          <w:sz w:val="21"/>
          <w:szCs w:val="21"/>
          <w:color w:val="auto"/>
        </w:rPr>
        <w:t>Upon the Company’s receipt of notice of the commencement of a Benchmark Unavailability Period, the Company may revoke any request for a Eurocurrency Borrowing of, conversion to or continuation of Eurocurrency Loans to be made, converted or continued during any Benchmark Unavailability Period and, failing that, either (x) the Company will be deemed to have converted any request for a Eurocurrency Borrowing denominated in dollars into a request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85" w:lineRule="auto"/>
        <w:rPr>
          <w:sz w:val="20"/>
          <w:szCs w:val="20"/>
          <w:color w:val="auto"/>
        </w:rPr>
      </w:pPr>
      <w:r>
        <w:rPr>
          <w:rFonts w:ascii="Arial" w:cs="Arial" w:eastAsia="Arial" w:hAnsi="Arial"/>
          <w:sz w:val="19"/>
          <w:szCs w:val="19"/>
          <w:color w:val="auto"/>
        </w:rPr>
        <w:t>for a Borrowing of or conversion to ABR Loans or (y) any Eurocurrency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Company’s receipt of notice of the commencement of a Benchmark Unavailability Period with respect to a Relevant Rate applicable to such Eurocurrency Loan, then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Borrowers on such day or (B) be converted by the Administrative Agent to, and (subject to the remainder of this subclause (B)) shall constitute, an ABR Loan denominated in dollars (in an amount equal to the Dollar Equivalent of such Agreed Currency) on such day (it being understood and agreed that if the Company does not so prepay such Loan on such day by 12:00 noon, local time, the Administrative Agent is authorized to effect such conversion of such Eurocurrency Loan into an ABR Loan denominated in dollars), and, in the case of such subclause (B), upon any subsequent implementation of a Benchmark Replacement in respect of such Agreed Currency pursuant to this Section 2.14, such ABR Loan denominated in dollars shall then be converted by the Administrative Agent to, and shall constitute, a Eurocurrency Loan denominated in such original Agreed Currency (in an amount equal to the Alternative Currency Equivalent of such Agreed Currency) on the day of such implementation, giving effect to such Benchmark Replacement in respect of such Agreed Currency.</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47" w:lineRule="exact"/>
        <w:rPr>
          <w:sz w:val="20"/>
          <w:szCs w:val="20"/>
          <w:color w:val="auto"/>
        </w:rPr>
      </w:pPr>
    </w:p>
    <w:p>
      <w:pPr>
        <w:ind w:left="1120" w:hanging="464"/>
        <w:spacing w:after="0"/>
        <w:tabs>
          <w:tab w:leader="none" w:pos="11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46" w:lineRule="exact"/>
        <w:rPr>
          <w:rFonts w:ascii="Arial" w:cs="Arial" w:eastAsia="Arial" w:hAnsi="Arial"/>
          <w:sz w:val="22"/>
          <w:szCs w:val="22"/>
          <w:color w:val="auto"/>
        </w:rPr>
      </w:pPr>
    </w:p>
    <w:p>
      <w:pPr>
        <w:jc w:val="both"/>
        <w:ind w:left="660" w:firstLine="644"/>
        <w:spacing w:after="0" w:line="312" w:lineRule="auto"/>
        <w:tabs>
          <w:tab w:leader="none" w:pos="1734" w:val="left"/>
        </w:tabs>
        <w:numPr>
          <w:ilvl w:val="1"/>
          <w:numId w:val="84"/>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Adjusted LIBO Rate or the Adjusted EURIBOR Rate) or the Issuing Bank;</w:t>
      </w:r>
    </w:p>
    <w:p>
      <w:pPr>
        <w:spacing w:after="0" w:line="173" w:lineRule="exact"/>
        <w:rPr>
          <w:rFonts w:ascii="Arial" w:cs="Arial" w:eastAsia="Arial" w:hAnsi="Arial"/>
          <w:sz w:val="19"/>
          <w:szCs w:val="19"/>
          <w:color w:val="auto"/>
        </w:rPr>
      </w:pPr>
    </w:p>
    <w:p>
      <w:pPr>
        <w:jc w:val="both"/>
        <w:ind w:left="660" w:firstLine="644"/>
        <w:spacing w:after="0" w:line="253" w:lineRule="auto"/>
        <w:tabs>
          <w:tab w:leader="none" w:pos="1893" w:val="left"/>
        </w:tabs>
        <w:numPr>
          <w:ilvl w:val="1"/>
          <w:numId w:val="84"/>
        </w:numPr>
        <w:rPr>
          <w:rFonts w:ascii="Arial" w:cs="Arial" w:eastAsia="Arial" w:hAnsi="Arial"/>
          <w:sz w:val="22"/>
          <w:szCs w:val="22"/>
          <w:color w:val="auto"/>
        </w:rPr>
      </w:pPr>
      <w:r>
        <w:rPr>
          <w:rFonts w:ascii="Arial" w:cs="Arial" w:eastAsia="Arial" w:hAnsi="Arial"/>
          <w:sz w:val="22"/>
          <w:szCs w:val="22"/>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212" w:lineRule="exact"/>
        <w:rPr>
          <w:rFonts w:ascii="Arial" w:cs="Arial" w:eastAsia="Arial" w:hAnsi="Arial"/>
          <w:sz w:val="22"/>
          <w:szCs w:val="22"/>
          <w:color w:val="auto"/>
        </w:rPr>
      </w:pPr>
    </w:p>
    <w:p>
      <w:pPr>
        <w:ind w:left="1880" w:hanging="576"/>
        <w:spacing w:after="0"/>
        <w:tabs>
          <w:tab w:leader="none" w:pos="188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subject any Recipient to any Taxes (other than Indemnified Taxes, Taxes described in clauses (b) through</w:t>
      </w:r>
    </w:p>
    <w:p>
      <w:pPr>
        <w:spacing w:after="0" w:line="55" w:lineRule="exact"/>
        <w:rPr>
          <w:rFonts w:ascii="Arial" w:cs="Arial" w:eastAsia="Arial" w:hAnsi="Arial"/>
          <w:sz w:val="19"/>
          <w:szCs w:val="19"/>
          <w:color w:val="auto"/>
        </w:rPr>
      </w:pPr>
    </w:p>
    <w:p>
      <w:pPr>
        <w:ind w:left="960" w:hanging="304"/>
        <w:spacing w:after="0"/>
        <w:tabs>
          <w:tab w:leader="none" w:pos="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of the definition of Excluded Taxes and Connection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16" w:name="page117"/>
    <w:bookmarkEnd w:id="116"/>
    <w:p>
      <w:pPr>
        <w:ind w:left="660"/>
        <w:spacing w:after="0" w:line="263" w:lineRule="auto"/>
        <w:rPr>
          <w:sz w:val="20"/>
          <w:szCs w:val="20"/>
          <w:color w:val="auto"/>
        </w:rPr>
      </w:pPr>
      <w:r>
        <w:rPr>
          <w:rFonts w:ascii="Arial" w:cs="Arial" w:eastAsia="Arial" w:hAnsi="Arial"/>
          <w:sz w:val="22"/>
          <w:szCs w:val="22"/>
          <w:color w:val="auto"/>
        </w:rPr>
        <w:t>Income Taxes) on its loans, loan principal, letters of credit, commitments, or other obligations, or its deposits, reserves, other liabilities or capital attributable thereto;</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Bank or such other Recipient of participating in, issuing or maintaining any Letter of Credit (or of maintaining its obligation to participate in or to issue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210" w:lineRule="exact"/>
        <w:rPr>
          <w:sz w:val="20"/>
          <w:szCs w:val="20"/>
          <w:color w:val="auto"/>
        </w:rPr>
      </w:pPr>
    </w:p>
    <w:p>
      <w:pPr>
        <w:jc w:val="both"/>
        <w:ind w:firstLine="656"/>
        <w:spacing w:after="0" w:line="289" w:lineRule="auto"/>
        <w:tabs>
          <w:tab w:leader="none" w:pos="1121"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Issuing Bank’s holding company for any such reduction suffered.</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 certificate of a Lender or the Issuing Bank setting forth the amount or amounts necessary to compensate such Lender or the Issuing Bank or its holding company, as the case may be, as specified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delivered to the Company and shall be conclusive absent manifest error. The Borrowers shall pay such Lender or the Issuing Bank, as the case may be, the amount shown as due on any such certificate within 10 days after receipt thereof.</w:t>
      </w:r>
    </w:p>
    <w:p>
      <w:pPr>
        <w:spacing w:after="0" w:line="182" w:lineRule="exact"/>
        <w:rPr>
          <w:rFonts w:ascii="Arial" w:cs="Arial" w:eastAsia="Arial" w:hAnsi="Arial"/>
          <w:sz w:val="19"/>
          <w:szCs w:val="19"/>
          <w:color w:val="auto"/>
        </w:rPr>
      </w:pPr>
    </w:p>
    <w:p>
      <w:pPr>
        <w:jc w:val="both"/>
        <w:ind w:firstLine="656"/>
        <w:spacing w:after="0" w:line="292" w:lineRule="auto"/>
        <w:tabs>
          <w:tab w:leader="none" w:pos="11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Company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17" w:name="page118"/>
    <w:bookmarkEnd w:id="117"/>
    <w:p>
      <w:pPr>
        <w:jc w:val="both"/>
        <w:ind w:firstLine="648"/>
        <w:spacing w:after="0" w:line="284"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the payment of any principal of any Eurocurrency Loan, CDOR Loan or EURIBOR Loan other than on the last day of an Interest Period applicable thereto (including as a result of an Event of Default or as a result of any prepayment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conversion of any Eurocurrency Loan denominated in U.S. Dollars or CDOR Loan other than on the last day of the Interest Period applicable thereto, the failure to borrow, convert, continue or prepay any Eurocurrency Loan, CDOR Loan or EURIBOR Loan on the date specified in any notice delivered pursuant hereto (regardless of whether such notice may be revoked under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and is revoked in accordance therewith), or the assignment of any Eurocurrency Loan, CDOR Loan or EURIBOR Loan other than on the last day of the Interest Period applicable thereto as a result of a request by the Company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then, in any such event, the Borrowers shall compensate each Lender for the loss, cost and expense attributable to such event. Such loss, cost or expense to any Lender shall be deemed to include an amount determined by such Lender to be the excess, if any, of the amount of interest which would have accrued on the principal amount of such Loan had such event not occurred, at the Adjusted LIBO Rate, Adjusted EURIBOR Rate, the Canadian Dealer Offered Rate or the EURIBOR Rate, as applicable, plus the Applicable Margin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London or European interbank market, or for Canadian Dollar deposits of a comparable amount and period to such CDOR Loan from other banks in the Canadian bankers’ acceptance market.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ten (10) days after receipt thereof.</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9" w:lineRule="auto"/>
        <w:tabs>
          <w:tab w:leader="none" w:pos="11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118" w:name="page119"/>
    <w:bookmarkEnd w:id="118"/>
    <w:p>
      <w:pPr>
        <w:ind w:left="-220" w:right="20" w:firstLine="656"/>
        <w:spacing w:after="0" w:line="343" w:lineRule="auto"/>
        <w:tabs>
          <w:tab w:leader="none" w:pos="104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Borrowers</w:t>
      </w:r>
      <w:r>
        <w:rPr>
          <w:rFonts w:ascii="Arial" w:cs="Arial" w:eastAsia="Arial" w:hAnsi="Arial"/>
          <w:sz w:val="19"/>
          <w:szCs w:val="19"/>
          <w:color w:val="auto"/>
        </w:rPr>
        <w:t>. The Credit Parties shall timely pay to the relevant Governmental Authority in accordance with applicable law, or at the option of the Administrative Agent timely reimburse it for, Other Taxes.</w:t>
      </w:r>
    </w:p>
    <w:p>
      <w:pPr>
        <w:spacing w:after="0" w:line="131" w:lineRule="exact"/>
        <w:rPr>
          <w:rFonts w:ascii="Arial" w:cs="Arial" w:eastAsia="Arial" w:hAnsi="Arial"/>
          <w:sz w:val="19"/>
          <w:szCs w:val="19"/>
          <w:color w:val="auto"/>
        </w:rPr>
      </w:pPr>
    </w:p>
    <w:p>
      <w:pPr>
        <w:jc w:val="both"/>
        <w:ind w:left="-220" w:firstLine="656"/>
        <w:spacing w:after="0" w:line="265" w:lineRule="auto"/>
        <w:tabs>
          <w:tab w:leader="none" w:pos="93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Taxes by any Credit Party to a Governmental Authority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2" w:lineRule="exact"/>
        <w:rPr>
          <w:rFonts w:ascii="Arial" w:cs="Arial" w:eastAsia="Arial" w:hAnsi="Arial"/>
          <w:sz w:val="21"/>
          <w:szCs w:val="21"/>
          <w:color w:val="auto"/>
        </w:rPr>
      </w:pPr>
    </w:p>
    <w:p>
      <w:pPr>
        <w:jc w:val="both"/>
        <w:ind w:left="-220" w:firstLine="656"/>
        <w:spacing w:after="0" w:line="292" w:lineRule="auto"/>
        <w:tabs>
          <w:tab w:leader="none" w:pos="95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Borrowers</w:t>
      </w:r>
      <w:r>
        <w:rPr>
          <w:rFonts w:ascii="Arial" w:cs="Arial" w:eastAsia="Arial" w:hAnsi="Arial"/>
          <w:sz w:val="19"/>
          <w:szCs w:val="19"/>
          <w:color w:val="auto"/>
        </w:rPr>
        <w:t>. The Borrowers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9"/>
          <w:szCs w:val="19"/>
          <w:color w:val="auto"/>
        </w:rPr>
      </w:pPr>
    </w:p>
    <w:p>
      <w:pPr>
        <w:jc w:val="both"/>
        <w:ind w:left="-220" w:firstLine="656"/>
        <w:spacing w:after="0" w:line="287" w:lineRule="auto"/>
        <w:tabs>
          <w:tab w:leader="none" w:pos="95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any Indemnified Taxes attributable to such Lender (but only to the extent that the Borrowers have not already indemnified the Administrative Agent for such Indemnified Taxes and without limiting the obligation of the Borrowers to do so), any Taxes attributable to such Lender’s failure to comply with the provisions of </w:t>
      </w:r>
      <w:r>
        <w:rPr>
          <w:rFonts w:ascii="Arial" w:cs="Arial" w:eastAsia="Arial" w:hAnsi="Arial"/>
          <w:sz w:val="19"/>
          <w:szCs w:val="19"/>
          <w:u w:val="single" w:color="auto"/>
          <w:color w:val="auto"/>
        </w:rPr>
        <w:t>Section 9.04(c)</w:t>
      </w:r>
      <w:r>
        <w:rPr>
          <w:rFonts w:ascii="Arial" w:cs="Arial" w:eastAsia="Arial" w:hAnsi="Arial"/>
          <w:sz w:val="19"/>
          <w:szCs w:val="19"/>
          <w:color w:val="auto"/>
        </w:rPr>
        <w:t xml:space="preserve"> relating to the maintenance of a Participant Register and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w:t>
      </w:r>
      <w:r>
        <w:rPr>
          <w:rFonts w:ascii="Arial" w:cs="Arial" w:eastAsia="Arial" w:hAnsi="Arial"/>
          <w:sz w:val="19"/>
          <w:szCs w:val="19"/>
          <w:u w:val="single" w:color="auto"/>
          <w:color w:val="auto"/>
        </w:rPr>
        <w:t>(e)</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ind w:left="860" w:hanging="424"/>
        <w:spacing w:after="0"/>
        <w:tabs>
          <w:tab w:leader="none" w:pos="86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Status of the Lenders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440" w:firstLine="644"/>
        <w:spacing w:after="0" w:line="248" w:lineRule="auto"/>
        <w:tabs>
          <w:tab w:leader="none" w:pos="1547"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020"/>
          </w:cols>
          <w:pgMar w:left="540" w:top="1428" w:right="339" w:bottom="1440" w:gutter="0" w:footer="0" w:header="0"/>
        </w:sectPr>
      </w:pPr>
    </w:p>
    <w:bookmarkStart w:id="119" w:name="page120"/>
    <w:bookmarkEnd w:id="119"/>
    <w:p>
      <w:pPr>
        <w:jc w:val="both"/>
        <w:spacing w:after="0" w:line="290" w:lineRule="auto"/>
        <w:rPr>
          <w:sz w:val="20"/>
          <w:szCs w:val="20"/>
          <w:color w:val="auto"/>
        </w:rPr>
      </w:pPr>
      <w:r>
        <w:rPr>
          <w:rFonts w:ascii="Arial" w:cs="Arial" w:eastAsia="Arial" w:hAnsi="Arial"/>
          <w:sz w:val="19"/>
          <w:szCs w:val="19"/>
          <w:color w:val="auto"/>
        </w:rPr>
        <w:t xml:space="preserve">withholding. In addition, any Lender, if reasonably requested by the Company or the Administrative Agent, shall deliver such other documentation prescribed by applicable law or reasonably requested by the Borrower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2.17(f)(ii)(A)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sz w:val="20"/>
          <w:szCs w:val="20"/>
          <w:color w:val="auto"/>
        </w:rPr>
      </w:pPr>
    </w:p>
    <w:p>
      <w:pPr>
        <w:ind w:left="1120" w:hanging="476"/>
        <w:spacing w:after="0"/>
        <w:tabs>
          <w:tab w:leader="none" w:pos="11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if any Borrower is a U.S. Person,</w:t>
      </w:r>
    </w:p>
    <w:p>
      <w:pPr>
        <w:spacing w:after="0" w:line="246" w:lineRule="exact"/>
        <w:rPr>
          <w:rFonts w:ascii="Arial" w:cs="Arial" w:eastAsia="Arial" w:hAnsi="Arial"/>
          <w:sz w:val="22"/>
          <w:szCs w:val="22"/>
          <w:color w:val="auto"/>
        </w:rPr>
      </w:pPr>
    </w:p>
    <w:p>
      <w:pPr>
        <w:jc w:val="both"/>
        <w:ind w:left="640" w:firstLine="652"/>
        <w:spacing w:after="0" w:line="265" w:lineRule="auto"/>
        <w:tabs>
          <w:tab w:leader="none" w:pos="1840" w:val="left"/>
        </w:tabs>
        <w:numPr>
          <w:ilvl w:val="1"/>
          <w:numId w:val="89"/>
        </w:numPr>
        <w:rPr>
          <w:rFonts w:ascii="Arial" w:cs="Arial" w:eastAsia="Arial" w:hAnsi="Arial"/>
          <w:sz w:val="21"/>
          <w:szCs w:val="21"/>
          <w:color w:val="auto"/>
        </w:rPr>
      </w:pPr>
      <w:r>
        <w:rPr>
          <w:rFonts w:ascii="Arial" w:cs="Arial" w:eastAsia="Arial" w:hAnsi="Arial"/>
          <w:sz w:val="21"/>
          <w:szCs w:val="21"/>
          <w:color w:val="auto"/>
        </w:rPr>
        <w:t>any Lender that is a U.S. Person shall deliver to such Borrower and the Administrative Agent on or before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spacing w:after="0" w:line="202" w:lineRule="exact"/>
        <w:rPr>
          <w:rFonts w:ascii="Arial" w:cs="Arial" w:eastAsia="Arial" w:hAnsi="Arial"/>
          <w:sz w:val="21"/>
          <w:szCs w:val="21"/>
          <w:color w:val="auto"/>
        </w:rPr>
      </w:pPr>
    </w:p>
    <w:p>
      <w:pPr>
        <w:jc w:val="both"/>
        <w:ind w:left="640" w:firstLine="652"/>
        <w:spacing w:after="0" w:line="302" w:lineRule="auto"/>
        <w:tabs>
          <w:tab w:leader="none" w:pos="1799" w:val="left"/>
        </w:tabs>
        <w:numPr>
          <w:ilvl w:val="1"/>
          <w:numId w:val="8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whichever of the following is applicable:</w:t>
      </w:r>
    </w:p>
    <w:p>
      <w:pPr>
        <w:spacing w:after="0" w:line="182" w:lineRule="exact"/>
        <w:rPr>
          <w:rFonts w:ascii="Arial" w:cs="Arial" w:eastAsia="Arial" w:hAnsi="Arial"/>
          <w:sz w:val="19"/>
          <w:szCs w:val="19"/>
          <w:color w:val="auto"/>
        </w:rPr>
      </w:pPr>
    </w:p>
    <w:p>
      <w:pPr>
        <w:jc w:val="both"/>
        <w:ind w:left="1300" w:firstLine="640"/>
        <w:spacing w:after="0" w:line="246" w:lineRule="auto"/>
        <w:tabs>
          <w:tab w:leader="none" w:pos="2501" w:val="left"/>
        </w:tabs>
        <w:numPr>
          <w:ilvl w:val="2"/>
          <w:numId w:val="89"/>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an income tax treaty to which the United States is a party (x) with respect to payments of interest under any Loan Document, an executed copy of IRS Form W-8BEN or IRS Form W-8BEN-E (or applicable successor form) establishing an exemption from, or reduction of, U.S. Federal withholding Tax pursuant to the “interest” article of such tax treaty and (y) with respect to any other applicable payments under any Loan Document, IRS Form W-8BEN or IRS Form W-8BEN-E (or applicable successor form) establishing an exemption from, or reduction of, U.S. Federal withholding Tax pursuant to the “business profits” or “other income” article of such tax treaty;</w:t>
      </w:r>
    </w:p>
    <w:p>
      <w:pPr>
        <w:spacing w:after="0" w:line="220" w:lineRule="exact"/>
        <w:rPr>
          <w:rFonts w:ascii="Arial" w:cs="Arial" w:eastAsia="Arial" w:hAnsi="Arial"/>
          <w:sz w:val="22"/>
          <w:szCs w:val="22"/>
          <w:color w:val="auto"/>
        </w:rPr>
      </w:pPr>
    </w:p>
    <w:p>
      <w:pPr>
        <w:ind w:left="2400" w:hanging="460"/>
        <w:spacing w:after="0"/>
        <w:tabs>
          <w:tab w:leader="none" w:pos="2400" w:val="left"/>
        </w:tabs>
        <w:numPr>
          <w:ilvl w:val="2"/>
          <w:numId w:val="89"/>
        </w:numPr>
        <w:rPr>
          <w:rFonts w:ascii="Arial" w:cs="Arial" w:eastAsia="Arial" w:hAnsi="Arial"/>
          <w:sz w:val="22"/>
          <w:szCs w:val="22"/>
          <w:color w:val="auto"/>
        </w:rPr>
      </w:pPr>
      <w:r>
        <w:rPr>
          <w:rFonts w:ascii="Arial" w:cs="Arial" w:eastAsia="Arial" w:hAnsi="Arial"/>
          <w:sz w:val="22"/>
          <w:szCs w:val="22"/>
          <w:color w:val="auto"/>
        </w:rPr>
        <w:t>an executed copy of IRS Form W-8ECI;</w:t>
      </w:r>
    </w:p>
    <w:p>
      <w:pPr>
        <w:spacing w:after="0" w:line="246" w:lineRule="exact"/>
        <w:rPr>
          <w:rFonts w:ascii="Arial" w:cs="Arial" w:eastAsia="Arial" w:hAnsi="Arial"/>
          <w:sz w:val="22"/>
          <w:szCs w:val="22"/>
          <w:color w:val="auto"/>
        </w:rPr>
      </w:pPr>
    </w:p>
    <w:p>
      <w:pPr>
        <w:ind w:left="1300" w:right="20" w:firstLine="640"/>
        <w:spacing w:after="0" w:line="263" w:lineRule="auto"/>
        <w:tabs>
          <w:tab w:leader="none" w:pos="2476" w:val="left"/>
        </w:tabs>
        <w:numPr>
          <w:ilvl w:val="2"/>
          <w:numId w:val="89"/>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the exemption for portfolio interest under Section 881(c) of the Code, (x) 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580"/>
          </w:cols>
          <w:pgMar w:left="980" w:top="1428" w:right="339" w:bottom="1440" w:gutter="0" w:footer="0" w:header="0"/>
        </w:sectPr>
      </w:pPr>
    </w:p>
    <w:bookmarkStart w:id="120" w:name="page121"/>
    <w:bookmarkEnd w:id="120"/>
    <w:p>
      <w:pPr>
        <w:jc w:val="both"/>
        <w:ind w:left="840"/>
        <w:spacing w:after="0" w:line="297" w:lineRule="auto"/>
        <w:rPr>
          <w:sz w:val="20"/>
          <w:szCs w:val="20"/>
          <w:color w:val="auto"/>
        </w:rPr>
      </w:pPr>
      <w:r>
        <w:rPr>
          <w:rFonts w:ascii="Arial" w:cs="Arial" w:eastAsia="Arial" w:hAnsi="Arial"/>
          <w:sz w:val="19"/>
          <w:szCs w:val="19"/>
          <w:color w:val="auto"/>
        </w:rPr>
        <w:t xml:space="preserve">certificate substantially in the form of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IRS Form W-8BEN or IRS Form W-8BEN-E (or applicable successor form); or</w:t>
      </w:r>
    </w:p>
    <w:p>
      <w:pPr>
        <w:spacing w:after="0" w:line="174" w:lineRule="exact"/>
        <w:rPr>
          <w:sz w:val="20"/>
          <w:szCs w:val="20"/>
          <w:color w:val="auto"/>
        </w:rPr>
      </w:pPr>
    </w:p>
    <w:p>
      <w:pPr>
        <w:jc w:val="both"/>
        <w:ind w:left="840" w:firstLine="640"/>
        <w:spacing w:after="0" w:line="246" w:lineRule="auto"/>
        <w:tabs>
          <w:tab w:leader="none" w:pos="1969" w:val="left"/>
        </w:tabs>
        <w:numPr>
          <w:ilvl w:val="1"/>
          <w:numId w:val="90"/>
        </w:numPr>
        <w:rPr>
          <w:rFonts w:ascii="Arial" w:cs="Arial" w:eastAsia="Arial" w:hAnsi="Arial"/>
          <w:sz w:val="22"/>
          <w:szCs w:val="22"/>
          <w:color w:val="auto"/>
        </w:rPr>
      </w:pPr>
      <w:r>
        <w:rPr>
          <w:rFonts w:ascii="Arial" w:cs="Arial" w:eastAsia="Arial" w:hAnsi="Arial"/>
          <w:sz w:val="22"/>
          <w:szCs w:val="22"/>
          <w:color w:val="auto"/>
        </w:rPr>
        <w:t xml:space="preserve">to the extent a Foreign Lender is not the beneficial owner, executed originals of IRS Form W-8IMY, accompanied by IRS Form W-8ECI, IRS Form W-8BEN or IRS Form W-8BEN-E (or applicable successor form), a U.S. Tax Compliance Certificate substantially in the form of </w:t>
      </w:r>
      <w:r>
        <w:rPr>
          <w:rFonts w:ascii="Arial" w:cs="Arial" w:eastAsia="Arial" w:hAnsi="Arial"/>
          <w:sz w:val="22"/>
          <w:szCs w:val="22"/>
          <w:u w:val="single" w:color="auto"/>
          <w:color w:val="auto"/>
        </w:rPr>
        <w:t>Exhibit G-2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G-3</w:t>
      </w:r>
      <w:r>
        <w:rPr>
          <w:rFonts w:ascii="Arial" w:cs="Arial" w:eastAsia="Arial" w:hAnsi="Arial"/>
          <w:sz w:val="22"/>
          <w:szCs w:val="22"/>
          <w:color w:val="auto"/>
        </w:rPr>
        <w:t xml:space="preserve">,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2"/>
          <w:szCs w:val="22"/>
          <w:u w:val="single" w:color="auto"/>
          <w:color w:val="auto"/>
        </w:rPr>
        <w:t>Exhibit G-4</w:t>
      </w:r>
      <w:r>
        <w:rPr>
          <w:rFonts w:ascii="Arial" w:cs="Arial" w:eastAsia="Arial" w:hAnsi="Arial"/>
          <w:sz w:val="22"/>
          <w:szCs w:val="22"/>
          <w:color w:val="auto"/>
        </w:rPr>
        <w:t xml:space="preserve"> on behalf of each such direct and indirect partner;</w:t>
      </w:r>
    </w:p>
    <w:p>
      <w:pPr>
        <w:spacing w:after="0" w:line="220" w:lineRule="exact"/>
        <w:rPr>
          <w:rFonts w:ascii="Arial" w:cs="Arial" w:eastAsia="Arial" w:hAnsi="Arial"/>
          <w:sz w:val="22"/>
          <w:szCs w:val="22"/>
          <w:color w:val="auto"/>
        </w:rPr>
      </w:pPr>
    </w:p>
    <w:p>
      <w:pPr>
        <w:jc w:val="both"/>
        <w:ind w:left="180" w:firstLine="652"/>
        <w:spacing w:after="0" w:line="292" w:lineRule="auto"/>
        <w:tabs>
          <w:tab w:leader="none" w:pos="1339"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7" w:lineRule="exact"/>
        <w:rPr>
          <w:rFonts w:ascii="Arial" w:cs="Arial" w:eastAsia="Arial" w:hAnsi="Arial"/>
          <w:sz w:val="19"/>
          <w:szCs w:val="19"/>
          <w:color w:val="auto"/>
        </w:rPr>
      </w:pPr>
    </w:p>
    <w:p>
      <w:pPr>
        <w:jc w:val="both"/>
        <w:ind w:left="180" w:firstLine="652"/>
        <w:spacing w:after="0" w:line="258" w:lineRule="auto"/>
        <w:tabs>
          <w:tab w:leader="none" w:pos="1519"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120"/>
          </w:cols>
          <w:pgMar w:left="1440" w:top="1428" w:right="339" w:bottom="1440" w:gutter="0" w:footer="0" w:header="0"/>
        </w:sectPr>
      </w:pPr>
    </w:p>
    <w:bookmarkStart w:id="121" w:name="page122"/>
    <w:bookmarkEnd w:id="121"/>
    <w:p>
      <w:pPr>
        <w:ind w:left="1300"/>
        <w:spacing w:after="0" w:line="263" w:lineRule="auto"/>
        <w:rPr>
          <w:sz w:val="20"/>
          <w:szCs w:val="20"/>
          <w:color w:val="auto"/>
        </w:rPr>
      </w:pPr>
      <w:r>
        <w:rPr>
          <w:rFonts w:ascii="Arial" w:cs="Arial" w:eastAsia="Arial" w:hAnsi="Arial"/>
          <w:sz w:val="22"/>
          <w:szCs w:val="22"/>
          <w:color w:val="auto"/>
        </w:rPr>
        <w:t xml:space="preserve">Solely for purposes of this </w:t>
      </w:r>
      <w:r>
        <w:rPr>
          <w:rFonts w:ascii="Arial" w:cs="Arial" w:eastAsia="Arial" w:hAnsi="Arial"/>
          <w:sz w:val="22"/>
          <w:szCs w:val="22"/>
          <w:u w:val="single" w:color="auto"/>
          <w:color w:val="auto"/>
        </w:rPr>
        <w:t>clause (D)</w:t>
      </w:r>
      <w:r>
        <w:rPr>
          <w:rFonts w:ascii="Arial" w:cs="Arial" w:eastAsia="Arial" w:hAnsi="Arial"/>
          <w:sz w:val="22"/>
          <w:szCs w:val="22"/>
          <w:color w:val="auto"/>
        </w:rPr>
        <w:t>, “FATCA” shall include any amendments made to FATCA after the date of this Agreement.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212" w:lineRule="exact"/>
        <w:rPr>
          <w:sz w:val="20"/>
          <w:szCs w:val="20"/>
          <w:color w:val="auto"/>
        </w:rPr>
      </w:pPr>
    </w:p>
    <w:p>
      <w:pPr>
        <w:ind w:left="1120" w:hanging="464"/>
        <w:spacing w:after="0"/>
        <w:tabs>
          <w:tab w:leader="none" w:pos="112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Additional United Kingdom Withholding Tax Matters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60" w:firstLine="644"/>
        <w:spacing w:after="0" w:line="250" w:lineRule="auto"/>
        <w:tabs>
          <w:tab w:leader="none" w:pos="1854" w:val="left"/>
        </w:tabs>
        <w:numPr>
          <w:ilvl w:val="1"/>
          <w:numId w:val="9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below, each Lender and each U.K. Borrower that makes a payment to such Lender shall cooperate in completing in a timely manner any procedural formalities necessary for such U.K. Borrower to obtain authorization to make such payment without withholding or deduction for Taxes imposed under the laws of the United Kingdom.</w:t>
      </w:r>
    </w:p>
    <w:p>
      <w:pPr>
        <w:spacing w:after="0" w:line="228" w:lineRule="exact"/>
        <w:rPr>
          <w:rFonts w:ascii="Arial" w:cs="Arial" w:eastAsia="Arial" w:hAnsi="Arial"/>
          <w:sz w:val="22"/>
          <w:szCs w:val="22"/>
          <w:color w:val="auto"/>
        </w:rPr>
      </w:pPr>
    </w:p>
    <w:p>
      <w:pPr>
        <w:jc w:val="both"/>
        <w:ind w:left="660" w:firstLine="644"/>
        <w:spacing w:after="0" w:line="253" w:lineRule="auto"/>
        <w:tabs>
          <w:tab w:leader="none" w:pos="182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A Lender on the Effective Date that holds a passport under the HMRC DT Treaty Passport scheme and wishes such scheme to apply to this Agreement, shall provide its scheme reference number and its jurisdiction of tax residence to each U.K. Borrower and the Administrative Agent; and</w:t>
      </w:r>
    </w:p>
    <w:p>
      <w:pPr>
        <w:spacing w:after="0" w:line="212" w:lineRule="exact"/>
        <w:rPr>
          <w:rFonts w:ascii="Arial" w:cs="Arial" w:eastAsia="Arial" w:hAnsi="Arial"/>
          <w:sz w:val="22"/>
          <w:szCs w:val="22"/>
          <w:color w:val="auto"/>
        </w:rPr>
      </w:pPr>
    </w:p>
    <w:p>
      <w:pPr>
        <w:jc w:val="both"/>
        <w:ind w:left="1300" w:firstLine="652"/>
        <w:spacing w:after="0" w:line="250" w:lineRule="auto"/>
        <w:tabs>
          <w:tab w:leader="none" w:pos="2457" w:val="left"/>
        </w:tabs>
        <w:numPr>
          <w:ilvl w:val="2"/>
          <w:numId w:val="92"/>
        </w:numPr>
        <w:rPr>
          <w:rFonts w:ascii="Arial" w:cs="Arial" w:eastAsia="Arial" w:hAnsi="Arial"/>
          <w:sz w:val="22"/>
          <w:szCs w:val="22"/>
          <w:color w:val="auto"/>
        </w:rPr>
      </w:pPr>
      <w:r>
        <w:rPr>
          <w:rFonts w:ascii="Arial" w:cs="Arial" w:eastAsia="Arial" w:hAnsi="Arial"/>
          <w:sz w:val="22"/>
          <w:szCs w:val="22"/>
          <w:color w:val="auto"/>
        </w:rPr>
        <w:t>a Lender that becomes a Lender hereunder after the Effective Date that (1) holds a passport under the HMRC DT Treaty Passport scheme and (2) wishes such scheme to apply to this Agreement, shall provide its scheme reference number and its jurisdiction of tax residence to each U.K. Borrower and the Administrative Agent, and</w:t>
      </w:r>
    </w:p>
    <w:p>
      <w:pPr>
        <w:spacing w:after="0" w:line="214" w:lineRule="exact"/>
        <w:rPr>
          <w:rFonts w:ascii="Arial" w:cs="Arial" w:eastAsia="Arial" w:hAnsi="Arial"/>
          <w:sz w:val="22"/>
          <w:szCs w:val="22"/>
          <w:color w:val="auto"/>
        </w:rPr>
      </w:pPr>
    </w:p>
    <w:p>
      <w:pPr>
        <w:ind w:left="1300" w:firstLine="652"/>
        <w:spacing w:after="0" w:line="263" w:lineRule="auto"/>
        <w:tabs>
          <w:tab w:leader="none" w:pos="2492" w:val="left"/>
        </w:tabs>
        <w:numPr>
          <w:ilvl w:val="2"/>
          <w:numId w:val="92"/>
        </w:numPr>
        <w:rPr>
          <w:rFonts w:ascii="Arial" w:cs="Arial" w:eastAsia="Arial" w:hAnsi="Arial"/>
          <w:sz w:val="22"/>
          <w:szCs w:val="22"/>
          <w:color w:val="auto"/>
        </w:rPr>
      </w:pPr>
      <w:r>
        <w:rPr>
          <w:rFonts w:ascii="Arial" w:cs="Arial" w:eastAsia="Arial" w:hAnsi="Arial"/>
          <w:sz w:val="22"/>
          <w:szCs w:val="22"/>
          <w:color w:val="auto"/>
        </w:rPr>
        <w:t xml:space="preserve">upon satisfying either clause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such Lender shall have satisfied its obligation under paragraph </w:t>
      </w:r>
      <w:r>
        <w:rPr>
          <w:rFonts w:ascii="Arial" w:cs="Arial" w:eastAsia="Arial" w:hAnsi="Arial"/>
          <w:sz w:val="22"/>
          <w:szCs w:val="22"/>
          <w:u w:val="single" w:color="auto"/>
          <w:color w:val="auto"/>
        </w:rPr>
        <w:t>(g)(i)</w:t>
      </w:r>
      <w:r>
        <w:rPr>
          <w:rFonts w:ascii="Arial" w:cs="Arial" w:eastAsia="Arial" w:hAnsi="Arial"/>
          <w:sz w:val="22"/>
          <w:szCs w:val="22"/>
          <w:color w:val="auto"/>
        </w:rPr>
        <w:t xml:space="preserve"> above.</w:t>
      </w:r>
    </w:p>
    <w:p>
      <w:pPr>
        <w:spacing w:after="0" w:line="201" w:lineRule="exact"/>
        <w:rPr>
          <w:rFonts w:ascii="Arial" w:cs="Arial" w:eastAsia="Arial" w:hAnsi="Arial"/>
          <w:sz w:val="22"/>
          <w:szCs w:val="22"/>
          <w:color w:val="auto"/>
        </w:rPr>
      </w:pPr>
    </w:p>
    <w:p>
      <w:pPr>
        <w:jc w:val="both"/>
        <w:ind w:left="660" w:firstLine="644"/>
        <w:spacing w:after="0" w:line="253" w:lineRule="auto"/>
        <w:tabs>
          <w:tab w:leader="none" w:pos="1905" w:val="left"/>
        </w:tabs>
        <w:numPr>
          <w:ilvl w:val="1"/>
          <w:numId w:val="92"/>
        </w:numPr>
        <w:rPr>
          <w:rFonts w:ascii="Arial" w:cs="Arial" w:eastAsia="Arial" w:hAnsi="Arial"/>
          <w:sz w:val="22"/>
          <w:szCs w:val="22"/>
          <w:color w:val="auto"/>
        </w:rPr>
      </w:pPr>
      <w:r>
        <w:rPr>
          <w:rFonts w:ascii="Arial" w:cs="Arial" w:eastAsia="Arial" w:hAnsi="Arial"/>
          <w:sz w:val="22"/>
          <w:szCs w:val="22"/>
          <w:color w:val="auto"/>
        </w:rPr>
        <w:t xml:space="preserve">If a Lender has confirmed its scheme reference number and its jurisdiction of tax residence in accordance with paragraph </w:t>
      </w:r>
      <w:r>
        <w:rPr>
          <w:rFonts w:ascii="Arial" w:cs="Arial" w:eastAsia="Arial" w:hAnsi="Arial"/>
          <w:sz w:val="22"/>
          <w:szCs w:val="22"/>
          <w:u w:val="single" w:color="auto"/>
          <w:color w:val="auto"/>
        </w:rPr>
        <w:t>(g)(ii)</w:t>
      </w:r>
      <w:r>
        <w:rPr>
          <w:rFonts w:ascii="Arial" w:cs="Arial" w:eastAsia="Arial" w:hAnsi="Arial"/>
          <w:sz w:val="22"/>
          <w:szCs w:val="22"/>
          <w:color w:val="auto"/>
        </w:rPr>
        <w:t xml:space="preserve"> above, the U.K. Borrower(s) shall make a DTTP Filing with respect to such Lender, and shall promptly provide such Lender with a copy of such filing;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w:t>
      </w:r>
    </w:p>
    <w:p>
      <w:pPr>
        <w:spacing w:after="0" w:line="212" w:lineRule="exact"/>
        <w:rPr>
          <w:rFonts w:ascii="Arial" w:cs="Arial" w:eastAsia="Arial" w:hAnsi="Arial"/>
          <w:sz w:val="22"/>
          <w:szCs w:val="22"/>
          <w:color w:val="auto"/>
        </w:rPr>
      </w:pPr>
    </w:p>
    <w:p>
      <w:pPr>
        <w:ind w:left="1300" w:right="20" w:firstLine="652"/>
        <w:spacing w:after="0" w:line="263" w:lineRule="auto"/>
        <w:tabs>
          <w:tab w:leader="none" w:pos="2538" w:val="left"/>
        </w:tabs>
        <w:numPr>
          <w:ilvl w:val="2"/>
          <w:numId w:val="93"/>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not made a DTTP Filing in respect of such Lender; or</w:t>
      </w:r>
    </w:p>
    <w:p>
      <w:pPr>
        <w:spacing w:after="0" w:line="201" w:lineRule="exact"/>
        <w:rPr>
          <w:rFonts w:ascii="Arial" w:cs="Arial" w:eastAsia="Arial" w:hAnsi="Arial"/>
          <w:sz w:val="22"/>
          <w:szCs w:val="22"/>
          <w:color w:val="auto"/>
        </w:rPr>
      </w:pPr>
    </w:p>
    <w:p>
      <w:pPr>
        <w:ind w:left="2520" w:hanging="568"/>
        <w:spacing w:after="0"/>
        <w:tabs>
          <w:tab w:leader="none" w:pos="2520" w:val="left"/>
        </w:tabs>
        <w:numPr>
          <w:ilvl w:val="2"/>
          <w:numId w:val="93"/>
        </w:numPr>
        <w:rPr>
          <w:rFonts w:ascii="Arial" w:cs="Arial" w:eastAsia="Arial" w:hAnsi="Arial"/>
          <w:sz w:val="19"/>
          <w:szCs w:val="19"/>
          <w:color w:val="auto"/>
        </w:rPr>
      </w:pPr>
      <w:r>
        <w:rPr>
          <w:rFonts w:ascii="Arial" w:cs="Arial" w:eastAsia="Arial" w:hAnsi="Arial"/>
          <w:sz w:val="19"/>
          <w:szCs w:val="19"/>
          <w:color w:val="auto"/>
        </w:rPr>
        <w:t>each U.K. Borrower making a payment to such Lender has made a DTTP Filing in respect of such</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Lender but:</w:t>
      </w:r>
    </w:p>
    <w:p>
      <w:pPr>
        <w:spacing w:after="0" w:line="242" w:lineRule="exact"/>
        <w:rPr>
          <w:rFonts w:ascii="Arial" w:cs="Arial" w:eastAsia="Arial" w:hAnsi="Arial"/>
          <w:sz w:val="19"/>
          <w:szCs w:val="19"/>
          <w:color w:val="auto"/>
        </w:rPr>
      </w:pPr>
    </w:p>
    <w:p>
      <w:pPr>
        <w:ind w:left="3060" w:hanging="460"/>
        <w:spacing w:after="0"/>
        <w:tabs>
          <w:tab w:leader="none" w:pos="3060" w:val="left"/>
        </w:tabs>
        <w:numPr>
          <w:ilvl w:val="3"/>
          <w:numId w:val="93"/>
        </w:numPr>
        <w:rPr>
          <w:rFonts w:ascii="Arial" w:cs="Arial" w:eastAsia="Arial" w:hAnsi="Arial"/>
          <w:sz w:val="22"/>
          <w:szCs w:val="22"/>
          <w:color w:val="auto"/>
        </w:rPr>
      </w:pPr>
      <w:r>
        <w:rPr>
          <w:rFonts w:ascii="Arial" w:cs="Arial" w:eastAsia="Arial" w:hAnsi="Arial"/>
          <w:sz w:val="22"/>
          <w:szCs w:val="22"/>
          <w:color w:val="auto"/>
        </w:rPr>
        <w:t>such DTTP Filing has been rejected by HM Revenue &amp; Customs;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122" w:name="page123"/>
    <w:bookmarkEnd w:id="122"/>
    <w:p>
      <w:pPr>
        <w:ind w:left="1740" w:firstLine="640"/>
        <w:spacing w:after="0" w:line="263" w:lineRule="auto"/>
        <w:tabs>
          <w:tab w:leader="none" w:pos="2919" w:val="left"/>
        </w:tabs>
        <w:numPr>
          <w:ilvl w:val="0"/>
          <w:numId w:val="94"/>
        </w:numPr>
        <w:rPr>
          <w:rFonts w:ascii="Arial" w:cs="Arial" w:eastAsia="Arial" w:hAnsi="Arial"/>
          <w:sz w:val="21"/>
          <w:szCs w:val="21"/>
          <w:color w:val="auto"/>
        </w:rPr>
      </w:pPr>
      <w:r>
        <w:rPr>
          <w:rFonts w:ascii="Arial" w:cs="Arial" w:eastAsia="Arial" w:hAnsi="Arial"/>
          <w:sz w:val="21"/>
          <w:szCs w:val="21"/>
          <w:color w:val="auto"/>
        </w:rPr>
        <w:t>HM Revenue &amp; Customs has not given such U.K. Borrower authority to make payments to such Lender without a deduction for tax within 60 days of the date of such DTTP Filing;</w:t>
      </w:r>
    </w:p>
    <w:p>
      <w:pPr>
        <w:spacing w:after="0" w:line="2" w:lineRule="exact"/>
        <w:rPr>
          <w:sz w:val="20"/>
          <w:szCs w:val="20"/>
          <w:color w:val="auto"/>
        </w:rPr>
      </w:pPr>
    </w:p>
    <w:p>
      <w:pPr>
        <w:jc w:val="both"/>
        <w:ind w:left="1080"/>
        <w:spacing w:after="0" w:line="259" w:lineRule="auto"/>
        <w:rPr>
          <w:sz w:val="20"/>
          <w:szCs w:val="20"/>
          <w:color w:val="auto"/>
        </w:rPr>
      </w:pPr>
      <w:r>
        <w:rPr>
          <w:rFonts w:ascii="Arial" w:cs="Arial" w:eastAsia="Arial" w:hAnsi="Arial"/>
          <w:sz w:val="21"/>
          <w:szCs w:val="21"/>
          <w:color w:val="auto"/>
        </w:rPr>
        <w:t xml:space="preserve">and in each case, such U.K. Borrower has notified that Lender in writing of either </w:t>
      </w:r>
      <w:r>
        <w:rPr>
          <w:rFonts w:ascii="Arial" w:cs="Arial" w:eastAsia="Arial" w:hAnsi="Arial"/>
          <w:sz w:val="21"/>
          <w:szCs w:val="21"/>
          <w:u w:val="single" w:color="auto"/>
          <w:color w:val="auto"/>
        </w:rPr>
        <w:t>(1)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w:t>
      </w:r>
      <w:r>
        <w:rPr>
          <w:rFonts w:ascii="Arial" w:cs="Arial" w:eastAsia="Arial" w:hAnsi="Arial"/>
          <w:sz w:val="21"/>
          <w:szCs w:val="21"/>
          <w:color w:val="auto"/>
        </w:rPr>
        <w:t xml:space="preserve"> above, then such Lender and such U.K. Borrower shall cooperate in completing in a timely manner any additional procedural formalities necessary for such U.K. Borrower to obtain authorization to make that payment without withholding or deduction for Taxes imposed under the laws of the United Kingdom.</w:t>
      </w:r>
    </w:p>
    <w:p>
      <w:pPr>
        <w:spacing w:after="0" w:line="209" w:lineRule="exact"/>
        <w:rPr>
          <w:sz w:val="20"/>
          <w:szCs w:val="20"/>
          <w:color w:val="auto"/>
        </w:rPr>
      </w:pPr>
    </w:p>
    <w:p>
      <w:pPr>
        <w:jc w:val="both"/>
        <w:ind w:left="440" w:firstLine="644"/>
        <w:spacing w:after="0" w:line="250" w:lineRule="auto"/>
        <w:tabs>
          <w:tab w:leader="none" w:pos="1662"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paragraph </w:t>
      </w:r>
      <w:r>
        <w:rPr>
          <w:rFonts w:ascii="Arial" w:cs="Arial" w:eastAsia="Arial" w:hAnsi="Arial"/>
          <w:sz w:val="22"/>
          <w:szCs w:val="22"/>
          <w:u w:val="single" w:color="auto"/>
          <w:color w:val="auto"/>
        </w:rPr>
        <w:t>(g)(ii)</w:t>
      </w:r>
      <w:r>
        <w:rPr>
          <w:rFonts w:ascii="Arial" w:cs="Arial" w:eastAsia="Arial" w:hAnsi="Arial"/>
          <w:sz w:val="22"/>
          <w:szCs w:val="22"/>
          <w:color w:val="auto"/>
        </w:rPr>
        <w:t xml:space="preserve"> above, no U.K. Borrower shall make a DTTP Filing or file any other form relating to the HMRC DT Treaty Passport scheme in respect of that Lender’s Revolving Commitment(s) or its participation in any Loan unless the Lender otherwise agrees.</w:t>
      </w:r>
    </w:p>
    <w:p>
      <w:pPr>
        <w:spacing w:after="0" w:line="214" w:lineRule="exact"/>
        <w:rPr>
          <w:rFonts w:ascii="Arial" w:cs="Arial" w:eastAsia="Arial" w:hAnsi="Arial"/>
          <w:sz w:val="22"/>
          <w:szCs w:val="22"/>
          <w:color w:val="auto"/>
        </w:rPr>
      </w:pPr>
    </w:p>
    <w:p>
      <w:pPr>
        <w:ind w:left="440" w:firstLine="644"/>
        <w:spacing w:after="0" w:line="263" w:lineRule="auto"/>
        <w:tabs>
          <w:tab w:leader="none" w:pos="1612" w:val="left"/>
        </w:tabs>
        <w:numPr>
          <w:ilvl w:val="1"/>
          <w:numId w:val="95"/>
        </w:numPr>
        <w:rPr>
          <w:rFonts w:ascii="Arial" w:cs="Arial" w:eastAsia="Arial" w:hAnsi="Arial"/>
          <w:sz w:val="22"/>
          <w:szCs w:val="22"/>
          <w:color w:val="auto"/>
        </w:rPr>
      </w:pPr>
      <w:r>
        <w:rPr>
          <w:rFonts w:ascii="Arial" w:cs="Arial" w:eastAsia="Arial" w:hAnsi="Arial"/>
          <w:sz w:val="22"/>
          <w:szCs w:val="22"/>
          <w:color w:val="auto"/>
        </w:rPr>
        <w:t>Each U.K. Borrower shall, promptly on making a DTTP Filing, deliver a copy of such DTTP Filing to the Administrative Agent for delivery to the relevant Lender.</w:t>
      </w:r>
    </w:p>
    <w:p>
      <w:pPr>
        <w:spacing w:after="0" w:line="215" w:lineRule="exact"/>
        <w:rPr>
          <w:rFonts w:ascii="Arial" w:cs="Arial" w:eastAsia="Arial" w:hAnsi="Arial"/>
          <w:sz w:val="22"/>
          <w:szCs w:val="22"/>
          <w:color w:val="auto"/>
        </w:rPr>
      </w:pPr>
    </w:p>
    <w:p>
      <w:pPr>
        <w:jc w:val="both"/>
        <w:ind w:left="440" w:firstLine="644"/>
        <w:spacing w:after="0" w:line="253" w:lineRule="auto"/>
        <w:tabs>
          <w:tab w:leader="none" w:pos="1758" w:val="left"/>
        </w:tabs>
        <w:numPr>
          <w:ilvl w:val="1"/>
          <w:numId w:val="95"/>
        </w:numPr>
        <w:rPr>
          <w:rFonts w:ascii="Arial" w:cs="Arial" w:eastAsia="Arial" w:hAnsi="Arial"/>
          <w:sz w:val="22"/>
          <w:szCs w:val="22"/>
          <w:color w:val="auto"/>
        </w:rPr>
      </w:pPr>
      <w:r>
        <w:rPr>
          <w:rFonts w:ascii="Arial" w:cs="Arial" w:eastAsia="Arial" w:hAnsi="Arial"/>
          <w:sz w:val="22"/>
          <w:szCs w:val="22"/>
          <w:color w:val="auto"/>
        </w:rPr>
        <w:t>Each Lender shall notify promptly the Company and Administrative Agent if it determines in its sole discretion that it is ceases to be entitled to claim the benefits of an income tax treaty to which the United Kingdom is a party with respect to payments made by any U.K. Borrower hereunder.</w:t>
      </w:r>
    </w:p>
    <w:p>
      <w:pPr>
        <w:spacing w:after="0" w:line="212" w:lineRule="exact"/>
        <w:rPr>
          <w:rFonts w:ascii="Arial" w:cs="Arial" w:eastAsia="Arial" w:hAnsi="Arial"/>
          <w:sz w:val="22"/>
          <w:szCs w:val="22"/>
          <w:color w:val="auto"/>
        </w:rPr>
      </w:pPr>
    </w:p>
    <w:p>
      <w:pPr>
        <w:jc w:val="both"/>
        <w:ind w:left="-220" w:firstLine="656"/>
        <w:spacing w:after="0" w:line="257" w:lineRule="auto"/>
        <w:tabs>
          <w:tab w:leader="none" w:pos="100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Treatment of Certain Refunds</w:t>
      </w:r>
      <w:r>
        <w:rPr>
          <w:rFonts w:ascii="Arial" w:cs="Arial" w:eastAsia="Arial" w:hAnsi="Arial"/>
          <w:sz w:val="21"/>
          <w:szCs w:val="21"/>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(including by the payment of additional amounts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it shall pay to the indemnifying party an amount equal to such refund (but only to the extent of indemnity payments made under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21"/>
          <w:szCs w:val="21"/>
          <w:u w:val="single" w:color="auto"/>
          <w:color w:val="auto"/>
        </w:rPr>
        <w:t>(h)</w:t>
      </w:r>
      <w:r>
        <w:rPr>
          <w:rFonts w:ascii="Arial" w:cs="Arial" w:eastAsia="Arial" w:hAnsi="Arial"/>
          <w:sz w:val="21"/>
          <w:szCs w:val="21"/>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w:t>
      </w:r>
      <w:r>
        <w:rPr>
          <w:rFonts w:ascii="Arial" w:cs="Arial" w:eastAsia="Arial" w:hAnsi="Arial"/>
          <w:sz w:val="21"/>
          <w:szCs w:val="21"/>
          <w:u w:val="single" w:color="auto"/>
          <w:color w:val="auto"/>
        </w:rPr>
        <w:t>(h)</w:t>
      </w:r>
      <w:r>
        <w:rPr>
          <w:rFonts w:ascii="Arial" w:cs="Arial" w:eastAsia="Arial" w:hAnsi="Arial"/>
          <w:sz w:val="21"/>
          <w:szCs w:val="21"/>
          <w:color w:val="auto"/>
        </w:rPr>
        <w:t xml:space="preserve">, in no event will the indemnified party be required to pay any amount to an indemnifying party pursuant to this paragraph </w:t>
      </w:r>
      <w:r>
        <w:rPr>
          <w:rFonts w:ascii="Arial" w:cs="Arial" w:eastAsia="Arial" w:hAnsi="Arial"/>
          <w:sz w:val="21"/>
          <w:szCs w:val="21"/>
          <w:u w:val="single" w:color="auto"/>
          <w:color w:val="auto"/>
        </w:rPr>
        <w:t>(h)</w:t>
      </w:r>
      <w:r>
        <w:rPr>
          <w:rFonts w:ascii="Arial" w:cs="Arial" w:eastAsia="Arial" w:hAnsi="Arial"/>
          <w:sz w:val="21"/>
          <w:szCs w:val="21"/>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020"/>
          </w:cols>
          <w:pgMar w:left="540" w:top="1428" w:right="339" w:bottom="1440" w:gutter="0" w:footer="0" w:header="0"/>
        </w:sectPr>
      </w:pPr>
    </w:p>
    <w:bookmarkStart w:id="123" w:name="page124"/>
    <w:bookmarkEnd w:id="123"/>
    <w:p>
      <w:pPr>
        <w:ind w:right="20"/>
        <w:spacing w:after="0" w:line="263" w:lineRule="auto"/>
        <w:rPr>
          <w:sz w:val="20"/>
          <w:szCs w:val="20"/>
          <w:color w:val="auto"/>
        </w:rPr>
      </w:pPr>
      <w:r>
        <w:rPr>
          <w:rFonts w:ascii="Arial" w:cs="Arial" w:eastAsia="Arial" w:hAnsi="Arial"/>
          <w:sz w:val="22"/>
          <w:szCs w:val="22"/>
          <w:color w:val="auto"/>
        </w:rPr>
        <w:t>require any indemnified party to make available its Tax returns (or any other information relating to its Taxes that it deems confidential) to the indemnifying party or any other Person.</w:t>
      </w:r>
    </w:p>
    <w:p>
      <w:pPr>
        <w:spacing w:after="0" w:line="202" w:lineRule="exact"/>
        <w:rPr>
          <w:sz w:val="20"/>
          <w:szCs w:val="20"/>
          <w:color w:val="auto"/>
        </w:rPr>
      </w:pPr>
    </w:p>
    <w:p>
      <w:pPr>
        <w:jc w:val="both"/>
        <w:ind w:firstLine="656"/>
        <w:spacing w:after="0" w:line="253" w:lineRule="auto"/>
        <w:tabs>
          <w:tab w:leader="none" w:pos="123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212" w:lineRule="exact"/>
        <w:rPr>
          <w:rFonts w:ascii="Arial" w:cs="Arial" w:eastAsia="Arial" w:hAnsi="Arial"/>
          <w:sz w:val="22"/>
          <w:szCs w:val="22"/>
          <w:color w:val="auto"/>
        </w:rPr>
      </w:pPr>
    </w:p>
    <w:p>
      <w:pPr>
        <w:ind w:right="20" w:firstLine="656"/>
        <w:spacing w:after="0" w:line="263" w:lineRule="auto"/>
        <w:tabs>
          <w:tab w:leader="none" w:pos="121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term “Lender” includes the Issuing Bank and the term “applicable law” includes FATCA.</w:t>
      </w:r>
    </w:p>
    <w:p>
      <w:pPr>
        <w:spacing w:after="0" w:line="201" w:lineRule="exact"/>
        <w:rPr>
          <w:rFonts w:ascii="Arial" w:cs="Arial" w:eastAsia="Arial" w:hAnsi="Arial"/>
          <w:sz w:val="22"/>
          <w:szCs w:val="22"/>
          <w:color w:val="auto"/>
        </w:rPr>
      </w:pPr>
    </w:p>
    <w:p>
      <w:pPr>
        <w:jc w:val="both"/>
        <w:ind w:firstLine="656"/>
        <w:spacing w:after="0" w:line="250" w:lineRule="auto"/>
        <w:tabs>
          <w:tab w:leader="none" w:pos="114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Grandfathered Obligation Status.</w:t>
      </w:r>
      <w:r>
        <w:rPr>
          <w:rFonts w:ascii="Arial" w:cs="Arial" w:eastAsia="Arial" w:hAnsi="Arial"/>
          <w:sz w:val="22"/>
          <w:szCs w:val="22"/>
          <w:color w:val="auto"/>
        </w:rPr>
        <w:t xml:space="preserve"> For purposes of determining withholding Taxes imposed under FATCA, from and after the Effective Date,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6" w:lineRule="auto"/>
        <w:tabs>
          <w:tab w:leader="none" w:pos="1143"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Borrowers shall make each payment or prepayment required to be made by the Borrowers hereunder (whether of principal, interest, fees or reimbursement of LC Disbursements,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otherwise) prior to 12:00 noon, Local Time, on the date when due, in immediately available funds, without set 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account as the Administrative Agent shall from time to time specify in a notice delivered to the Company, except payments to be made directly to the Issuing Bank or Swingline Lender as expressly provided herein and except that payments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and, if not otherwise specified, in U.S. Dollars.</w:t>
      </w:r>
    </w:p>
    <w:p>
      <w:pPr>
        <w:spacing w:after="0" w:line="192" w:lineRule="exact"/>
        <w:rPr>
          <w:rFonts w:ascii="Arial" w:cs="Arial" w:eastAsia="Arial" w:hAnsi="Arial"/>
          <w:sz w:val="19"/>
          <w:szCs w:val="19"/>
          <w:color w:val="auto"/>
        </w:rPr>
      </w:pPr>
    </w:p>
    <w:p>
      <w:pPr>
        <w:jc w:val="both"/>
        <w:ind w:firstLine="656"/>
        <w:spacing w:after="0" w:line="248" w:lineRule="auto"/>
        <w:tabs>
          <w:tab w:leader="none" w:pos="11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at any time insufficient funds are received by and available to the Administrative Agent to pay fully all amounts of principal, unreimbursed LC Disbursements, interest and fees then due hereunder, such funds shall be applied first, towards payment of interest and fees then due hereunder, ratably among the parties entitled thereto in accordance with the amounts of interest and fees then due to such parties, and second, towards payment of principal and unreimbursed LC Disbursements then due hereunder, ratably among the parties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entitled thereto in accordance with the amounts of principal and unreimbursed LC Disbursements then due to such parties.</w:t>
      </w:r>
    </w:p>
    <w:p>
      <w:pPr>
        <w:spacing w:after="0" w:line="281" w:lineRule="exact"/>
        <w:rPr>
          <w:sz w:val="20"/>
          <w:szCs w:val="20"/>
          <w:color w:val="auto"/>
        </w:rPr>
      </w:pPr>
    </w:p>
    <w:p>
      <w:pPr>
        <w:jc w:val="both"/>
        <w:ind w:firstLine="656"/>
        <w:spacing w:after="0" w:line="285" w:lineRule="auto"/>
        <w:tabs>
          <w:tab w:leader="none" w:pos="111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the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participations are purchased and all or any portion of the payment giving rise thereto is recovered, such participations shall be rescinded and the purchase price restored to the extent of such recovery, without interest, and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92" w:lineRule="exact"/>
        <w:rPr>
          <w:rFonts w:ascii="Arial" w:cs="Arial" w:eastAsia="Arial" w:hAnsi="Arial"/>
          <w:sz w:val="19"/>
          <w:szCs w:val="19"/>
          <w:color w:val="auto"/>
        </w:rPr>
      </w:pPr>
    </w:p>
    <w:p>
      <w:pPr>
        <w:jc w:val="both"/>
        <w:ind w:firstLine="656"/>
        <w:spacing w:after="0" w:line="288" w:lineRule="auto"/>
        <w:tabs>
          <w:tab w:leader="none" w:pos="1234" w:val="left"/>
        </w:tabs>
        <w:numPr>
          <w:ilvl w:val="0"/>
          <w:numId w:val="99"/>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any Borrower prior to the date on which any payment is due to the Administrative Agent for the account of the Lenders or the Issuing Bank hereunder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greater of the NYFRB and a rate determined by the Administrative Agent in accordance with banking industry rules on interbank compensation (including without limitation the Overnight Foreign Currency Rate in the case of Loans denominated in Foreign Currencies).</w:t>
      </w:r>
    </w:p>
    <w:p>
      <w:pPr>
        <w:spacing w:after="0" w:line="186" w:lineRule="exact"/>
        <w:rPr>
          <w:rFonts w:ascii="Arial" w:cs="Arial" w:eastAsia="Arial" w:hAnsi="Arial"/>
          <w:sz w:val="19"/>
          <w:szCs w:val="19"/>
          <w:color w:val="auto"/>
        </w:rPr>
      </w:pPr>
    </w:p>
    <w:p>
      <w:pPr>
        <w:jc w:val="both"/>
        <w:ind w:right="20" w:firstLine="656"/>
        <w:spacing w:after="0" w:line="253" w:lineRule="auto"/>
        <w:tabs>
          <w:tab w:leader="none" w:pos="1153"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If any Lender shall fail to make any payment required to be made by it pursuant to </w:t>
      </w:r>
      <w:r>
        <w:rPr>
          <w:rFonts w:ascii="Arial" w:cs="Arial" w:eastAsia="Arial" w:hAnsi="Arial"/>
          <w:sz w:val="22"/>
          <w:szCs w:val="22"/>
          <w:u w:val="single" w:color="auto"/>
          <w:color w:val="auto"/>
        </w:rPr>
        <w:t>Section 2.05(c)</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2.07(b)</w:t>
      </w:r>
      <w:r>
        <w:rPr>
          <w:rFonts w:ascii="Arial" w:cs="Arial" w:eastAsia="Arial" w:hAnsi="Arial"/>
          <w:sz w:val="22"/>
          <w:szCs w:val="22"/>
          <w:color w:val="auto"/>
        </w:rPr>
        <w:t xml:space="preserve">, </w:t>
      </w:r>
      <w:r>
        <w:rPr>
          <w:rFonts w:ascii="Arial" w:cs="Arial" w:eastAsia="Arial" w:hAnsi="Arial"/>
          <w:sz w:val="22"/>
          <w:szCs w:val="22"/>
          <w:u w:val="single" w:color="auto"/>
          <w:color w:val="auto"/>
        </w:rPr>
        <w:t>2.18(d)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9.03(c)</w:t>
      </w:r>
      <w:r>
        <w:rPr>
          <w:rFonts w:ascii="Arial" w:cs="Arial" w:eastAsia="Arial" w:hAnsi="Arial"/>
          <w:sz w:val="22"/>
          <w:szCs w:val="22"/>
          <w:color w:val="auto"/>
        </w:rPr>
        <w:t>, then the Administrative Agent may, in its discretion (notwithstanding any contrary provision hereof), apply any amounts thereafter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25" w:name="page126"/>
    <w:bookmarkEnd w:id="125"/>
    <w:p>
      <w:pPr>
        <w:spacing w:after="0" w:line="263" w:lineRule="auto"/>
        <w:rPr>
          <w:sz w:val="20"/>
          <w:szCs w:val="20"/>
          <w:color w:val="auto"/>
        </w:rPr>
      </w:pPr>
      <w:r>
        <w:rPr>
          <w:rFonts w:ascii="Arial" w:cs="Arial" w:eastAsia="Arial" w:hAnsi="Arial"/>
          <w:sz w:val="22"/>
          <w:szCs w:val="22"/>
          <w:color w:val="auto"/>
        </w:rPr>
        <w:t>received by the Administrative Agent for the account of such Lender to satisfy such Lender’s obligations under such Sections until all such unsatisfied obligations are fully paid.</w:t>
      </w:r>
    </w:p>
    <w:p>
      <w:pPr>
        <w:spacing w:after="0" w:line="202" w:lineRule="exact"/>
        <w:rPr>
          <w:sz w:val="20"/>
          <w:szCs w:val="20"/>
          <w:color w:val="auto"/>
        </w:rPr>
      </w:pPr>
    </w:p>
    <w:p>
      <w:pPr>
        <w:jc w:val="both"/>
        <w:ind w:firstLine="656"/>
        <w:spacing w:after="0" w:line="253" w:lineRule="auto"/>
        <w:tabs>
          <w:tab w:leader="none" w:pos="115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Notwithstanding the foregoing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or anything else to the contrary in this Agreement, amounts received from any Credit Party that is not a Qualified ECP Guarantor shall not be applied to any Excluded Swap Obligation of such Credit Party.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Mitigation Obligations; Replacement of the Lenders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90" w:lineRule="auto"/>
        <w:tabs>
          <w:tab w:leader="none" w:pos="119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would eliminate or reduce amounts payable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as the case may be, in the future and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96" w:lineRule="exact"/>
        <w:rPr>
          <w:rFonts w:ascii="Arial" w:cs="Arial" w:eastAsia="Arial" w:hAnsi="Arial"/>
          <w:sz w:val="19"/>
          <w:szCs w:val="19"/>
          <w:color w:val="auto"/>
        </w:rPr>
      </w:pPr>
    </w:p>
    <w:p>
      <w:pPr>
        <w:jc w:val="both"/>
        <w:ind w:firstLine="656"/>
        <w:spacing w:after="0" w:line="285" w:lineRule="auto"/>
        <w:tabs>
          <w:tab w:leader="none" w:pos="114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have received the prior written consent of the Administrative Agent (and if a Revolving Commitment is being assigned, the Issuing Bank and the Swingline Lender), which consent shall not unreasonably be withheld,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in the case of any such assignment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97" w:lineRule="auto"/>
        <w:rPr>
          <w:sz w:val="20"/>
          <w:szCs w:val="20"/>
          <w:color w:val="auto"/>
        </w:rPr>
      </w:pPr>
      <w:r>
        <w:rPr>
          <w:rFonts w:ascii="Arial" w:cs="Arial" w:eastAsia="Arial" w:hAnsi="Arial"/>
          <w:sz w:val="19"/>
          <w:szCs w:val="19"/>
          <w:color w:val="auto"/>
        </w:rPr>
        <w:t xml:space="preserve">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documents shall be without recourse to or warranty by the parties thereto.</w:t>
      </w:r>
    </w:p>
    <w:p>
      <w:pPr>
        <w:spacing w:after="0" w:line="17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31" w:lineRule="exact"/>
        <w:rPr>
          <w:sz w:val="20"/>
          <w:szCs w:val="20"/>
          <w:color w:val="auto"/>
        </w:rPr>
      </w:pPr>
    </w:p>
    <w:p>
      <w:pPr>
        <w:ind w:firstLine="656"/>
        <w:spacing w:after="0" w:line="263" w:lineRule="auto"/>
        <w:tabs>
          <w:tab w:leader="none" w:pos="110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Unused Fees shall cease to accrue on the unfunded portion of the Revolving Commitment of such Defaulting Lender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84" w:lineRule="auto"/>
        <w:tabs>
          <w:tab w:leader="none" w:pos="11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or received by the Administrative Agent from a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or Swingline Lender hereunder; third, to cash collateralize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 or Swingline Lenders as a result of any judgment of a court of competent jurisdiction obtained by any Lender, the Issuing Bank or Swingline Lenders against such Defaulting Lender as a result of such Defaulting Lender’s breach of its obligations under this Agreement or under any other Loan Document;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27" w:name="page128"/>
    <w:bookmarkEnd w:id="127"/>
    <w:p>
      <w:pPr>
        <w:jc w:val="both"/>
        <w:spacing w:after="0" w:line="261" w:lineRule="auto"/>
        <w:rPr>
          <w:sz w:val="20"/>
          <w:szCs w:val="20"/>
          <w:color w:val="auto"/>
        </w:rPr>
      </w:pPr>
      <w:r>
        <w:rPr>
          <w:rFonts w:ascii="Arial" w:cs="Arial" w:eastAsia="Arial" w:hAnsi="Arial"/>
          <w:sz w:val="21"/>
          <w:szCs w:val="21"/>
          <w:color w:val="auto"/>
        </w:rPr>
        <w:t xml:space="preserve">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6" w:lineRule="exact"/>
        <w:rPr>
          <w:sz w:val="20"/>
          <w:szCs w:val="20"/>
          <w:color w:val="auto"/>
        </w:rPr>
      </w:pPr>
    </w:p>
    <w:p>
      <w:pPr>
        <w:jc w:val="both"/>
        <w:ind w:firstLine="656"/>
        <w:spacing w:after="0" w:line="248" w:lineRule="auto"/>
        <w:tabs>
          <w:tab w:leader="none" w:pos="121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the Revolving Commitment and Revolving Credit Exposure of such Defaulting Lender shall not be included in determining whether all the Lenders or the Required Lenders have taken or may take any action hereunder (including any consent to any amendment or waiver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waiver, amendment or modification requiring the consent of all the Lenders or each affected Lender which affects such Defaulting Lender differently than other affected the Lenders shall require the consent of such Defaulting Lender;</w:t>
      </w:r>
    </w:p>
    <w:p>
      <w:pPr>
        <w:spacing w:after="0" w:line="218" w:lineRule="exact"/>
        <w:rPr>
          <w:rFonts w:ascii="Arial" w:cs="Arial" w:eastAsia="Arial" w:hAnsi="Arial"/>
          <w:sz w:val="22"/>
          <w:szCs w:val="22"/>
          <w:color w:val="auto"/>
        </w:rPr>
      </w:pPr>
    </w:p>
    <w:p>
      <w:pPr>
        <w:ind w:left="1120" w:hanging="464"/>
        <w:spacing w:after="0"/>
        <w:tabs>
          <w:tab w:leader="none" w:pos="112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any Swingline Exposure or LC Exposure exists at the time a Lender becomes a Defaulting Lender then:</w:t>
      </w:r>
    </w:p>
    <w:p>
      <w:pPr>
        <w:spacing w:after="0" w:line="258" w:lineRule="exact"/>
        <w:rPr>
          <w:rFonts w:ascii="Arial" w:cs="Arial" w:eastAsia="Arial" w:hAnsi="Arial"/>
          <w:sz w:val="21"/>
          <w:szCs w:val="21"/>
          <w:color w:val="auto"/>
        </w:rPr>
      </w:pPr>
    </w:p>
    <w:p>
      <w:pPr>
        <w:jc w:val="both"/>
        <w:ind w:left="660" w:firstLine="644"/>
        <w:spacing w:after="0" w:line="288" w:lineRule="auto"/>
        <w:tabs>
          <w:tab w:leader="none" w:pos="178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all or any part of such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cause the sum of all non-Defaulting Lenders’ Revolving Credit Exposures to exceed the total of all non-Defaulting Lenders’ Revolving Commitments or any non-Defaulting Revolving Credit Exposure to exceed such non-Defaulting Lender’s Revolving Commitment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9.19</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9" w:lineRule="exact"/>
        <w:rPr>
          <w:rFonts w:ascii="Arial" w:cs="Arial" w:eastAsia="Arial" w:hAnsi="Arial"/>
          <w:sz w:val="19"/>
          <w:szCs w:val="19"/>
          <w:color w:val="auto"/>
        </w:rPr>
      </w:pPr>
    </w:p>
    <w:p>
      <w:pPr>
        <w:jc w:val="both"/>
        <w:ind w:left="660" w:firstLine="644"/>
        <w:spacing w:after="0" w:line="291" w:lineRule="auto"/>
        <w:tabs>
          <w:tab w:leader="none" w:pos="179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cannot, or can only partially, be effected, the Borrowers shall within one Business Day following notice by the Administrative Agent (x) first, prepay such Swingline Exposure and</w:t>
      </w:r>
    </w:p>
    <w:p>
      <w:pPr>
        <w:spacing w:after="0" w:line="1" w:lineRule="exact"/>
        <w:rPr>
          <w:rFonts w:ascii="Arial" w:cs="Arial" w:eastAsia="Arial" w:hAnsi="Arial"/>
          <w:sz w:val="19"/>
          <w:szCs w:val="19"/>
          <w:color w:val="auto"/>
        </w:rPr>
      </w:pPr>
    </w:p>
    <w:p>
      <w:pPr>
        <w:ind w:left="660" w:hanging="4"/>
        <w:spacing w:after="0" w:line="246" w:lineRule="auto"/>
        <w:tabs>
          <w:tab w:leader="none" w:pos="101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second, cash collateralize such Defaulting Lender’s LC Exposure (after giving effect to any partial reallocation pursuant to clause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above) in accordance with the procedures set forth in </w:t>
      </w:r>
      <w:r>
        <w:rPr>
          <w:rFonts w:ascii="Arial" w:cs="Arial" w:eastAsia="Arial" w:hAnsi="Arial"/>
          <w:sz w:val="22"/>
          <w:szCs w:val="22"/>
          <w:u w:val="single" w:color="auto"/>
          <w:color w:val="auto"/>
        </w:rPr>
        <w:t>Section 2.06(k)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60" w:hanging="556"/>
        <w:spacing w:after="0"/>
        <w:tabs>
          <w:tab w:leader="none" w:pos="186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the Borrowers cash collateralize any portion of such Defaulting Lender’s LC Exposure pursuant to clause</w:t>
      </w:r>
    </w:p>
    <w:p>
      <w:pPr>
        <w:spacing w:after="0" w:line="55" w:lineRule="exact"/>
        <w:rPr>
          <w:rFonts w:ascii="Arial" w:cs="Arial" w:eastAsia="Arial" w:hAnsi="Arial"/>
          <w:sz w:val="19"/>
          <w:szCs w:val="19"/>
          <w:color w:val="auto"/>
        </w:rPr>
      </w:pPr>
    </w:p>
    <w:p>
      <w:pPr>
        <w:ind w:left="660" w:hanging="4"/>
        <w:spacing w:after="0" w:line="246" w:lineRule="auto"/>
        <w:tabs>
          <w:tab w:leader="none" w:pos="982" w:val="left"/>
        </w:tabs>
        <w:numPr>
          <w:ilvl w:val="0"/>
          <w:numId w:val="105"/>
        </w:numPr>
        <w:rPr>
          <w:rFonts w:ascii="Arial" w:cs="Arial" w:eastAsia="Arial" w:hAnsi="Arial"/>
          <w:sz w:val="22"/>
          <w:szCs w:val="22"/>
          <w:u w:val="single" w:color="auto"/>
          <w:color w:val="auto"/>
        </w:rPr>
      </w:pPr>
      <w:r>
        <w:rPr>
          <w:rFonts w:ascii="Arial" w:cs="Arial" w:eastAsia="Arial" w:hAnsi="Arial"/>
          <w:sz w:val="22"/>
          <w:szCs w:val="22"/>
          <w:color w:val="auto"/>
        </w:rPr>
        <w:t xml:space="preserve">above, the Borrowers shall not be required to pay any fees to such Defaulting Lender pursuant to </w:t>
      </w:r>
      <w:r>
        <w:rPr>
          <w:rFonts w:ascii="Arial" w:cs="Arial" w:eastAsia="Arial" w:hAnsi="Arial"/>
          <w:sz w:val="22"/>
          <w:szCs w:val="22"/>
          <w:u w:val="single" w:color="auto"/>
          <w:color w:val="auto"/>
        </w:rPr>
        <w:t>Section 2.12(b)</w:t>
      </w:r>
      <w:r>
        <w:rPr>
          <w:rFonts w:ascii="Arial" w:cs="Arial" w:eastAsia="Arial" w:hAnsi="Arial"/>
          <w:sz w:val="22"/>
          <w:szCs w:val="22"/>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9"/>
          <w:szCs w:val="19"/>
          <w:color w:val="auto"/>
        </w:rPr>
        <w:t>such Defaulting Lender’s LC Exposure during the period such Defaulting Lender’s LC Exposure is cash collateralized;</w:t>
      </w:r>
    </w:p>
    <w:p>
      <w:pPr>
        <w:spacing w:after="0" w:line="281" w:lineRule="exact"/>
        <w:rPr>
          <w:sz w:val="20"/>
          <w:szCs w:val="20"/>
          <w:color w:val="auto"/>
        </w:rPr>
      </w:pPr>
    </w:p>
    <w:p>
      <w:pPr>
        <w:jc w:val="both"/>
        <w:ind w:left="440" w:firstLine="644"/>
        <w:spacing w:after="0" w:line="253" w:lineRule="auto"/>
        <w:tabs>
          <w:tab w:leader="none" w:pos="166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if the LC Exposure of the non-Defaulting Lenders is reallocated pursuant to clause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above, then the fees payable to the Lenders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adjusted in accordance with such non-Defaulting Lenders’ Applicable Percentages;</w:t>
      </w:r>
    </w:p>
    <w:p>
      <w:pPr>
        <w:spacing w:after="0" w:line="212" w:lineRule="exact"/>
        <w:rPr>
          <w:rFonts w:ascii="Arial" w:cs="Arial" w:eastAsia="Arial" w:hAnsi="Arial"/>
          <w:sz w:val="22"/>
          <w:szCs w:val="22"/>
          <w:color w:val="auto"/>
        </w:rPr>
      </w:pPr>
    </w:p>
    <w:p>
      <w:pPr>
        <w:ind w:left="1560" w:hanging="476"/>
        <w:spacing w:after="0"/>
        <w:tabs>
          <w:tab w:leader="none" w:pos="15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if any Defaulting Lender’s LC Exposure is neither cash collateralized nor reallocated pursuant to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or</w:t>
      </w:r>
    </w:p>
    <w:p>
      <w:pPr>
        <w:spacing w:after="0" w:line="55" w:lineRule="exact"/>
        <w:rPr>
          <w:rFonts w:ascii="Arial" w:cs="Arial" w:eastAsia="Arial" w:hAnsi="Arial"/>
          <w:sz w:val="19"/>
          <w:szCs w:val="19"/>
          <w:color w:val="auto"/>
        </w:rPr>
      </w:pPr>
    </w:p>
    <w:p>
      <w:pPr>
        <w:jc w:val="both"/>
        <w:ind w:left="440" w:hanging="4"/>
        <w:spacing w:after="0" w:line="244" w:lineRule="auto"/>
        <w:tabs>
          <w:tab w:leader="none" w:pos="760" w:val="left"/>
        </w:tabs>
        <w:numPr>
          <w:ilvl w:val="0"/>
          <w:numId w:val="107"/>
        </w:numPr>
        <w:rPr>
          <w:rFonts w:ascii="Arial" w:cs="Arial" w:eastAsia="Arial" w:hAnsi="Arial"/>
          <w:sz w:val="22"/>
          <w:szCs w:val="22"/>
          <w:u w:val="single" w:color="auto"/>
          <w:color w:val="auto"/>
        </w:rPr>
      </w:pPr>
      <w:r>
        <w:rPr>
          <w:rFonts w:ascii="Arial" w:cs="Arial" w:eastAsia="Arial" w:hAnsi="Arial"/>
          <w:sz w:val="22"/>
          <w:szCs w:val="22"/>
          <w:color w:val="auto"/>
        </w:rPr>
        <w:t xml:space="preserve">above, then, without prejudice to any rights or remedies of the Issuing Bank or any Lender hereunder, all Unused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22"/>
          <w:szCs w:val="22"/>
          <w:u w:val="single" w:color="auto"/>
          <w:color w:val="auto"/>
        </w:rPr>
        <w:t>Section 2.12(b)</w:t>
      </w:r>
      <w:r>
        <w:rPr>
          <w:rFonts w:ascii="Arial" w:cs="Arial" w:eastAsia="Arial" w:hAnsi="Arial"/>
          <w:sz w:val="22"/>
          <w:szCs w:val="22"/>
          <w:color w:val="auto"/>
        </w:rPr>
        <w:t xml:space="preserve"> with respect to such Defaulting Lender’s LC Exposure shall be payable to the Issuing Bank until such LC Exposure is cash collateralized and/or reallocated; and</w:t>
      </w:r>
    </w:p>
    <w:p>
      <w:pPr>
        <w:spacing w:after="0" w:line="222" w:lineRule="exact"/>
        <w:rPr>
          <w:sz w:val="20"/>
          <w:szCs w:val="20"/>
          <w:color w:val="auto"/>
        </w:rPr>
      </w:pPr>
    </w:p>
    <w:p>
      <w:pPr>
        <w:jc w:val="both"/>
        <w:ind w:left="-220" w:firstLine="656"/>
        <w:spacing w:after="0" w:line="246" w:lineRule="auto"/>
        <w:tabs>
          <w:tab w:leader="none" w:pos="96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so long as any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2.20(d)</w:t>
      </w:r>
      <w:r>
        <w:rPr>
          <w:rFonts w:ascii="Arial" w:cs="Arial" w:eastAsia="Arial" w:hAnsi="Arial"/>
          <w:sz w:val="22"/>
          <w:szCs w:val="22"/>
          <w:color w:val="auto"/>
        </w:rPr>
        <w:t xml:space="preserve">, and participating interests in any such newly issued or increased Letter of Credit or newly made Swingline Loan shall be allocated among non-Defaulting Lenders in a manner consistent with </w:t>
      </w:r>
      <w:r>
        <w:rPr>
          <w:rFonts w:ascii="Arial" w:cs="Arial" w:eastAsia="Arial" w:hAnsi="Arial"/>
          <w:sz w:val="22"/>
          <w:szCs w:val="22"/>
          <w:u w:val="single" w:color="auto"/>
          <w:color w:val="auto"/>
        </w:rPr>
        <w:t>Section 2.20(d)(i)</w:t>
      </w:r>
      <w:r>
        <w:rPr>
          <w:rFonts w:ascii="Arial" w:cs="Arial" w:eastAsia="Arial" w:hAnsi="Arial"/>
          <w:sz w:val="22"/>
          <w:szCs w:val="22"/>
          <w:color w:val="auto"/>
        </w:rPr>
        <w:t xml:space="preserve"> (and Defaulting Lenders shall not participate therein); and</w:t>
      </w:r>
    </w:p>
    <w:p>
      <w:pPr>
        <w:spacing w:after="0" w:line="236" w:lineRule="exact"/>
        <w:rPr>
          <w:rFonts w:ascii="Arial" w:cs="Arial" w:eastAsia="Arial" w:hAnsi="Arial"/>
          <w:sz w:val="22"/>
          <w:szCs w:val="22"/>
          <w:color w:val="auto"/>
        </w:rPr>
      </w:pPr>
    </w:p>
    <w:p>
      <w:pPr>
        <w:jc w:val="both"/>
        <w:ind w:left="-220" w:firstLine="656"/>
        <w:spacing w:after="0" w:line="286" w:lineRule="auto"/>
        <w:tabs>
          <w:tab w:leader="none" w:pos="93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9.09</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pro rata basis of any amounts owing by such Defaulting Lender to the Issuing Bank or the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be held as cash collateral for such Defaulting Lender’s LC Exposure other than any portion of such LC Exposure that has been reallocated to other Lenders or cash collateralized in accordance with the terms hereof;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future funding obligations of such Defaulting Lender of any participation in any Letter of Credit or Swingline Loan; </w:t>
      </w:r>
      <w:r>
        <w:rPr>
          <w:rFonts w:ascii="Arial" w:cs="Arial" w:eastAsia="Arial" w:hAnsi="Arial"/>
          <w:sz w:val="19"/>
          <w:szCs w:val="19"/>
          <w:u w:val="single" w:color="auto"/>
          <w:color w:val="auto"/>
        </w:rPr>
        <w:t>sixth</w:t>
      </w:r>
      <w:r>
        <w:rPr>
          <w:rFonts w:ascii="Arial" w:cs="Arial" w:eastAsia="Arial" w:hAnsi="Arial"/>
          <w:sz w:val="19"/>
          <w:szCs w:val="19"/>
          <w:color w:val="auto"/>
        </w:rPr>
        <w:t>, to the payment of any amounts owing to the Lenders, the Issuing Bank or the Swingline Lender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020"/>
          </w:cols>
          <w:pgMar w:left="540" w:top="1428" w:right="339" w:bottom="1440" w:gutter="0" w:footer="0" w:header="0"/>
        </w:sectPr>
      </w:pPr>
    </w:p>
    <w:bookmarkStart w:id="129" w:name="page130"/>
    <w:bookmarkEnd w:id="129"/>
    <w:p>
      <w:pPr>
        <w:jc w:val="both"/>
        <w:spacing w:after="0" w:line="286" w:lineRule="auto"/>
        <w:rPr>
          <w:sz w:val="20"/>
          <w:szCs w:val="20"/>
          <w:color w:val="auto"/>
        </w:rPr>
      </w:pPr>
      <w:r>
        <w:rPr>
          <w:rFonts w:ascii="Arial" w:cs="Arial" w:eastAsia="Arial" w:hAnsi="Arial"/>
          <w:sz w:val="19"/>
          <w:szCs w:val="19"/>
          <w:color w:val="auto"/>
        </w:rPr>
        <w:t xml:space="preserve">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Revolving Commitments hereunder without giving effect to </w:t>
      </w:r>
      <w:r>
        <w:rPr>
          <w:rFonts w:ascii="Arial" w:cs="Arial" w:eastAsia="Arial" w:hAnsi="Arial"/>
          <w:sz w:val="19"/>
          <w:szCs w:val="19"/>
          <w:u w:val="single" w:color="auto"/>
          <w:color w:val="auto"/>
        </w:rPr>
        <w:t>(d)(i)</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2.20(f)</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45" w:lineRule="exact"/>
        <w:rPr>
          <w:sz w:val="20"/>
          <w:szCs w:val="20"/>
          <w:color w:val="auto"/>
        </w:rPr>
      </w:pPr>
    </w:p>
    <w:p>
      <w:pPr>
        <w:jc w:val="both"/>
        <w:ind w:firstLine="656"/>
        <w:spacing w:after="0" w:line="247" w:lineRule="auto"/>
        <w:tabs>
          <w:tab w:leader="none" w:pos="117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event that the Administrative Agent, the Company, the Issuing Bank and the Swingline Lender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Loans of the other the Lenders (other than Swingline Loans) as the Administrative Agent shall determine may be necessary in order for such Lender to hold such Loans in accordance with its Applicable Percentage.</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2.21 </w:t>
      </w:r>
      <w:r>
        <w:rPr>
          <w:rFonts w:ascii="Arial" w:cs="Arial" w:eastAsia="Arial" w:hAnsi="Arial"/>
          <w:sz w:val="21"/>
          <w:szCs w:val="21"/>
          <w:u w:val="single" w:color="auto"/>
          <w:color w:val="auto"/>
        </w:rPr>
        <w:t>Illegality</w:t>
      </w:r>
      <w:r>
        <w:rPr>
          <w:rFonts w:ascii="Arial" w:cs="Arial" w:eastAsia="Arial" w:hAnsi="Arial"/>
          <w:sz w:val="21"/>
          <w:szCs w:val="21"/>
          <w:color w:val="auto"/>
        </w:rPr>
        <w:t>. If, in any applicable jurisdiction, the Administrative Agent, the Issuing Bank or any Lender determines that any law has made it unlawful, or that any Governmental Authority has asserted that it is unlawful, for the Administrative Agent, the Issuing Bank or any Lender to perform any of its obligations hereunder or under any other Loan Document, to fund or maintain its participation in any Loan or issue, make, maintain, fund or charge interest or fees with respect to any Loan or Letter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Company shall, or shall cause the applicable Foreign Borrower to,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22"/>
          <w:szCs w:val="22"/>
          <w:color w:val="auto"/>
        </w:rPr>
        <w:t>permitted by applicable law), to the extent applicable to the Issuing Bank, cash collateralize that portion of the LC Exposure comprised of the aggregate undrawn amount of Letters of Credit to the extent not otherwise cash collateralized and take all reasonable actions requested by such Person to mitigate or avoid such illegality.</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Borrower Representative</w:t>
      </w:r>
      <w:r>
        <w:rPr>
          <w:rFonts w:ascii="Arial" w:cs="Arial" w:eastAsia="Arial" w:hAnsi="Arial"/>
          <w:sz w:val="22"/>
          <w:szCs w:val="22"/>
          <w:color w:val="auto"/>
        </w:rPr>
        <w:t>. The Company is hereby appointed by each Foreign Borrower as its contractual representative hereunder and under each other Loan Document, and each of the Foreign Borrowers irrevocably authorizes the Company to act as the contractual representative of such Foreign Borrower in regard to this Agreement and the other Loan Documents.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Borrowers represent and warrant to the Administrative Agent and Lenders that:</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Each of the Company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each Credit Party’s corporate powers and have been duly authorized by all necessary corporate and, if required, stockholder action. This Agreement and the other Loan Documents have been duly executed and delivered by each Credit Party that is a party thereto and constitute the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Transactions do not require any consent or approval of, registration or filing with, or any other action by, any Governmental Authority, except for the filing of a description of the entry into a material definitive agreement on either a Current Report on Form 8-K or Quarterly Report on Form 10-Q with the SEC and except such as have been obtained or made and are in full force and effect, will not violate any applicable law or regulation or the charter, by-laws or other organizational documents of the Company or any of its Subsidiaries or any order of any Governmental Authority, will not violate or result in a default under any indenture, agreement or other instrument binding upon the Company or any of its Subsidiaries or its assets, or give rise to a right thereunder to require any payment to be made by the Company or any of its Subsidiaries, and will not result in the creation or imposition of any Lien on any asset of the Company or any of its Subsidiaries other than those Liens which are created or imposed hereunder or pursuant to the Collateral Documents.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131" w:name="page132"/>
    <w:bookmarkEnd w:id="131"/>
    <w:p>
      <w:pPr>
        <w:ind w:left="44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 Absence of Default</w:t>
      </w:r>
      <w:r>
        <w:rPr>
          <w:rFonts w:ascii="Arial" w:cs="Arial" w:eastAsia="Arial" w:hAnsi="Arial"/>
          <w:sz w:val="22"/>
          <w:szCs w:val="22"/>
          <w:color w:val="auto"/>
        </w:rPr>
        <w:t>.</w:t>
      </w:r>
    </w:p>
    <w:p>
      <w:pPr>
        <w:spacing w:after="0" w:line="247" w:lineRule="exact"/>
        <w:rPr>
          <w:sz w:val="20"/>
          <w:szCs w:val="20"/>
          <w:color w:val="auto"/>
        </w:rPr>
      </w:pPr>
    </w:p>
    <w:p>
      <w:pPr>
        <w:jc w:val="both"/>
        <w:ind w:left="-220" w:firstLine="656"/>
        <w:spacing w:after="0" w:line="248" w:lineRule="auto"/>
        <w:tabs>
          <w:tab w:leader="none" w:pos="9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Company has heretofore furnished to the Lenders its consolidated balance sheet and statements of income, stockholders equity and cash flows as of and for the fiscal year ended June 30, 2020, reported on by Deloitte &amp; Touche LLP, independent registered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218" w:lineRule="exact"/>
        <w:rPr>
          <w:rFonts w:ascii="Arial" w:cs="Arial" w:eastAsia="Arial" w:hAnsi="Arial"/>
          <w:sz w:val="22"/>
          <w:szCs w:val="22"/>
          <w:color w:val="auto"/>
        </w:rPr>
      </w:pPr>
    </w:p>
    <w:p>
      <w:pPr>
        <w:jc w:val="both"/>
        <w:ind w:left="-220" w:firstLine="656"/>
        <w:spacing w:after="0" w:line="253" w:lineRule="auto"/>
        <w:tabs>
          <w:tab w:leader="none" w:pos="96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Since June 30, 2020, there has been no adverse change in the business, assets, operations, prospects or condition, financial or otherwise, of the Company and its Subsidiaries, taken as a whole, that could reasonably be expected to have a Material Adverse Effect.</w:t>
      </w:r>
    </w:p>
    <w:p>
      <w:pPr>
        <w:spacing w:after="0" w:line="212" w:lineRule="exact"/>
        <w:rPr>
          <w:rFonts w:ascii="Arial" w:cs="Arial" w:eastAsia="Arial" w:hAnsi="Arial"/>
          <w:sz w:val="22"/>
          <w:szCs w:val="22"/>
          <w:color w:val="auto"/>
        </w:rPr>
      </w:pPr>
    </w:p>
    <w:p>
      <w:pPr>
        <w:ind w:left="900" w:hanging="464"/>
        <w:spacing w:after="0"/>
        <w:tabs>
          <w:tab w:leader="none" w:pos="9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 Default has occurred and is continuing.</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47" w:lineRule="exact"/>
        <w:rPr>
          <w:sz w:val="20"/>
          <w:szCs w:val="20"/>
          <w:color w:val="auto"/>
        </w:rPr>
      </w:pPr>
    </w:p>
    <w:p>
      <w:pPr>
        <w:jc w:val="both"/>
        <w:ind w:left="-220" w:right="20" w:firstLine="656"/>
        <w:spacing w:after="0" w:line="253" w:lineRule="auto"/>
        <w:tabs>
          <w:tab w:leader="none" w:pos="95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of the Company and the other Credit Parties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212" w:lineRule="exact"/>
        <w:rPr>
          <w:rFonts w:ascii="Arial" w:cs="Arial" w:eastAsia="Arial" w:hAnsi="Arial"/>
          <w:sz w:val="22"/>
          <w:szCs w:val="22"/>
          <w:color w:val="auto"/>
        </w:rPr>
      </w:pPr>
    </w:p>
    <w:p>
      <w:pPr>
        <w:jc w:val="both"/>
        <w:ind w:left="-220" w:firstLine="656"/>
        <w:spacing w:after="0" w:line="265" w:lineRule="auto"/>
        <w:tabs>
          <w:tab w:leader="none" w:pos="108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Each of the Company and the other Credit Parties owns, or is licensed to use, all trademarks, tradenames, copyrights, patents and other intellectual property material to its business, and the use thereof by the Company and the other Credit Parties does not infringe upon the rights of any other Person, except for any such infringements that, individually or in the aggregate, could not reasonably be expected to result in a Material Adverse Effect.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Litigation and Environmental Matters</w:t>
      </w:r>
      <w:r>
        <w:rPr>
          <w:rFonts w:ascii="Arial" w:cs="Arial" w:eastAsia="Arial" w:hAnsi="Arial"/>
          <w:sz w:val="22"/>
          <w:szCs w:val="22"/>
          <w:color w:val="auto"/>
        </w:rPr>
        <w:t>.</w:t>
      </w:r>
    </w:p>
    <w:p>
      <w:pPr>
        <w:spacing w:after="0" w:line="247" w:lineRule="exact"/>
        <w:rPr>
          <w:sz w:val="20"/>
          <w:szCs w:val="20"/>
          <w:color w:val="auto"/>
        </w:rPr>
      </w:pPr>
    </w:p>
    <w:p>
      <w:pPr>
        <w:jc w:val="both"/>
        <w:ind w:left="-220" w:firstLine="656"/>
        <w:spacing w:after="0" w:line="302" w:lineRule="auto"/>
        <w:tabs>
          <w:tab w:leader="none" w:pos="89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There are no actions, suits or proceedings by or before any arbitrator or Governmental Authority pending against or, to the knowledge of the Company, threatened against or affecting the Company or any of its Subsidiaries as to which there is a reasonable possibility of an adverse determination and that, if adversely determined, could reasonably be expected, individually or in the aggregate, to result in a Material Adverse Effect or that involve this Agreement or the Transactions.</w:t>
      </w:r>
    </w:p>
    <w:p>
      <w:pPr>
        <w:spacing w:after="0" w:line="169" w:lineRule="exact"/>
        <w:rPr>
          <w:rFonts w:ascii="Arial" w:cs="Arial" w:eastAsia="Arial" w:hAnsi="Arial"/>
          <w:sz w:val="19"/>
          <w:szCs w:val="19"/>
          <w:color w:val="auto"/>
        </w:rPr>
      </w:pPr>
    </w:p>
    <w:p>
      <w:pPr>
        <w:jc w:val="both"/>
        <w:ind w:left="-220" w:firstLine="656"/>
        <w:spacing w:after="0" w:line="294" w:lineRule="auto"/>
        <w:tabs>
          <w:tab w:leader="none" w:pos="91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the ordinary course of its business the officers of the Company consider the effect of Environmental Laws on the business of the Company and its Subsidiaries, in the course of which they identify and evaluate potential risks and liabilities to which the Company or its Subsidiaries may be subject due to Environmental Laws. On the basis of this consideration, except with respect to matters that, individually or in the aggregate, could not reasonably be expected to result in a Material Adverse Effect, neither the Company nor any of its Subsidiaries has failed to comply with any Environmental Law or to obtain, maintain or comply with any permit, license or other approval required under any Environmental Law, has become subject 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020"/>
          </w:cols>
          <w:pgMar w:left="540" w:top="1428" w:right="339" w:bottom="1440" w:gutter="0" w:footer="0" w:header="0"/>
        </w:sectPr>
      </w:pPr>
    </w:p>
    <w:bookmarkStart w:id="132" w:name="page133"/>
    <w:bookmarkEnd w:id="132"/>
    <w:p>
      <w:pPr>
        <w:jc w:val="both"/>
        <w:spacing w:after="0" w:line="247" w:lineRule="auto"/>
        <w:rPr>
          <w:sz w:val="20"/>
          <w:szCs w:val="20"/>
          <w:color w:val="auto"/>
        </w:rPr>
      </w:pPr>
      <w:r>
        <w:rPr>
          <w:rFonts w:ascii="Arial" w:cs="Arial" w:eastAsia="Arial" w:hAnsi="Arial"/>
          <w:sz w:val="22"/>
          <w:szCs w:val="22"/>
          <w:color w:val="auto"/>
        </w:rPr>
        <w:t>any Environmental Liability, has received notice of any claim with respect to any Environmental Liability or knows of any basis for any Environmental Liability. Neither the Company nor any Subsidiary has received any notice to the effect that its operations are not in material compliance with any of the requirements of applicable Environmental Laws or are the subject of any federal, state, provincial or territorial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Neither the Company nor any of its Subsidiaries is an “investment company” as defined in, or subject to regulation under, the Investment Company Act of 1940.</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Taxes</w:t>
      </w:r>
      <w:r>
        <w:rPr>
          <w:rFonts w:ascii="Arial" w:cs="Arial" w:eastAsia="Arial" w:hAnsi="Arial"/>
          <w:sz w:val="21"/>
          <w:szCs w:val="21"/>
          <w:color w:val="auto"/>
        </w:rPr>
        <w:t>. Each of the Company and its Subsidiaries has timely filed or caused to be filed all Tax returns and reports required to have been filed and has paid or caused to be paid all Taxes required to have been paid by it, except Taxes that are being contested in good faith by appropriate proceedings and for which the Company or such Subsidiary, as applicable, has set aside on its books adequate reserves in accordance with Agreement Accounting Principles and as to which no Lien exists or to the extent that the failure to do so could not reasonably be expected to result in a Material Adverse Effect. The charges, accruals and reserves on the books of the Company and its Subsidiaries in respect of any Taxes or other governmental charges are adequate. Each of the Company and its Subsidiaries has withheld all employee withholdings and has made all employer contributions to be withheld and made by it pursuant to applicable law on account of employment insurance and employee income taxes.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ERISA; Canadian Pension and Benefit Plans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65" w:lineRule="auto"/>
        <w:tabs>
          <w:tab w:leader="none" w:pos="120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 ERISA Event has occurred or is reasonably expected to occur that, when taken together with all other such ERISA Events for which liability is reasonably expected to occur, could reasonably be expected to result in a Material Adverse Effect and neither the Company nor any other member of the Controlled Group has incurred, or is reasonably expected to incur, any Withdrawal Liability to Multiemployer Plans in excess of $1,000,000 in the aggregate.</w:t>
      </w:r>
    </w:p>
    <w:p>
      <w:pPr>
        <w:spacing w:after="0" w:line="202" w:lineRule="exact"/>
        <w:rPr>
          <w:rFonts w:ascii="Arial" w:cs="Arial" w:eastAsia="Arial" w:hAnsi="Arial"/>
          <w:sz w:val="21"/>
          <w:szCs w:val="21"/>
          <w:color w:val="auto"/>
        </w:rPr>
      </w:pPr>
    </w:p>
    <w:p>
      <w:pPr>
        <w:ind w:left="1120" w:hanging="464"/>
        <w:spacing w:after="0"/>
        <w:tabs>
          <w:tab w:leader="none" w:pos="11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None of the Company or any of its Subsidiaries has any Canadian Pension Plan.</w:t>
      </w:r>
    </w:p>
    <w:p>
      <w:pPr>
        <w:spacing w:after="0" w:line="246" w:lineRule="exact"/>
        <w:rPr>
          <w:rFonts w:ascii="Arial" w:cs="Arial" w:eastAsia="Arial" w:hAnsi="Arial"/>
          <w:sz w:val="22"/>
          <w:szCs w:val="22"/>
          <w:color w:val="auto"/>
        </w:rPr>
      </w:pPr>
    </w:p>
    <w:p>
      <w:pPr>
        <w:jc w:val="both"/>
        <w:ind w:firstLine="656"/>
        <w:spacing w:after="0" w:line="312" w:lineRule="auto"/>
        <w:tabs>
          <w:tab w:leader="none" w:pos="115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Except where the failure to perform any obligation or make any withholding, collection or payment, as applicable, could not reasonably be expected, individually or in the aggregate, to result in a Material Adverse Effect: all obligations of the Company and its Subsidiaries (including fiduciary, funding, investment, administration and reporting obligations)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21"/>
          <w:szCs w:val="21"/>
          <w:color w:val="auto"/>
        </w:rPr>
        <w:t>required to be performed by them in connection with the Canadian Benefit Plans and the funding agreements therefor have been performed all contributions or premiums required to be made or paid by the Company and its Subsidiaries to the Canadian Benefit Plans have been made or paid in a timely fashion in accordance with the terms of such plans and all applicable laws, and all employee contributions to the Canadian Benefit Plans by way of authorized payroll deduction or otherwise have been properly withheld or collected by the Company and its Subsidiaries and have been fully paid into those plans in compliance with the plans and applicable laws. There have been no improper withdrawals or applications of the assets of the Canadian Benefit Plans, except where any such withdrawals or applications could not reasonably be expected, individually or in the aggregate, to result in a Material Adverse Effect. There is no proceeding, action, suit or claim (other than routine claims for benefits) pending or threatened involving the Canadian Benefit Plans, and no facts exist which could reasonably be expected to give rise to that type of proceeding, action, suit or claim, except where the outcome thereof could not reasonably be expected, individually or in the aggregate, to result in a Material Adverse Effect. No promises of benefit improvements under the Canadian Benefit Plans by the Company or any of its Subsidiaries have been made except where improvement could not reasonably be expected to have a Material Adverse Effect.</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Plan Assets; Prohibited Transactions; ERISA</w:t>
      </w:r>
      <w:r>
        <w:rPr>
          <w:rFonts w:ascii="Arial" w:cs="Arial" w:eastAsia="Arial" w:hAnsi="Arial"/>
          <w:sz w:val="22"/>
          <w:szCs w:val="22"/>
          <w:color w:val="auto"/>
        </w:rPr>
        <w:t>. Except as to salary deferrals before they are put into trust, no Borrower is an entity deemed to hold “plan assets” within the meaning of 29 C.F.R. § 2510.3-101 of an “employee benefit plan” (as defined in Section 3(3) of ERISA) which is subject to Title I of ERISA or any “plan” (within the meaning of Section 4975 of the Code). Neither the execution of this Agreement nor the extending of Loans or issuance of Letters of Credit hereunder gives rise to a “prohibited transaction” within the meaning of Section 406 of ERISA or Section 4975 of the Code or results in or causes an ERISA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Disclosure</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59" w:lineRule="auto"/>
        <w:tabs>
          <w:tab w:leader="none" w:pos="110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and other information furnished by or on behalf of the Company to the Administrative Agent or any Lender in connection with the negotiation of this Agreement or delivered hereunder (as modified or supplemented by other information so furnished), when taken as a whole, do not contain any material misstatement of fact or omit to state any material fact necessary to make the statements therein, in the light of the circumstances under which they were made, not misleading; provided that, with respect to projected financial information, the Company represents only that such information was prepared in good faith based upon assumptions believed to be reasonable at the time.</w:t>
      </w:r>
    </w:p>
    <w:p>
      <w:pPr>
        <w:spacing w:after="0" w:line="219" w:lineRule="exact"/>
        <w:rPr>
          <w:rFonts w:ascii="Arial" w:cs="Arial" w:eastAsia="Arial" w:hAnsi="Arial"/>
          <w:sz w:val="21"/>
          <w:szCs w:val="21"/>
          <w:color w:val="auto"/>
        </w:rPr>
      </w:pPr>
    </w:p>
    <w:p>
      <w:pPr>
        <w:jc w:val="both"/>
        <w:ind w:firstLine="656"/>
        <w:spacing w:after="0" w:line="253" w:lineRule="auto"/>
        <w:tabs>
          <w:tab w:leader="none" w:pos="126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As of the Effective Date, to the best knowledge of the Company, the information included in any Beneficial Ownership Certificate provided on or prior to the Effective Date to any Lender in connection with this Agreement is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7" w:right="339" w:bottom="1440" w:gutter="0" w:footer="0" w:header="0"/>
        </w:sectPr>
      </w:pPr>
    </w:p>
    <w:bookmarkStart w:id="134" w:name="page135"/>
    <w:bookmarkEnd w:id="134"/>
    <w:p>
      <w:pPr>
        <w:jc w:val="both"/>
        <w:ind w:firstLine="648"/>
        <w:spacing w:after="0" w:line="289"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contains an accurate list of and other information regarding all Subsidiaries of the Company as of the Effective Date, setting forth their respective jurisdictions of organization, the percentage of their respective Equity Interests owned by the Company and/or other Subsidiaries and whether the Subsidiaries are required to be Subsidiary Guarantors pursuant to </w:t>
      </w:r>
      <w:r>
        <w:rPr>
          <w:rFonts w:ascii="Arial" w:cs="Arial" w:eastAsia="Arial" w:hAnsi="Arial"/>
          <w:sz w:val="19"/>
          <w:szCs w:val="19"/>
          <w:u w:val="single" w:color="auto"/>
          <w:color w:val="auto"/>
        </w:rPr>
        <w:t>Section 5.09</w:t>
      </w:r>
      <w:r>
        <w:rPr>
          <w:rFonts w:ascii="Arial" w:cs="Arial" w:eastAsia="Arial" w:hAnsi="Arial"/>
          <w:sz w:val="19"/>
          <w:szCs w:val="19"/>
          <w:color w:val="auto"/>
        </w:rPr>
        <w:t>. Deliberately omitted from Schedule 3.13 are Matrix Service, Inc., Panama (formed in Panama) and San Luis Tank S.A. de C.V. (formed in Mexico), both of which the Company has represented and does hereby represent to the Administrative Agent and the Lenders are now dormant and neither of which the Company has any plan or intention to revive or utilize in any way or has any assets or operations whatsoever. All of the issued and outstanding shares of capital stock or other ownership interests of all Subsidiaries have been (to the extent such concepts are relevant with respect to such ownership interests) duly authorized and issued and are fully paid and non-assessable.</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Material Agreements</w:t>
      </w:r>
      <w:r>
        <w:rPr>
          <w:rFonts w:ascii="Arial" w:cs="Arial" w:eastAsia="Arial" w:hAnsi="Arial"/>
          <w:sz w:val="19"/>
          <w:szCs w:val="19"/>
          <w:color w:val="auto"/>
        </w:rPr>
        <w:t>. Neither the Company nor any Subsidiary is subject to any charter or other corporate restriction which could reasonably be expected to have a Material Adverse Effect. Neither the Company nor any Subsidiary is in default in the performance, observance or fulfillment of any of the obligations, covenants or conditions contained in any agreement to which it is a party, which default could reasonably be expected to have a Material Adverse Effect or any agreement or instrument evidencing or governing Indebtedness, including but not limited to any of the Loan Documents.</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Post-Retirement Benefits</w:t>
      </w:r>
      <w:r>
        <w:rPr>
          <w:rFonts w:ascii="Arial" w:cs="Arial" w:eastAsia="Arial" w:hAnsi="Arial"/>
          <w:sz w:val="22"/>
          <w:szCs w:val="22"/>
          <w:color w:val="auto"/>
        </w:rPr>
        <w:t>. The present value of the expected cost of post-retirement medical (excluding the cost of continuation coverage as required by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7" w:lineRule="auto"/>
        <w:tabs>
          <w:tab w:leader="none" w:pos="115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Immediately after the consummation of the transactions to occur on the date hereof and immediately following the making of each Loan, if any, made on the date hereof, after giving effect to the application of the proceeds of such Loans, the fair value of the assets of the Company and its Subsidiaries on a consolidated basis, at a fair valuation, will exceed the debts and liabilities, subordinated, contingent or otherwise, of the Company and its Subsidiaries on a consolidated basis; the present fair saleable value of the property of the Company and its Subsidiaries on a consolidated basis will be greater than the amount that will be required to pay the probable liability of the Company and its Subsidiaries on a consolidated basis on their debts and other liabilities, subordinated, contingent or otherwise, as such debts and other liabilities become absolute and matured; the Company and its Subsidiaries on a consolidated basis will be able to pay their debts and liabilities, subordinated, contingent or otherwise, as such debts and liabilities become absolute and matured; and the Company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7" w:right="339" w:bottom="1440" w:gutter="0" w:footer="0" w:header="0"/>
        </w:sectPr>
      </w:pPr>
    </w:p>
    <w:bookmarkStart w:id="135" w:name="page136"/>
    <w:bookmarkEnd w:id="135"/>
    <w:p>
      <w:pPr>
        <w:jc w:val="both"/>
        <w:ind w:firstLine="656"/>
        <w:spacing w:after="0" w:line="250" w:lineRule="auto"/>
        <w:tabs>
          <w:tab w:leader="none" w:pos="117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Payment and Performance Bonds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3.17</w:t>
      </w:r>
      <w:r>
        <w:rPr>
          <w:rFonts w:ascii="Arial" w:cs="Arial" w:eastAsia="Arial" w:hAnsi="Arial"/>
          <w:sz w:val="22"/>
          <w:szCs w:val="22"/>
          <w:color w:val="auto"/>
        </w:rPr>
        <w:t xml:space="preserve"> sets forth an accurate list and brief description of all payment and performance bonds to which the Company or any of its Subsidiaries is a party as of September 30, 2020. No such bonds (or any application or related documents) currently evidence any collateral or security of any kind or nature in favor of the Surety thereunder other than Permitted Encumbrances.</w:t>
      </w:r>
    </w:p>
    <w:p>
      <w:pPr>
        <w:spacing w:after="0" w:line="21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Commercial Tort Claims</w:t>
      </w:r>
      <w:r>
        <w:rPr>
          <w:rFonts w:ascii="Arial" w:cs="Arial" w:eastAsia="Arial" w:hAnsi="Arial"/>
          <w:sz w:val="19"/>
          <w:szCs w:val="19"/>
          <w:color w:val="auto"/>
        </w:rPr>
        <w:t>. As of the Effective Date, neither the Company nor any of the Subsidiaries owns or has any interest in any “commercial tort claim” (as that term is defined in 12A Okla. Stat. §1-9-102(a)(13) as of the Effective Date) that has not been specifically described in a Security Agreement as part of the collateral thereunder.</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Company has implemented and maintains in effect policies and procedures designed to ensure compliance by the Company, its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the Borrowers, any Subsidiary or to the knowledge of the Borrowers, any of their respective directors, officers or employees, or to the knowledge of the Borrowers,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or applicable Sanctions.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No Credit Party is an Affected Financial Institution.</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Plan Assets</w:t>
      </w:r>
      <w:r>
        <w:rPr>
          <w:rFonts w:ascii="Arial" w:cs="Arial" w:eastAsia="Arial" w:hAnsi="Arial"/>
          <w:sz w:val="19"/>
          <w:szCs w:val="19"/>
          <w:color w:val="auto"/>
        </w:rPr>
        <w:t>. None of the Company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7" w:right="339" w:bottom="1440" w:gutter="0" w:footer="0" w:header="0"/>
        </w:sectPr>
      </w:pPr>
    </w:p>
    <w:bookmarkStart w:id="136" w:name="page137"/>
    <w:bookmarkEnd w:id="136"/>
    <w:p>
      <w:pPr>
        <w:ind w:left="5160"/>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Conditions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The obligations of the Lenders to make Loans and of the Issuing Bank to issue Letters of Credit hereunder shall not become effective until the date on which each of the following conditions is satisfied to the satisfaction of each Lender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71" w:lineRule="auto"/>
        <w:tabs>
          <w:tab w:leader="none" w:pos="130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party hereto a counterpart of this Agreement signed on behalf of such party (which may include any Electronic Signatures transmitted by fax, emailed .pdf or any other electronic means that reproduces an image of an actual executed signature page to this Agreement).</w:t>
      </w:r>
    </w:p>
    <w:p>
      <w:pPr>
        <w:spacing w:after="0" w:line="194" w:lineRule="exact"/>
        <w:rPr>
          <w:rFonts w:ascii="Arial" w:cs="Arial" w:eastAsia="Arial" w:hAnsi="Arial"/>
          <w:sz w:val="21"/>
          <w:szCs w:val="21"/>
          <w:color w:val="auto"/>
        </w:rPr>
      </w:pPr>
    </w:p>
    <w:p>
      <w:pPr>
        <w:jc w:val="both"/>
        <w:ind w:firstLine="656"/>
        <w:spacing w:after="0" w:line="290" w:lineRule="auto"/>
        <w:tabs>
          <w:tab w:leader="none" w:pos="117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good standing (to the extent applicable in the relevant jurisdiction) of any of the Credit Parties, the authorization of the Transactions and any other legal matters relating to the Borrowers, the Credit Parties, this Agreement or the Transactions and a certificate of incumbency which identifies by name and title and bears the signatures of the Authorized Officers of each Credit Party authorized to sign the Loan Documents to which it is a party and, in the case of the Company, the Authorized Officers of the Company authorized to submit Borrowing Requests, upon which certificate the Administrative Agent shall be entitled to rely until informed of any change in writing by an Authorized Officer, all in form and substance satisfactory to the Administrative Agent and its counsel.</w:t>
      </w:r>
    </w:p>
    <w:p>
      <w:pPr>
        <w:spacing w:after="0" w:line="196" w:lineRule="exact"/>
        <w:rPr>
          <w:rFonts w:ascii="Arial" w:cs="Arial" w:eastAsia="Arial" w:hAnsi="Arial"/>
          <w:sz w:val="19"/>
          <w:szCs w:val="19"/>
          <w:color w:val="auto"/>
        </w:rPr>
      </w:pPr>
    </w:p>
    <w:p>
      <w:pPr>
        <w:jc w:val="both"/>
        <w:ind w:firstLine="656"/>
        <w:spacing w:after="0" w:line="248" w:lineRule="auto"/>
        <w:tabs>
          <w:tab w:leader="none" w:pos="111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signed by an Authorized Officer of the Company, stating that, as of the Effective Date no Default or Event of Default has occurred and is continuing, the representations and warranties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are true and correct in all material respects, and there has been no material adverse change in the business, assets, operations, or condition of the Company and its Subsidiaries, taken as a whole, since June 30, 2020.</w:t>
      </w:r>
    </w:p>
    <w:p>
      <w:pPr>
        <w:spacing w:after="0" w:line="218" w:lineRule="exact"/>
        <w:rPr>
          <w:rFonts w:ascii="Arial" w:cs="Arial" w:eastAsia="Arial" w:hAnsi="Arial"/>
          <w:sz w:val="22"/>
          <w:szCs w:val="22"/>
          <w:color w:val="auto"/>
        </w:rPr>
      </w:pPr>
    </w:p>
    <w:p>
      <w:pPr>
        <w:ind w:right="20" w:firstLine="656"/>
        <w:spacing w:after="0" w:line="263" w:lineRule="auto"/>
        <w:tabs>
          <w:tab w:leader="none" w:pos="111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with respect to any Revolving Loans to be made on the Effective Date.</w:t>
      </w:r>
    </w:p>
    <w:p>
      <w:pPr>
        <w:spacing w:after="0" w:line="201" w:lineRule="exact"/>
        <w:rPr>
          <w:rFonts w:ascii="Arial" w:cs="Arial" w:eastAsia="Arial" w:hAnsi="Arial"/>
          <w:sz w:val="22"/>
          <w:szCs w:val="22"/>
          <w:color w:val="auto"/>
        </w:rPr>
      </w:pPr>
    </w:p>
    <w:p>
      <w:pPr>
        <w:ind w:left="1100" w:hanging="444"/>
        <w:spacing w:after="0"/>
        <w:tabs>
          <w:tab w:leader="none" w:pos="11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Administrative Agent shall have received Notes payable to the order of the appropriate Lenders.</w:t>
      </w:r>
    </w:p>
    <w:p>
      <w:pPr>
        <w:spacing w:after="0" w:line="246" w:lineRule="exact"/>
        <w:rPr>
          <w:rFonts w:ascii="Arial" w:cs="Arial" w:eastAsia="Arial" w:hAnsi="Arial"/>
          <w:sz w:val="22"/>
          <w:szCs w:val="22"/>
          <w:color w:val="auto"/>
        </w:rPr>
      </w:pPr>
    </w:p>
    <w:p>
      <w:pPr>
        <w:jc w:val="both"/>
        <w:ind w:firstLine="656"/>
        <w:spacing w:after="0" w:line="248" w:lineRule="auto"/>
        <w:tabs>
          <w:tab w:leader="none" w:pos="107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Administrative Agent shall have received all Collateral Documents (or amendments, supplements or ratifications thereof) that may be required by the Administrative Agent and any other documents, agreements, instruments or certificates as the Administrative Agent may require in order to evidence the grant to the Administrative Agent of a Lien against any property of the Company or any other Credit Party desired by the Administrative Agent or to perfect any such Lien, all of which shall be Collateral Documents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1" w:right="339" w:bottom="1440" w:gutter="0" w:footer="0" w:header="0"/>
        </w:sectPr>
      </w:pPr>
    </w:p>
    <w:bookmarkStart w:id="137" w:name="page138"/>
    <w:bookmarkEnd w:id="137"/>
    <w:p>
      <w:pPr>
        <w:ind w:left="1320" w:hanging="664"/>
        <w:spacing w:after="0"/>
        <w:tabs>
          <w:tab w:leader="none" w:pos="13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Administrative Agent shall have received the Subsidiary Guaranties duly executed by each Subsidiary</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Guarantor.</w:t>
      </w:r>
    </w:p>
    <w:p>
      <w:pPr>
        <w:spacing w:after="0" w:line="228" w:lineRule="exact"/>
        <w:rPr>
          <w:rFonts w:ascii="Arial" w:cs="Arial" w:eastAsia="Arial" w:hAnsi="Arial"/>
          <w:sz w:val="21"/>
          <w:szCs w:val="21"/>
          <w:color w:val="auto"/>
        </w:rPr>
      </w:pPr>
    </w:p>
    <w:p>
      <w:pPr>
        <w:ind w:firstLine="656"/>
        <w:spacing w:after="0" w:line="251" w:lineRule="auto"/>
        <w:tabs>
          <w:tab w:leader="none" w:pos="112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Administrative Agent shall have received a completed and appropriately executed Perfection Certificate in form acceptable to the Administrative Agent.</w:t>
      </w:r>
    </w:p>
    <w:p>
      <w:pPr>
        <w:spacing w:after="0" w:line="1" w:lineRule="exact"/>
        <w:rPr>
          <w:rFonts w:ascii="Arial" w:cs="Arial" w:eastAsia="Arial" w:hAnsi="Arial"/>
          <w:sz w:val="22"/>
          <w:szCs w:val="22"/>
          <w:color w:val="auto"/>
        </w:rPr>
      </w:pPr>
    </w:p>
    <w:p>
      <w:pPr>
        <w:jc w:val="both"/>
        <w:ind w:firstLine="656"/>
        <w:spacing w:after="0" w:line="243" w:lineRule="auto"/>
        <w:tabs>
          <w:tab w:leader="none" w:pos="112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Except as contemplated by </w:t>
      </w:r>
      <w:r>
        <w:rPr>
          <w:rFonts w:ascii="Arial" w:cs="Arial" w:eastAsia="Arial" w:hAnsi="Arial"/>
          <w:sz w:val="22"/>
          <w:szCs w:val="22"/>
          <w:u w:val="single" w:color="auto"/>
          <w:color w:val="auto"/>
        </w:rPr>
        <w:t>Section 5.13</w:t>
      </w:r>
      <w:r>
        <w:rPr>
          <w:rFonts w:ascii="Arial" w:cs="Arial" w:eastAsia="Arial" w:hAnsi="Arial"/>
          <w:sz w:val="22"/>
          <w:szCs w:val="22"/>
          <w:color w:val="auto"/>
        </w:rPr>
        <w:t>, the Administrative Agent shall have received a favorable written opinion (addressed to the Administrative Agent and the Lenders and dated the Effective Date) of Conner &amp; Winters, LLP, counsel for the Company, Baker &amp; McKenzie LLP (Toronto office), counsel for Matrix North American Construction Ltd., an Ontario corporation, Baker &amp; McKenzie LLP (London office), counsel for the Euro/Sterling Borrower, Baker &amp; McKenzie LLP (Sydney office), counsel for the Australian Borrower, Lawson &amp; Lundell LLP, counsel for Matrix Service Canada ULC, an Alberta unlimited liability company and Stewart McKelvey, counsel for Matrix SME Canada ULC, a Nova Scotia unlimited liability company, in each case, in form and substance satisfactory to the Administrative Agent. The Company hereby requests such counsel to deliver such opinion.</w:t>
      </w:r>
    </w:p>
    <w:p>
      <w:pPr>
        <w:spacing w:after="0" w:line="228" w:lineRule="exact"/>
        <w:rPr>
          <w:rFonts w:ascii="Arial" w:cs="Arial" w:eastAsia="Arial" w:hAnsi="Arial"/>
          <w:sz w:val="22"/>
          <w:szCs w:val="22"/>
          <w:color w:val="auto"/>
        </w:rPr>
      </w:pPr>
    </w:p>
    <w:p>
      <w:pPr>
        <w:jc w:val="both"/>
        <w:ind w:firstLine="656"/>
        <w:spacing w:after="0" w:line="263" w:lineRule="auto"/>
        <w:tabs>
          <w:tab w:leader="none" w:pos="107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Administrative Agent shall have received all fees and other amounts due and payable on or prior to the Effective Date, including but not limited to to the extent invoiced, reimbursement or payment of all out-of-pocket expenses required to be reimbursed or paid by the Borrowers hereunder, all fees previously agreed to be paid to the Administrative Agent, to any of the Lenders and to JPMorgan Chase as Sole Bookrunner and Sole Lead Arranger prior to or on the Effective Date and all fees due and payable to the lenders under the Existing Credit Agreement.</w:t>
      </w:r>
    </w:p>
    <w:p>
      <w:pPr>
        <w:spacing w:after="0" w:line="202" w:lineRule="exact"/>
        <w:rPr>
          <w:rFonts w:ascii="Arial" w:cs="Arial" w:eastAsia="Arial" w:hAnsi="Arial"/>
          <w:sz w:val="21"/>
          <w:szCs w:val="21"/>
          <w:color w:val="auto"/>
        </w:rPr>
      </w:pPr>
    </w:p>
    <w:p>
      <w:pPr>
        <w:ind w:firstLine="656"/>
        <w:spacing w:after="0" w:line="263" w:lineRule="auto"/>
        <w:tabs>
          <w:tab w:leader="none" w:pos="116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Administrative Agent shall have received payment of all accrued and unpaid interest on the loans outstanding under the Existing Credit Agreement up to the Effective Date.</w:t>
      </w:r>
    </w:p>
    <w:p>
      <w:pPr>
        <w:spacing w:after="0" w:line="215" w:lineRule="exact"/>
        <w:rPr>
          <w:rFonts w:ascii="Arial" w:cs="Arial" w:eastAsia="Arial" w:hAnsi="Arial"/>
          <w:sz w:val="22"/>
          <w:szCs w:val="22"/>
          <w:color w:val="auto"/>
        </w:rPr>
      </w:pPr>
    </w:p>
    <w:p>
      <w:pPr>
        <w:jc w:val="both"/>
        <w:ind w:firstLine="656"/>
        <w:spacing w:after="0" w:line="259" w:lineRule="auto"/>
        <w:tabs>
          <w:tab w:leader="none" w:pos="115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 The Administrative Agent shall have received all documentation and other information required by regulatory authorities under applicable “know your customer” rules and regulations, including the Patriot Act, that has been reasonably requested in writing at least three (3) Business Days prior to the Effective Date by the Lenders and (ii) to the extent a Borrower qualifies as a “legal entity customer” under the Beneficial Ownership Regulation, at least five days prior to the Effective Date, any Lender that has requested, in a written notice to the Company at least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10" w:lineRule="exact"/>
        <w:rPr>
          <w:rFonts w:ascii="Arial" w:cs="Arial" w:eastAsia="Arial" w:hAnsi="Arial"/>
          <w:sz w:val="21"/>
          <w:szCs w:val="21"/>
          <w:color w:val="auto"/>
        </w:rPr>
      </w:pPr>
    </w:p>
    <w:p>
      <w:pPr>
        <w:jc w:val="both"/>
        <w:ind w:firstLine="656"/>
        <w:spacing w:after="0" w:line="253" w:lineRule="auto"/>
        <w:tabs>
          <w:tab w:leader="none" w:pos="119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consents, authorizations and approvals of, and filings and registrations with, and all other actions in respect of, any Governmental Authority or other Person required in connection with the making of the Loans or the conduct of the Borrowers’ business shall have been obtained and shall be in full force and effect.</w:t>
      </w:r>
    </w:p>
    <w:p>
      <w:pPr>
        <w:spacing w:after="0" w:line="212" w:lineRule="exact"/>
        <w:rPr>
          <w:rFonts w:ascii="Arial" w:cs="Arial" w:eastAsia="Arial" w:hAnsi="Arial"/>
          <w:sz w:val="22"/>
          <w:szCs w:val="22"/>
          <w:color w:val="auto"/>
        </w:rPr>
      </w:pPr>
    </w:p>
    <w:p>
      <w:pPr>
        <w:ind w:left="1180" w:hanging="524"/>
        <w:spacing w:after="0"/>
        <w:tabs>
          <w:tab w:leader="none" w:pos="11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other documents and instruments as it or its counsel may have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requested.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7" w:right="339" w:bottom="1440" w:gutter="0" w:footer="0" w:header="0"/>
        </w:sectPr>
      </w:pPr>
    </w:p>
    <w:bookmarkStart w:id="138" w:name="page139"/>
    <w:bookmarkEnd w:id="138"/>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Revolving Loan on the occasion of any Revolving Borrowing, and of the Issuing Bank to issue, amend, renew or extend any Letter of Credit, is subject to the satisfaction of the following conditions:</w:t>
      </w:r>
    </w:p>
    <w:p>
      <w:pPr>
        <w:jc w:val="both"/>
        <w:ind w:firstLine="656"/>
        <w:spacing w:after="0" w:line="244" w:lineRule="auto"/>
        <w:tabs>
          <w:tab w:leader="none" w:pos="121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Borrowers set forth in this Agreement shall be true and correct in all material respects on and as of the date of such Revolving Borrowing or the date of issuance, amendment, renewal or extension of such Letter of Credit, as applicable, except to the extent limited to a specific prior date or incorrect as a result of transactions permitted under the Loan Documents.</w:t>
      </w:r>
    </w:p>
    <w:p>
      <w:pPr>
        <w:spacing w:after="0" w:line="222" w:lineRule="exact"/>
        <w:rPr>
          <w:rFonts w:ascii="Arial" w:cs="Arial" w:eastAsia="Arial" w:hAnsi="Arial"/>
          <w:sz w:val="22"/>
          <w:szCs w:val="22"/>
          <w:color w:val="auto"/>
        </w:rPr>
      </w:pPr>
    </w:p>
    <w:p>
      <w:pPr>
        <w:ind w:firstLine="656"/>
        <w:spacing w:after="0" w:line="287" w:lineRule="auto"/>
        <w:tabs>
          <w:tab w:leader="none" w:pos="124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Revolving Borrowing or the issuance, amendment, renewal or extension of such Letter of Credit, as applicable, no Default shall have occurred and be continuing.</w:t>
      </w:r>
    </w:p>
    <w:p>
      <w:pPr>
        <w:spacing w:after="0" w:line="178" w:lineRule="exact"/>
        <w:rPr>
          <w:rFonts w:ascii="Arial" w:cs="Arial" w:eastAsia="Arial" w:hAnsi="Arial"/>
          <w:sz w:val="21"/>
          <w:szCs w:val="21"/>
          <w:color w:val="auto"/>
        </w:rPr>
      </w:pPr>
    </w:p>
    <w:p>
      <w:pPr>
        <w:jc w:val="both"/>
        <w:ind w:firstLine="656"/>
        <w:spacing w:after="0" w:line="294" w:lineRule="auto"/>
        <w:tabs>
          <w:tab w:leader="none" w:pos="115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With respect to any Borrowing Request for a Revolving Loan submitted after the delivery by the Borrowers to the Administrative Agent of a Compliance Certificate in which the Fixed Charge Coverage Ratio was calculated giving effect to the first part of clause (b) of the numerator thereof because no Loans were outstanding on the last day of the applicable four fiscal quarters, the Company shall deliver a certificate of a Financial Officer setting forth the calculation of the Fixed Charge Coverage Ratio for the same period as the period of calculation used in such Compliance Certificate, pro forma as if Loans had been outstanding on the last day of such period and reflecting compliance with Section 6.13 for such period.</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Each Revolving Borrowing and each issuance, amendment, renewal or extension of a Letter of Credit shall be deemed to constitute a representation and warranty by the Borrowers on the date thereof as to the matters specified in paragraphs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w:t>
      </w:r>
    </w:p>
    <w:p>
      <w:pPr>
        <w:spacing w:after="0" w:line="1"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22"/>
          <w:szCs w:val="22"/>
          <w:u w:val="single" w:color="auto"/>
          <w:color w:val="auto"/>
        </w:rPr>
      </w:pPr>
      <w:r>
        <w:rPr>
          <w:rFonts w:ascii="Arial" w:cs="Arial" w:eastAsia="Arial" w:hAnsi="Arial"/>
          <w:sz w:val="22"/>
          <w:szCs w:val="22"/>
          <w:color w:val="auto"/>
        </w:rPr>
        <w:t>of this Section.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Until the Revolving Commitments have expired or been terminated and the principal of and interest on each Loan and all fees payable hereunder shall have been paid in full and all Letters of Credit shall have expired or terminated and all LC Disbursements shall have been reimbursed, each Borrower covenants and agrees with the Lenders that: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Other Information</w:t>
      </w:r>
      <w:r>
        <w:rPr>
          <w:rFonts w:ascii="Arial" w:cs="Arial" w:eastAsia="Arial" w:hAnsi="Arial"/>
          <w:sz w:val="19"/>
          <w:szCs w:val="19"/>
          <w:color w:val="auto"/>
        </w:rPr>
        <w:t>. The Company will furnish to the Administrative Agent and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229" w:lineRule="exact"/>
        <w:rPr>
          <w:sz w:val="20"/>
          <w:szCs w:val="20"/>
          <w:color w:val="auto"/>
        </w:rPr>
      </w:pPr>
    </w:p>
    <w:p>
      <w:pPr>
        <w:jc w:val="both"/>
        <w:ind w:firstLine="656"/>
        <w:spacing w:after="0" w:line="247" w:lineRule="auto"/>
        <w:tabs>
          <w:tab w:leader="none" w:pos="110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Within ninety (90) days after the close of each of its fiscal years, copies of the audited consolidated balance sheets of the Company and its Subsidiaries as at the end of such fiscal year, together with the related audited consolidated statements of income and statements of comprehensive income, statements of cash flows and statements of changes in stockholders’ equity for such fiscal year, and the notes thereto, all in reasonable detail, setting forth in each case in comparative form the audited consolidated figures as of the end of and for the previous fiscal year, in reasonable detail and prepared in accordance with Agreement Accounting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line="289" w:lineRule="auto"/>
        <w:rPr>
          <w:sz w:val="20"/>
          <w:szCs w:val="20"/>
          <w:color w:val="auto"/>
        </w:rPr>
      </w:pPr>
      <w:r>
        <w:rPr>
          <w:rFonts w:ascii="Arial" w:cs="Arial" w:eastAsia="Arial" w:hAnsi="Arial"/>
          <w:sz w:val="19"/>
          <w:szCs w:val="19"/>
          <w:color w:val="auto"/>
        </w:rPr>
        <w:t>Principles, and accompanied by a report and opinion of an independent certified public accountant reasonably acceptable to the Lenders which report and opinion shall be prepared in accordance with generally accepted auditing standards and shall be unqualified (except for qualifications relating to changes in accounting principles or practices reflecting changes in generally accepted accounting principles and required or approved by the Company’s independent certified public accountants) and not subject to any “going concern” or like qualification or exception and shall state that such consolidated financial statements present fairly, in all material respects, the consolidated financial position of the Company and Subsidiaries as at the end of such fiscal year and their consolidated results of operations and cash flows for such fiscal year in conformity with Agreement Accounting Principles (or words substantially similar to the foregoing) and that the examination by such accountants in connection with such consolidated financial statements has been made in accordance with generally accepted auditing standards.</w:t>
      </w:r>
    </w:p>
    <w:p>
      <w:pPr>
        <w:spacing w:after="0" w:line="184" w:lineRule="exact"/>
        <w:rPr>
          <w:sz w:val="20"/>
          <w:szCs w:val="20"/>
          <w:color w:val="auto"/>
        </w:rPr>
      </w:pPr>
    </w:p>
    <w:p>
      <w:pPr>
        <w:jc w:val="both"/>
        <w:ind w:firstLine="656"/>
        <w:spacing w:after="0" w:line="287" w:lineRule="auto"/>
        <w:tabs>
          <w:tab w:leader="none" w:pos="118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Within forty-five (45) days after the end of the first three fiscal quarters of the Company’s fiscal year, condensed consolidated balance sheets of the Company and Subsidiaries as at the end of such fiscal quarter, the related condensed consolidated statements of income and the related condensed consolidated statements of comprehensive income, each for such fiscal quarter and for the portion of the fiscal year then ended and each setting forth in comparative form the consolidated figures for the corresponding fiscal quarter of the previous fiscal year and the corresponding portion of the previous fiscal year, and the related condensed consolidated statements of cash flows for the portion of the Company’s fiscal year then ended and the related condensed consolidated statements of changes in stockholders' equity for the portion of the Company’s fiscal year then ended and in each case setting forth in comparative form the consolidated figures for the corresponding portion of the previous fiscal year, all in reasonable detail and certified by a Financial Officer of the Company as fairly presenting the financial condition, results of operations, cash flows and changes in stockholders’ equity of the Company and its Subsidiaries in accordance with Agreement Accounting Principles, subject only to normal year-end audit adjustments and the absence of footnotes.</w:t>
      </w:r>
    </w:p>
    <w:p>
      <w:pPr>
        <w:spacing w:after="0" w:line="190" w:lineRule="exact"/>
        <w:rPr>
          <w:rFonts w:ascii="Arial" w:cs="Arial" w:eastAsia="Arial" w:hAnsi="Arial"/>
          <w:sz w:val="19"/>
          <w:szCs w:val="19"/>
          <w:color w:val="auto"/>
        </w:rPr>
      </w:pPr>
    </w:p>
    <w:p>
      <w:pPr>
        <w:jc w:val="both"/>
        <w:ind w:firstLine="656"/>
        <w:spacing w:after="0" w:line="263" w:lineRule="auto"/>
        <w:tabs>
          <w:tab w:leader="none" w:pos="132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Together with the financial statements required under </w:t>
      </w:r>
      <w:r>
        <w:rPr>
          <w:rFonts w:ascii="Arial" w:cs="Arial" w:eastAsia="Arial" w:hAnsi="Arial"/>
          <w:sz w:val="21"/>
          <w:szCs w:val="21"/>
          <w:u w:val="single" w:color="auto"/>
          <w:color w:val="auto"/>
        </w:rPr>
        <w:t>Sections 5.01(a)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 compliance certificate in substantially the form of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signed by its chief financial officer showing the calculations necessary to determine compliance with this Agreement (including without limitation all the calculations specified in </w:t>
      </w:r>
      <w:r>
        <w:rPr>
          <w:rFonts w:ascii="Arial" w:cs="Arial" w:eastAsia="Arial" w:hAnsi="Arial"/>
          <w:sz w:val="21"/>
          <w:szCs w:val="21"/>
          <w:u w:val="single" w:color="auto"/>
          <w:color w:val="auto"/>
        </w:rPr>
        <w:t>Exhibit H</w:t>
      </w:r>
      <w:r>
        <w:rPr>
          <w:rFonts w:ascii="Arial" w:cs="Arial" w:eastAsia="Arial" w:hAnsi="Arial"/>
          <w:sz w:val="21"/>
          <w:szCs w:val="21"/>
          <w:color w:val="auto"/>
        </w:rPr>
        <w:t>) and stating that no Default or Event of Default exists, or if any Default or Event of Default exists, stating the nature and status thereof and the action the Company has taken, is taking, or proposes to take in respect thereto (a “</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w:t>
      </w:r>
    </w:p>
    <w:p>
      <w:pPr>
        <w:spacing w:after="0" w:line="202" w:lineRule="exact"/>
        <w:rPr>
          <w:rFonts w:ascii="Arial" w:cs="Arial" w:eastAsia="Arial" w:hAnsi="Arial"/>
          <w:sz w:val="21"/>
          <w:szCs w:val="21"/>
          <w:color w:val="auto"/>
        </w:rPr>
      </w:pPr>
    </w:p>
    <w:p>
      <w:pPr>
        <w:jc w:val="both"/>
        <w:ind w:firstLine="656"/>
        <w:spacing w:after="0" w:line="248" w:lineRule="auto"/>
        <w:tabs>
          <w:tab w:leader="none" w:pos="117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As soon as possible and in any event within ten (10) days after receipt by the Company, a copy of any notice or claim to the effect that the Company or any of its Subsidiaries is or may be liable to any Person as a result of the release by the Company, any of its Subsidiaries, or any other Person of any Hazardous Material into the environment, and any notice alleging any violation of any Environmental Law by the Company or any of its Subsidiaries which, in either case,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7" w:right="339" w:bottom="1440" w:gutter="0" w:footer="0" w:header="0"/>
        </w:sectPr>
      </w:pPr>
    </w:p>
    <w:bookmarkStart w:id="140" w:name="page141"/>
    <w:bookmarkEnd w:id="140"/>
    <w:p>
      <w:pPr>
        <w:spacing w:after="0" w:line="231" w:lineRule="exact"/>
        <w:rPr>
          <w:sz w:val="20"/>
          <w:szCs w:val="20"/>
          <w:color w:val="auto"/>
        </w:rPr>
      </w:pPr>
    </w:p>
    <w:p>
      <w:pPr>
        <w:ind w:firstLine="656"/>
        <w:spacing w:after="0" w:line="251" w:lineRule="auto"/>
        <w:tabs>
          <w:tab w:leader="none" w:pos="11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Promptly upon the furnishing thereof to the shareholders of the Company, copies of all financial statements, reports and proxy statements so furnished, if not previously delivered to the Administrative Agent.</w:t>
      </w:r>
    </w:p>
    <w:p>
      <w:pPr>
        <w:spacing w:after="0" w:line="1" w:lineRule="exact"/>
        <w:rPr>
          <w:rFonts w:ascii="Arial" w:cs="Arial" w:eastAsia="Arial" w:hAnsi="Arial"/>
          <w:sz w:val="22"/>
          <w:szCs w:val="22"/>
          <w:color w:val="auto"/>
        </w:rPr>
      </w:pPr>
    </w:p>
    <w:p>
      <w:pPr>
        <w:ind w:firstLine="656"/>
        <w:spacing w:after="0" w:line="246" w:lineRule="auto"/>
        <w:tabs>
          <w:tab w:leader="none" w:pos="108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Promptly upon the filing thereof, copies of all annual, quarterly, monthly or other regular reports which the Company or any of its Subsidiaries files with the SEC, if not previously delivered to the Administrative Agent.</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1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Promptly following any request therefor, a bonding report as of a date no earlier than the last day of the fiscal quarter showing, as to all bonds to which the Company or any Subsidiary is a party, the following: the identity of the principal, the identity of the obligee, a description of the applicable project, the type of bond, the amount of the bond, the premium paid for the bond, and the effective date and expiration date of the bond, and such other information regarding such bonds as reasonably requested by the Administrative Agent or any Lender.</w:t>
      </w:r>
    </w:p>
    <w:p>
      <w:pPr>
        <w:spacing w:after="0" w:line="218" w:lineRule="exact"/>
        <w:rPr>
          <w:rFonts w:ascii="Arial" w:cs="Arial" w:eastAsia="Arial" w:hAnsi="Arial"/>
          <w:sz w:val="22"/>
          <w:szCs w:val="22"/>
          <w:color w:val="auto"/>
        </w:rPr>
      </w:pPr>
    </w:p>
    <w:p>
      <w:pPr>
        <w:ind w:firstLine="656"/>
        <w:spacing w:after="0" w:line="263" w:lineRule="auto"/>
        <w:tabs>
          <w:tab w:leader="none" w:pos="117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Within ninety (90) days after the end of the Company’s fiscal year, financial projections for the Company and the Subsidiaries on a consolidated basis, for the next fiscal year.</w:t>
      </w:r>
    </w:p>
    <w:p>
      <w:pPr>
        <w:spacing w:after="0" w:line="215" w:lineRule="exact"/>
        <w:rPr>
          <w:rFonts w:ascii="Arial" w:cs="Arial" w:eastAsia="Arial" w:hAnsi="Arial"/>
          <w:sz w:val="22"/>
          <w:szCs w:val="22"/>
          <w:color w:val="auto"/>
        </w:rPr>
      </w:pPr>
    </w:p>
    <w:p>
      <w:pPr>
        <w:jc w:val="both"/>
        <w:ind w:firstLine="656"/>
        <w:spacing w:after="0" w:line="263" w:lineRule="auto"/>
        <w:tabs>
          <w:tab w:leader="none" w:pos="114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Promptly following any request therefor, (x) such other information regarding the operations, business affairs and financial condition of the Company or any Subsidiary, or compliance with the terms of this Agreement, as the Administrative Agent or any Lender may reasonably request and (y) information and documentation reasonably requested by Administrative Agent or any Lender for purpose of compliance with applicable “know your customer” and anti-money laundering rules and regulations, including the Patriot Act and the Beneficial Ownership Regulation.</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on which the Company posts such documents, or provides a link thereto on the Company’s website on the Internet at http://matrixservice.com/InvestorSECFiling.asp; or on which such documents are posted on the Company’s behalf on the SEC’s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Company shall deliver paper copies of such documents to the Administrative Agent or any Lender that requests the Company to deliver such paper copies and (y) the Company shall notify (which may be by facsimile or electronic mail) the Administrative Agent (and the Administrative Agent shall promptly notify the Lenders thereof) of the posting of any such documents and provide to the Administrative Agent (and the Administrative Agent shall promptly provide such documents to the Lenders) by electronic mail electronic versions (i.e., soft copies) of such documents.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Company will furnish to the Administrative Agent and each Lender prompt written notice of the following:</w:t>
      </w:r>
    </w:p>
    <w:p>
      <w:pPr>
        <w:spacing w:after="0" w:line="20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40" w:right="339" w:bottom="1440" w:gutter="0" w:footer="0" w:header="0"/>
        </w:sectPr>
      </w:pPr>
    </w:p>
    <w:bookmarkStart w:id="141" w:name="page142"/>
    <w:bookmarkEnd w:id="141"/>
    <w:p>
      <w:pPr>
        <w:jc w:val="both"/>
        <w:ind w:firstLine="656"/>
        <w:spacing w:after="0" w:line="249" w:lineRule="auto"/>
        <w:tabs>
          <w:tab w:leader="none" w:pos="11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ind w:firstLine="656"/>
        <w:spacing w:after="0" w:line="246" w:lineRule="auto"/>
        <w:tabs>
          <w:tab w:leader="none" w:pos="121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delivered to such Lender that would result in a change to the list of beneficial owners identified in such certification;</w:t>
      </w:r>
    </w:p>
    <w:p>
      <w:pPr>
        <w:spacing w:after="0" w:line="219" w:lineRule="exact"/>
        <w:rPr>
          <w:rFonts w:ascii="Arial" w:cs="Arial" w:eastAsia="Arial" w:hAnsi="Arial"/>
          <w:sz w:val="22"/>
          <w:szCs w:val="22"/>
          <w:color w:val="auto"/>
        </w:rPr>
      </w:pPr>
    </w:p>
    <w:p>
      <w:pPr>
        <w:ind w:firstLine="656"/>
        <w:spacing w:after="0" w:line="263" w:lineRule="auto"/>
        <w:tabs>
          <w:tab w:leader="none" w:pos="115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a Material Adverse Effect; and</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2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notice delivered under this Section shall be in writing and shall be accompanied by a statement of a Financial Officer or other Authorized Officer of the Company setting forth the details of the event or development requiring such notice and any action taken or proposed to be taken with respect thereto.</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w:t>
      </w:r>
      <w:r>
        <w:rPr>
          <w:rFonts w:ascii="Arial" w:cs="Arial" w:eastAsia="Arial" w:hAnsi="Arial"/>
          <w:sz w:val="21"/>
          <w:szCs w:val="21"/>
          <w:u w:val="single" w:color="auto"/>
          <w:color w:val="auto"/>
        </w:rPr>
        <w:t>Section 6.03</w:t>
      </w:r>
      <w:r>
        <w:rPr>
          <w:rFonts w:ascii="Arial" w:cs="Arial" w:eastAsia="Arial" w:hAnsi="Arial"/>
          <w:sz w:val="21"/>
          <w:szCs w:val="21"/>
          <w:color w:val="auto"/>
        </w:rPr>
        <w: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The Company will, and will cause each of its Subsidiaries to, pay its obligations, including Tax liabilities, that, if not paid, could result in a Material Adverse Effect before the same shall become delinquent or in default, except where the validity or amount thereof is being contested in good faith by appropriate proceedings, the Company or such Subsidiary has set aside on its books adequate reserves with respect thereto in accordance with Agreement Accounting Principles and the failure to make payment pending such contest could not reasonably be expected to result in a Material Adverse Effect.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Maintenance of Properties; Insurance</w:t>
      </w:r>
      <w:r>
        <w:rPr>
          <w:rFonts w:ascii="Arial" w:cs="Arial" w:eastAsia="Arial" w:hAnsi="Arial"/>
          <w:sz w:val="21"/>
          <w:szCs w:val="21"/>
          <w:color w:val="auto"/>
        </w:rPr>
        <w:t xml:space="preserve">. The Company will, and will cause each of its Subsidiaries to, keep and maintain all property material to the conduct of its business in good working order and condition, ordinary wear and tear excepted, and maintain, with financially sound and reputable insurance companies, insurance in such amounts and against such risks as are customarily maintained by companies engaged in the same or similar businesses operating in the same or similar locations, and the Company will furnish to any Lender upon request full information as to all insurance carried. </w:t>
      </w:r>
      <w:r>
        <w:rPr>
          <w:rFonts w:ascii="Arial" w:cs="Arial" w:eastAsia="Arial" w:hAnsi="Arial"/>
          <w:sz w:val="18"/>
          <w:szCs w:val="18"/>
          <w:color w:val="auto"/>
        </w:rPr>
        <w:t>With respect to</w:t>
      </w:r>
      <w:r>
        <w:rPr>
          <w:rFonts w:ascii="Arial" w:cs="Arial" w:eastAsia="Arial" w:hAnsi="Arial"/>
          <w:sz w:val="21"/>
          <w:szCs w:val="21"/>
          <w:color w:val="auto"/>
        </w:rPr>
        <w:t xml:space="preserve"> </w:t>
      </w:r>
      <w:r>
        <w:rPr>
          <w:rFonts w:ascii="Arial" w:cs="Arial" w:eastAsia="Arial" w:hAnsi="Arial"/>
          <w:sz w:val="18"/>
          <w:szCs w:val="18"/>
          <w:color w:val="auto"/>
        </w:rPr>
        <w:t xml:space="preserve">each Mortgaged Property that is located in an area identified by the Federal Emergency Management Agency (or any successor agency) as a “special flood hazard area” with respect to which flood </w:t>
      </w:r>
      <w:r>
        <w:rPr>
          <w:rFonts w:ascii="Arial" w:cs="Arial" w:eastAsia="Arial" w:hAnsi="Arial"/>
          <w:sz w:val="20"/>
          <w:szCs w:val="20"/>
          <w:color w:val="auto"/>
        </w:rPr>
        <w:t>insurance has been made available under Flood Insurance Laws, the Company</w:t>
      </w:r>
      <w:r>
        <w:rPr>
          <w:rFonts w:ascii="Arial" w:cs="Arial" w:eastAsia="Arial" w:hAnsi="Arial"/>
          <w:sz w:val="18"/>
          <w:szCs w:val="18"/>
          <w:color w:val="auto"/>
        </w:rPr>
        <w:t xml:space="preserve"> </w:t>
      </w:r>
      <w:r>
        <w:rPr>
          <w:rFonts w:ascii="Arial" w:cs="Arial" w:eastAsia="Arial" w:hAnsi="Arial"/>
          <w:sz w:val="20"/>
          <w:szCs w:val="20"/>
          <w:color w:val="auto"/>
        </w:rPr>
        <w:t>or its applicable Subsidiary has obtained and will maintain, with financially sound and reputable insurance companies (except to the extent that 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7" w:right="339" w:bottom="1440" w:gutter="0" w:footer="0" w:header="0"/>
        </w:sectPr>
      </w:pPr>
    </w:p>
    <w:bookmarkStart w:id="142" w:name="page143"/>
    <w:bookmarkEnd w:id="142"/>
    <w:p>
      <w:pPr>
        <w:jc w:val="both"/>
        <w:spacing w:after="0" w:line="259" w:lineRule="auto"/>
        <w:rPr>
          <w:sz w:val="20"/>
          <w:szCs w:val="20"/>
          <w:color w:val="auto"/>
        </w:rPr>
      </w:pPr>
      <w:r>
        <w:rPr>
          <w:rFonts w:ascii="Arial" w:cs="Arial" w:eastAsia="Arial" w:hAnsi="Arial"/>
          <w:sz w:val="21"/>
          <w:szCs w:val="21"/>
          <w:color w:val="auto"/>
        </w:rPr>
        <w:t>insurance company insuring the Mortgaged Property ceases to be financially sound and reputable, in which case, the Company shall (or shall cause its applicable to Subsidiary) to promptly replace such insurance company with a financially sound and reputable insurance company), such flood insurance in such reasonable total amount as the Administrative Agent and the Impacted Lender may from time to time reasonably require, and otherwise sufficient to comply with all applicable rules and regulations promulgated pursuant to the Flood Insurance Laws and promptly upon request of the Administrative Agent or the Impacted Lender, will deliver to the Administrative Agent or the Impacted Lender, as applicable, evidence of such compliance in form and substance reasonably acceptable to the Administrative Agent and the Impacted Lender, including, without limitation, evidence of annual renewals of such insurance.</w:t>
      </w:r>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or any Lender, upon reasonable prior notice, to audit, visit and inspect its properties, to examine and make extracts from its books and records, and to discuss its affairs, finances and condition with its officers and independent accountants, all at such reasonable times and as often as reasonably requested. The Company will, and will cause each of its Subsidiaries to, maintain at all times books and records pertaining to the Collateral in such detail, form and scope as the Administrative Agent or any Lender shall reasonably require.</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Proceeds and Letters of Credit</w:t>
      </w:r>
      <w:r>
        <w:rPr>
          <w:rFonts w:ascii="Arial" w:cs="Arial" w:eastAsia="Arial" w:hAnsi="Arial"/>
          <w:sz w:val="19"/>
          <w:szCs w:val="19"/>
          <w:color w:val="auto"/>
        </w:rPr>
        <w:t>. The proceeds of the Loans will be used only to fund working capital needs, Capital Expenditures, Acquisitions, issuance of letters of credit and for general corporate purposes of the Company and its Subsidiaries in the ordinary course of business. No part of the proceeds of any Loan will be used, whether directly or indirectly, for any purpose that entails a violation of any of the Regulations of the Board, including Regulations T, U and X. Letters of Credit will be issued only to support the working capital needs and general corporate obligations of the Company and its Subsidiaries. The Borrowers will not request any Borrowing or Letter of Credit, and each Borrower shall not use, and shall ensure that its Subsidiaries and its and their respective directors, officers, employees and agents shall not use, the proceeds of any Borrowing or Letter of Credit in furtherance of an offer, payment, promise to pay, or authorization of the payment or giving of money, or anything else of value, to any Person in violation of any Anti-Corruption Laws, for the purpose of funding, financing or facilitating any activities, business or transaction of or with any Sanctioned Person, or in any Sanctioned Country, or in any manner that would result in the violation of any Sanctions applicable to any party hereto.</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7" w:right="339" w:bottom="1440" w:gutter="0" w:footer="0" w:header="0"/>
        </w:sectPr>
      </w:pPr>
    </w:p>
    <w:bookmarkStart w:id="143" w:name="page144"/>
    <w:bookmarkEnd w:id="143"/>
    <w:p>
      <w:pPr>
        <w:spacing w:after="0" w:line="231" w:lineRule="exact"/>
        <w:rPr>
          <w:sz w:val="20"/>
          <w:szCs w:val="20"/>
          <w:color w:val="auto"/>
        </w:rPr>
      </w:pPr>
    </w:p>
    <w:p>
      <w:pPr>
        <w:ind w:left="652"/>
        <w:spacing w:after="0"/>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Additional Subsidiaries; Subsidiary Guarantors</w:t>
      </w:r>
      <w:r>
        <w:rPr>
          <w:rFonts w:ascii="Arial" w:cs="Arial" w:eastAsia="Arial" w:hAnsi="Arial"/>
          <w:sz w:val="22"/>
          <w:szCs w:val="22"/>
          <w:color w:val="auto"/>
        </w:rPr>
        <w:t>.</w:t>
      </w:r>
    </w:p>
    <w:p>
      <w:pPr>
        <w:spacing w:after="0" w:line="247" w:lineRule="exact"/>
        <w:rPr>
          <w:sz w:val="20"/>
          <w:szCs w:val="20"/>
          <w:color w:val="auto"/>
        </w:rPr>
      </w:pPr>
    </w:p>
    <w:p>
      <w:pPr>
        <w:jc w:val="both"/>
        <w:ind w:left="-8" w:firstLine="656"/>
        <w:spacing w:after="0" w:line="294" w:lineRule="auto"/>
        <w:tabs>
          <w:tab w:leader="none" w:pos="110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Within thirty (30) days after the date that any Person becomes a Subsidiary, the Company shall provide notice to the Administrative Agent, which notice shall be accompanied by a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prepared by the Company and containing the information necessary to cause the representations and warranties of the Company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this Agreement to be true and correct in all material respects on and as of the date of delivery thereof to the Administrative Agent.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shall be replaced by any such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and this Agreement shall be amended accordingly, upon approval of such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by the Administrative Agent, notwithstanding any contrary provision of this Agreement.</w:t>
      </w:r>
    </w:p>
    <w:p>
      <w:pPr>
        <w:spacing w:after="0" w:line="176" w:lineRule="exact"/>
        <w:rPr>
          <w:rFonts w:ascii="Arial" w:cs="Arial" w:eastAsia="Arial" w:hAnsi="Arial"/>
          <w:sz w:val="19"/>
          <w:szCs w:val="19"/>
          <w:color w:val="auto"/>
        </w:rPr>
      </w:pPr>
    </w:p>
    <w:p>
      <w:pPr>
        <w:ind w:left="-8" w:firstLine="656"/>
        <w:spacing w:after="0" w:line="263" w:lineRule="auto"/>
        <w:tabs>
          <w:tab w:leader="none" w:pos="120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Subject to the time periods set forth below, the Company shall at all times cause all Material Subsidiaries to be Subsidiary Guarantors.</w:t>
      </w:r>
    </w:p>
    <w:p>
      <w:pPr>
        <w:spacing w:after="0" w:line="215" w:lineRule="exact"/>
        <w:rPr>
          <w:rFonts w:ascii="Arial" w:cs="Arial" w:eastAsia="Arial" w:hAnsi="Arial"/>
          <w:sz w:val="22"/>
          <w:szCs w:val="22"/>
          <w:color w:val="auto"/>
        </w:rPr>
      </w:pPr>
    </w:p>
    <w:p>
      <w:pPr>
        <w:jc w:val="both"/>
        <w:ind w:left="-8" w:firstLine="656"/>
        <w:spacing w:after="0" w:line="257" w:lineRule="auto"/>
        <w:tabs>
          <w:tab w:leader="none" w:pos="1099"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Within forty-five (45) days (or such later period as may be agreed by the Administrative Agent up to thirty (30) days after the end of such forty-five (45) day period) after the Company acquires or creates a new Subsidiary, to the extent that such Subsidiary is a Material Subsidiary, or any Subsidiary ceases to be an Immaterial Subsidiary, the Company shall cause such Subsidiary to become a Subsidiary Guarantor by delivering a duly executed supplement to the applicable Subsidiary Guaranty or such other document as the Administrative Agent shall deem appropriate for such purpose, grant a security interest in all Collateral (subject to the exceptions set forth in the applicable Collateral Documents) owned by such Subsidiary by delivering to the Administrative Agent a duly executed supplement to the applicable Collateral Documents or such other document as the Administrative Agent shall deem appropriate for such purpose and comply with the terms of each applicable Collateral Document, deliver to the Administrative Agent such documents and certificates referred to in </w:t>
      </w:r>
      <w:r>
        <w:rPr>
          <w:rFonts w:ascii="Arial" w:cs="Arial" w:eastAsia="Arial" w:hAnsi="Arial"/>
          <w:sz w:val="21"/>
          <w:szCs w:val="21"/>
          <w:u w:val="single" w:color="auto"/>
          <w:color w:val="auto"/>
        </w:rPr>
        <w:t>Section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(l)</w:t>
      </w:r>
      <w:r>
        <w:rPr>
          <w:rFonts w:ascii="Arial" w:cs="Arial" w:eastAsia="Arial" w:hAnsi="Arial"/>
          <w:sz w:val="21"/>
          <w:szCs w:val="21"/>
          <w:color w:val="auto"/>
        </w:rPr>
        <w:t>, in each case, as may be reasonably requested by the Administrative Agent, to the extent its parent entity is a Credit Party and its Equity Interests are certificated, deliver to the Administrative Agent such original certificated Equity Interests and stock or other transfer power in respect of such Equity Interests and deliver to the Administrative Agent such other documents as may be reasonably requested by the Administrative Agent, all in form, content and scope reasonably satisfactory to the Administrative Agent.</w:t>
      </w:r>
    </w:p>
    <w:p>
      <w:pPr>
        <w:spacing w:after="0" w:line="213" w:lineRule="exact"/>
        <w:rPr>
          <w:rFonts w:ascii="Arial" w:cs="Arial" w:eastAsia="Arial" w:hAnsi="Arial"/>
          <w:sz w:val="21"/>
          <w:szCs w:val="21"/>
          <w:color w:val="auto"/>
        </w:rPr>
      </w:pPr>
    </w:p>
    <w:p>
      <w:pPr>
        <w:jc w:val="both"/>
        <w:ind w:left="-8" w:firstLine="656"/>
        <w:spacing w:after="0" w:line="284" w:lineRule="auto"/>
        <w:tabs>
          <w:tab w:leader="none" w:pos="1282"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If as of the end of any fiscal quarter, the total assets of the Immaterial Subsidiaries that are not Subsidiary Guarantors exceed 10% of the consolidated total assets of the Company and all of its Subsidiaries as of the end of such fiscal quarter or the consolidated revenues of the Immaterial Subsidiaries that are not Subsidiary Guarantors for the three months ending on the last day of such fiscal quarter exceed 10% of the consolidated total revenues of the Company and all of its Subsidiaries for the same period, the Company shall provide notice to the Administrative Agent concurrently with the delivery of the financial statements and Compliance Certificate for such fiscal quarter and, within forty-five (45) days after such notice, cause one or more Immaterial Subsidiaries to become Subsidiary Guarantors and comply with the other provisions of paragraph</w:t>
      </w:r>
    </w:p>
    <w:p>
      <w:pPr>
        <w:spacing w:after="0" w:line="3" w:lineRule="exact"/>
        <w:rPr>
          <w:rFonts w:ascii="Arial" w:cs="Arial" w:eastAsia="Arial" w:hAnsi="Arial"/>
          <w:sz w:val="19"/>
          <w:szCs w:val="19"/>
          <w:color w:val="auto"/>
        </w:rPr>
      </w:pPr>
    </w:p>
    <w:p>
      <w:pPr>
        <w:ind w:left="-8" w:firstLine="8"/>
        <w:spacing w:after="0" w:line="246" w:lineRule="auto"/>
        <w:tabs>
          <w:tab w:leader="none" w:pos="325" w:val="left"/>
        </w:tabs>
        <w:numPr>
          <w:ilvl w:val="0"/>
          <w:numId w:val="126"/>
        </w:numPr>
        <w:rPr>
          <w:rFonts w:ascii="Arial" w:cs="Arial" w:eastAsia="Arial" w:hAnsi="Arial"/>
          <w:sz w:val="22"/>
          <w:szCs w:val="22"/>
          <w:u w:val="single" w:color="auto"/>
          <w:color w:val="auto"/>
        </w:rPr>
      </w:pPr>
      <w:r>
        <w:rPr>
          <w:rFonts w:ascii="Arial" w:cs="Arial" w:eastAsia="Arial" w:hAnsi="Arial"/>
          <w:sz w:val="22"/>
          <w:szCs w:val="22"/>
          <w:color w:val="auto"/>
        </w:rPr>
        <w:t>above such that, after giving effect thereto, both the total assets and consolidated revenues of all remaining Immaterial Subsidiaries that are not Subsidiary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1"/>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32"/>
          </w:cols>
          <w:pgMar w:left="328" w:top="1440" w:right="339" w:bottom="1440" w:gutter="0" w:footer="0" w:header="0"/>
        </w:sectPr>
      </w:pPr>
    </w:p>
    <w:bookmarkStart w:id="144" w:name="page145"/>
    <w:bookmarkEnd w:id="144"/>
    <w:p>
      <w:pPr>
        <w:jc w:val="both"/>
        <w:spacing w:after="0" w:line="343" w:lineRule="auto"/>
        <w:rPr>
          <w:sz w:val="20"/>
          <w:szCs w:val="20"/>
          <w:color w:val="auto"/>
        </w:rPr>
      </w:pPr>
      <w:r>
        <w:rPr>
          <w:rFonts w:ascii="Arial" w:cs="Arial" w:eastAsia="Arial" w:hAnsi="Arial"/>
          <w:sz w:val="19"/>
          <w:szCs w:val="19"/>
          <w:color w:val="auto"/>
        </w:rPr>
        <w:t>Guarantors are less than 10% of the consolidated total assets and consolidated total revenues (calculated as of the end of, and for the three months ending on, the last day of such fiscal quarter), respectively, of the Company and all of its Subsidiaries.</w:t>
      </w:r>
    </w:p>
    <w:p>
      <w:pPr>
        <w:spacing w:after="0" w:line="1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Collateral Records</w:t>
      </w:r>
      <w:r>
        <w:rPr>
          <w:rFonts w:ascii="Arial" w:cs="Arial" w:eastAsia="Arial" w:hAnsi="Arial"/>
          <w:sz w:val="19"/>
          <w:szCs w:val="19"/>
          <w:color w:val="auto"/>
        </w:rPr>
        <w:t>. The Company agrees to execute and deliver promptly, and to cause each other Credit Party to execute and deliver promptly, to the Administrative Agent, from time to time, solely for the Administrative Agent’s convenience in maintaining a record of the Collateral, such written statements and schedules as the Administrative Agent may reasonably require designating, identifying or describing the Collateral. The failure by the Company or any other Credit Party, however, to promptly give the Administrative Agent such statements or schedules shall not affect, diminish, modify or otherwise limit the Liens on the Collateral granted pursuant to the Collateral Documents.</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Security Interests</w:t>
      </w:r>
      <w:r>
        <w:rPr>
          <w:rFonts w:ascii="Arial" w:cs="Arial" w:eastAsia="Arial" w:hAnsi="Arial"/>
          <w:sz w:val="19"/>
          <w:szCs w:val="19"/>
          <w:color w:val="auto"/>
        </w:rPr>
        <w:t>. The Company shall, and shall cause each other Credit Party to, defend the Collateral against all claims and demands of all Persons at any time claiming the same or any interest therein. The Company shall, and shall cause each other Credit Party to, comply with the requirements of all state and federal laws in order to grant to the Administrative Agent valid and perfected first priority security interests in the Collateral, with perfection, in the case of any investment property or deposit account, being effected by giving the Administrative Agent control of such investment property or deposit account, rather than by the filing of a financing statement (under the UCC or PPSA) with respect to such investment property. The Administrative Agent is hereby authorized by the Company to file any financing statements (under the UCC or PPSA) covering the Collateral, including any financing statement describing the collateral as “all of the Debtor’s personal property” or “all of the Debtor’s assets”, notwithstanding that such wording may be broader in scope than the Collateral described in the applicable Collateral Documents. The Company shall, and shall cause each other Credit Party to, do whatever the Administrative Agent may reasonably request, from time to time, to effect the purposes of this Agreement and the other Loan Documents, including filing notices of liens, financing statements (under the UCC or PPSA), fixture filings and amendments, renewals and continuations thereof; cooperating with the Administrative Agent’s representatives; keeping stock records; obtaining waivers from landlords and mortgagees and from warehousemen and their landlords and mortgagees; and, paying claims which might, if unpaid, become a Lien on any of the Collateral. Without limitation of the foregoing, after the Effective Date the Company shall, and shall cause each other Credit Party to, execute and deliver such modifications to the Mortgages, and control agreements covering any demand, time, savings, passbook, or other similar deposit account maintained by the Company or any other Credit Party with any bank or other financial institution, countersigned by such bank or financial institution, in each case, as required by the Administrative Agent and in form acceptable to the Administrative Agent. Notwithstanding the foregoing, the Administrative Agent shall not enter into any Mortgage in respect of any real property acquired by the Company or any of its Subsidiaries until the Administrative Agent has received written confirmation from the Impacted Lender that flood insurance due diligence and flood insurance compliance has been completed by the Impacted Lender (such written confirmation not to be unreasonably conditioned, withheld or delayed). If the Impacted Lender has not informed the Administrative Agent and the Company of any outstanding flood diligence requirements by the date that is thirty (30) days after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92" w:lineRule="auto"/>
        <w:rPr>
          <w:sz w:val="20"/>
          <w:szCs w:val="20"/>
          <w:color w:val="auto"/>
        </w:rPr>
      </w:pPr>
      <w:r>
        <w:rPr>
          <w:rFonts w:ascii="Arial" w:cs="Arial" w:eastAsia="Arial" w:hAnsi="Arial"/>
          <w:sz w:val="19"/>
          <w:szCs w:val="19"/>
          <w:color w:val="auto"/>
        </w:rPr>
        <w:t>which the Administrative Agent made available to the Lenders (which may be delivered electronically) the following documents in respect of such real property: a completed flood hazard determination from a third party vendor; if such real property is located in a “special flood hazard area”, a notification to the Company of that fact and (if applicable) notification to the Company that flood insurance coverage is not available and evidence of the receipt by the Company of such notice; and if such notice is required to be provided to the Company and flood insurance is available in the community in which such real property is located, evidence of required flood insurance with respect to any such Mortgage, Impacted Lender will be deemed to have completed its flood insurance due diligence and flood insurance compliance and to have consented to such Mortgage.</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Canadian Benefit Plans</w:t>
      </w:r>
      <w:r>
        <w:rPr>
          <w:rFonts w:ascii="Arial" w:cs="Arial" w:eastAsia="Arial" w:hAnsi="Arial"/>
          <w:sz w:val="21"/>
          <w:szCs w:val="21"/>
          <w:color w:val="auto"/>
        </w:rPr>
        <w:t>. The Company shall perform, and shall cause its Subsidiaries to perform, all obligations (including fiduciary, funding, investment and administration obligations) required to be performed in connection with each Canadian Benefit Plan and the funding media therefor; make, and cause its Subsidiaries to make, all contributions and pay, and cause its Subsidiaries to pay, all premiums required to be made or paid by it or them in accordance with the terms of the plan and all applicable laws; and withhold, and cause its Subsidiaries to withhold, by way of authorized payroll deductions or otherwise collect and pay into the plan all employee contributions required to be withheld or collected in accordance with the terms of the plan and all applicable laws.</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Post-Closing Obligations</w:t>
      </w:r>
      <w:r>
        <w:rPr>
          <w:rFonts w:ascii="Arial" w:cs="Arial" w:eastAsia="Arial" w:hAnsi="Arial"/>
          <w:sz w:val="22"/>
          <w:szCs w:val="22"/>
          <w:color w:val="auto"/>
        </w:rPr>
        <w:t xml:space="preserve">. The Company shall deliver or cause to be delivered to the Administrative Agent each of the agreements, documents, instruments or certificates described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all in form and substance satisfactory to the Administrative Agent; perform each of the actions described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in a manner reasonably satisfactory to the Administrative Agent and cause all such matters described in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to be completed within the time periods set forth opposite each such item or action on such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(in each case, unless otherwise agreed by the Administrative Agent).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Until the Revolving Commitments have expired or terminated and the principal of and interest on each Loan and all fees payable hereunder have been paid in full and all Letters of Credit have expired or terminated and all LC Disbursements shall have been reimbursed, each Borrower covenants and agrees with the Lenders that:</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Company will not, and will not permit any Subsidiary to, create, incur, assume or permit to exist any Indebtedness, except:</w:t>
      </w:r>
    </w:p>
    <w:p>
      <w:pPr>
        <w:spacing w:after="0" w:line="20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7" w:right="339" w:bottom="1440" w:gutter="0" w:footer="0" w:header="0"/>
        </w:sectPr>
      </w:pPr>
    </w:p>
    <w:bookmarkStart w:id="146" w:name="page147"/>
    <w:bookmarkEnd w:id="146"/>
    <w:p>
      <w:pPr>
        <w:ind w:left="-220" w:firstLine="656"/>
        <w:spacing w:after="0" w:line="263" w:lineRule="auto"/>
        <w:tabs>
          <w:tab w:leader="none" w:pos="112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Indebtedness existing on the Effective Date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and extensions, renewals and replacements of any such Indebtedness that do not increase the outstanding principal amount thereof;</w:t>
      </w:r>
    </w:p>
    <w:p>
      <w:pPr>
        <w:spacing w:after="0" w:line="201" w:lineRule="exact"/>
        <w:rPr>
          <w:rFonts w:ascii="Arial" w:cs="Arial" w:eastAsia="Arial" w:hAnsi="Arial"/>
          <w:sz w:val="22"/>
          <w:szCs w:val="22"/>
          <w:color w:val="auto"/>
        </w:rPr>
      </w:pPr>
    </w:p>
    <w:p>
      <w:pPr>
        <w:ind w:left="900" w:hanging="464"/>
        <w:spacing w:after="0"/>
        <w:tabs>
          <w:tab w:leader="none" w:pos="9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Indebtedness of the Company to any Subsidiary and of any Subsidiary to the Company or any other Subsidiary;</w:t>
      </w:r>
    </w:p>
    <w:p>
      <w:pPr>
        <w:spacing w:after="0" w:line="55" w:lineRule="exact"/>
        <w:rPr>
          <w:rFonts w:ascii="Arial" w:cs="Arial" w:eastAsia="Arial" w:hAnsi="Arial"/>
          <w:sz w:val="19"/>
          <w:szCs w:val="19"/>
          <w:color w:val="auto"/>
        </w:rPr>
      </w:pPr>
    </w:p>
    <w:p>
      <w:pPr>
        <w:ind w:left="900" w:hanging="464"/>
        <w:spacing w:after="0"/>
        <w:tabs>
          <w:tab w:leader="none" w:pos="9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Capital Lease Obligations;</w:t>
      </w:r>
    </w:p>
    <w:p>
      <w:pPr>
        <w:spacing w:after="0" w:line="228" w:lineRule="exact"/>
        <w:rPr>
          <w:rFonts w:ascii="Arial" w:cs="Arial" w:eastAsia="Arial" w:hAnsi="Arial"/>
          <w:sz w:val="22"/>
          <w:szCs w:val="22"/>
          <w:color w:val="auto"/>
        </w:rPr>
      </w:pPr>
    </w:p>
    <w:p>
      <w:pPr>
        <w:jc w:val="both"/>
        <w:ind w:left="-220" w:firstLine="656"/>
        <w:spacing w:after="0" w:line="246" w:lineRule="auto"/>
        <w:tabs>
          <w:tab w:leader="none" w:pos="95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Indebtedness incurred to finance the acquisition, construction or improvement of any fixed or capital assets other than Capital Lease Obligations, and including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incurred or assumed prior to, contemporaneously with or within ninety (90) days after such acquisition or the completion of such construction or improvement and the aggregate principal amount of Indebtedness permitted by this clause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shall not exceed $2,500,000 at any time outstanding;</w:t>
      </w:r>
    </w:p>
    <w:p>
      <w:pPr>
        <w:spacing w:after="0" w:line="223" w:lineRule="exact"/>
        <w:rPr>
          <w:rFonts w:ascii="Arial" w:cs="Arial" w:eastAsia="Arial" w:hAnsi="Arial"/>
          <w:sz w:val="22"/>
          <w:szCs w:val="22"/>
          <w:color w:val="auto"/>
        </w:rPr>
      </w:pPr>
    </w:p>
    <w:p>
      <w:pPr>
        <w:jc w:val="both"/>
        <w:ind w:left="-220" w:firstLine="656"/>
        <w:spacing w:after="0" w:line="253" w:lineRule="auto"/>
        <w:tabs>
          <w:tab w:leader="none" w:pos="95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Indebtedness incurred by the Company or any Subsidiary denominated in Korean Won in an aggregate principal amount not exceeding $5,000,000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entire outstanding principal amount of such Indebtedness is supported by one or more Letters of Credit at all times;</w:t>
      </w:r>
    </w:p>
    <w:p>
      <w:pPr>
        <w:spacing w:after="0" w:line="225" w:lineRule="exact"/>
        <w:rPr>
          <w:rFonts w:ascii="Arial" w:cs="Arial" w:eastAsia="Arial" w:hAnsi="Arial"/>
          <w:sz w:val="22"/>
          <w:szCs w:val="22"/>
          <w:color w:val="auto"/>
        </w:rPr>
      </w:pPr>
    </w:p>
    <w:p>
      <w:pPr>
        <w:jc w:val="both"/>
        <w:ind w:left="-220" w:firstLine="656"/>
        <w:spacing w:after="0" w:line="302" w:lineRule="auto"/>
        <w:tabs>
          <w:tab w:leader="none" w:pos="98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Indebtedness incurred by the Company that is subordinate in writing to the Obligations on terms and conditions satisfactory to the Administrative Agent or that is convertible into common stock of the Company, in each case, so long as, at the time of and after giving effect thereto, no Default or Event of Default shall have occurred and be continuing and the Company shall be in pro forma compliance with the Leverage Ratio and the Fixed Charge Coverage Ratio;</w:t>
      </w:r>
    </w:p>
    <w:p>
      <w:pPr>
        <w:spacing w:after="0" w:line="169" w:lineRule="exact"/>
        <w:rPr>
          <w:rFonts w:ascii="Arial" w:cs="Arial" w:eastAsia="Arial" w:hAnsi="Arial"/>
          <w:sz w:val="19"/>
          <w:szCs w:val="19"/>
          <w:color w:val="auto"/>
        </w:rPr>
      </w:pPr>
    </w:p>
    <w:p>
      <w:pPr>
        <w:jc w:val="both"/>
        <w:ind w:left="-220" w:firstLine="656"/>
        <w:spacing w:after="0" w:line="250" w:lineRule="auto"/>
        <w:tabs>
          <w:tab w:leader="none" w:pos="93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other Indebtedness not described in subsections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above incurred by one or more Foreign Borrowers or Foreign Subsidiaries in an aggregate principal amount not exceeding $5,000,000 at any time outstanding, and incurred by the Company or any Subsidiary in an aggregate principal amount not exceeding $5,000,000 at any time outstanding (excluding any Indebtedness permitted by </w:t>
      </w:r>
      <w:r>
        <w:rPr>
          <w:rFonts w:ascii="Arial" w:cs="Arial" w:eastAsia="Arial" w:hAnsi="Arial"/>
          <w:sz w:val="22"/>
          <w:szCs w:val="22"/>
          <w:u w:val="single" w:color="auto"/>
          <w:color w:val="auto"/>
        </w:rPr>
        <w:t>Section 6.01(h)(i)</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left="860" w:hanging="424"/>
        <w:spacing w:after="0"/>
        <w:tabs>
          <w:tab w:leader="none" w:pos="8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Indebtedness of the Company or any Subsidiary in respect of Bonding Obligations;</w:t>
      </w:r>
    </w:p>
    <w:p>
      <w:pPr>
        <w:spacing w:after="0" w:line="246" w:lineRule="exact"/>
        <w:rPr>
          <w:rFonts w:ascii="Arial" w:cs="Arial" w:eastAsia="Arial" w:hAnsi="Arial"/>
          <w:sz w:val="22"/>
          <w:szCs w:val="22"/>
          <w:color w:val="auto"/>
        </w:rPr>
      </w:pPr>
    </w:p>
    <w:p>
      <w:pPr>
        <w:ind w:left="-220" w:firstLine="656"/>
        <w:spacing w:after="0" w:line="263" w:lineRule="auto"/>
        <w:tabs>
          <w:tab w:leader="none" w:pos="89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Guarantees of the Company or any Subsidiary in respect of Indebtedness of the Company or any Subsidiary that is otherwise permitted under this Agreement;</w:t>
      </w:r>
    </w:p>
    <w:p>
      <w:pPr>
        <w:spacing w:after="0" w:line="201" w:lineRule="exact"/>
        <w:rPr>
          <w:rFonts w:ascii="Arial" w:cs="Arial" w:eastAsia="Arial" w:hAnsi="Arial"/>
          <w:sz w:val="22"/>
          <w:szCs w:val="22"/>
          <w:color w:val="auto"/>
        </w:rPr>
      </w:pPr>
    </w:p>
    <w:p>
      <w:pPr>
        <w:jc w:val="both"/>
        <w:ind w:left="-220" w:firstLine="656"/>
        <w:spacing w:after="0" w:line="253" w:lineRule="auto"/>
        <w:tabs>
          <w:tab w:leader="none" w:pos="100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Indebtedness owed in respect of any overdrafts and related liabilities arising from treasury, depository and cash management and other bank product services (including purchase card services) or in connection with any automated clearing-house transfers of funds;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020"/>
          </w:cols>
          <w:pgMar w:left="540" w:top="1427" w:right="3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be repaid in full within five (5) Business Days of the incurrence thereof; and</w:t>
      </w:r>
    </w:p>
    <w:p>
      <w:pPr>
        <w:spacing w:after="0" w:line="247" w:lineRule="exact"/>
        <w:rPr>
          <w:sz w:val="20"/>
          <w:szCs w:val="20"/>
          <w:color w:val="auto"/>
        </w:rPr>
      </w:pPr>
    </w:p>
    <w:p>
      <w:pPr>
        <w:jc w:val="both"/>
        <w:ind w:firstLine="656"/>
        <w:spacing w:after="0" w:line="297" w:lineRule="auto"/>
        <w:tabs>
          <w:tab w:leader="none" w:pos="107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Indebtedness of a Person existing on the date such Person becomes a Subsidiary pursuant to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was not incurred in connection with, or in contemplation of, such Person becoming a Subsidiary, neither the Company nor any other Subsidiary (other than such Person or such other Person that such Person merges with or acquires the assets of such Person) shall have any liability or other obligation with respect to such Indebtedness and the aggregate principal amount of Indebtedness permitted by this clause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shall not exceed $5,000,000 at any time outstanding.</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212" w:lineRule="exact"/>
        <w:rPr>
          <w:sz w:val="20"/>
          <w:szCs w:val="20"/>
          <w:color w:val="auto"/>
        </w:rPr>
      </w:pPr>
    </w:p>
    <w:p>
      <w:pPr>
        <w:ind w:left="1120" w:hanging="464"/>
        <w:spacing w:after="0"/>
        <w:tabs>
          <w:tab w:leader="none" w:pos="11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60" w:lineRule="exact"/>
        <w:rPr>
          <w:rFonts w:ascii="Arial" w:cs="Arial" w:eastAsia="Arial" w:hAnsi="Arial"/>
          <w:sz w:val="22"/>
          <w:szCs w:val="22"/>
          <w:color w:val="auto"/>
        </w:rPr>
      </w:pPr>
    </w:p>
    <w:p>
      <w:pPr>
        <w:jc w:val="both"/>
        <w:ind w:firstLine="656"/>
        <w:spacing w:after="0" w:line="250" w:lineRule="auto"/>
        <w:tabs>
          <w:tab w:leader="none" w:pos="115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the Company or any Subsidiary existing on the Effective Date and set forth in </w:t>
      </w:r>
      <w:r>
        <w:rPr>
          <w:rFonts w:ascii="Arial" w:cs="Arial" w:eastAsia="Arial" w:hAnsi="Arial"/>
          <w:sz w:val="22"/>
          <w:szCs w:val="22"/>
          <w:u w:val="single" w:color="auto"/>
          <w:color w:val="auto"/>
        </w:rPr>
        <w:t>Schedule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 shall not apply to any other property or asset of the Company or any Subsidiary and such Lien shall secure only those obligations which it secures on the Effective Date and extensions, renewals and replacements thereof that do not increase the outstanding principal amount thereof;</w:t>
      </w:r>
    </w:p>
    <w:p>
      <w:pPr>
        <w:spacing w:after="0" w:line="214" w:lineRule="exact"/>
        <w:rPr>
          <w:rFonts w:ascii="Arial" w:cs="Arial" w:eastAsia="Arial" w:hAnsi="Arial"/>
          <w:sz w:val="22"/>
          <w:szCs w:val="22"/>
          <w:color w:val="auto"/>
        </w:rPr>
      </w:pPr>
    </w:p>
    <w:p>
      <w:pPr>
        <w:jc w:val="both"/>
        <w:ind w:left="80" w:firstLine="576"/>
        <w:spacing w:after="0" w:line="291" w:lineRule="auto"/>
        <w:tabs>
          <w:tab w:leader="none" w:pos="113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the Company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secure Indebtedness permitted by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such Liens and the Indebtedness secured thereby are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incurred prior to or within ninety (90) days after such acquisition or the completion of such construction or improvement, the Indebtedness secured thereby does not exceed one hundred percent (100%) of the cost of acquiring, constructing or improving such fixed or capital assets and (iv) such Liens shall not apply to any other property or assets of the Company or any Subsidiary;</w:t>
      </w:r>
    </w:p>
    <w:p>
      <w:pPr>
        <w:spacing w:after="0" w:line="170" w:lineRule="exact"/>
        <w:rPr>
          <w:sz w:val="20"/>
          <w:szCs w:val="20"/>
          <w:color w:val="auto"/>
        </w:rPr>
      </w:pPr>
    </w:p>
    <w:p>
      <w:pPr>
        <w:ind w:left="1120" w:hanging="464"/>
        <w:spacing w:after="0"/>
        <w:tabs>
          <w:tab w:leader="none" w:pos="11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Liens relating to Capital Lease Obligations permitted by clause (d) of Section 6.01;</w:t>
      </w:r>
    </w:p>
    <w:p>
      <w:pPr>
        <w:spacing w:after="0" w:line="246" w:lineRule="exact"/>
        <w:rPr>
          <w:rFonts w:ascii="Arial" w:cs="Arial" w:eastAsia="Arial" w:hAnsi="Arial"/>
          <w:sz w:val="22"/>
          <w:szCs w:val="22"/>
          <w:color w:val="auto"/>
        </w:rPr>
      </w:pPr>
    </w:p>
    <w:p>
      <w:pPr>
        <w:jc w:val="both"/>
        <w:ind w:firstLine="656"/>
        <w:spacing w:after="0" w:line="250" w:lineRule="auto"/>
        <w:tabs>
          <w:tab w:leader="none" w:pos="111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in the case of any Subsidiary that is not a Wholly-Owned Subsidiary, any purchase options, calls or similar rights set forth in its organizational documents or any related joint venture or similar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such case such purchase options, calls or similar rights are subordinated to any Lien in favor of the Administrative Agent in a manner reasonably satisfactory to the Administrative Agent;</w:t>
      </w:r>
    </w:p>
    <w:p>
      <w:pPr>
        <w:spacing w:after="0" w:line="214" w:lineRule="exact"/>
        <w:rPr>
          <w:rFonts w:ascii="Arial" w:cs="Arial" w:eastAsia="Arial" w:hAnsi="Arial"/>
          <w:sz w:val="22"/>
          <w:szCs w:val="22"/>
          <w:color w:val="auto"/>
        </w:rPr>
      </w:pPr>
    </w:p>
    <w:p>
      <w:pPr>
        <w:ind w:left="1080" w:hanging="424"/>
        <w:spacing w:after="0"/>
        <w:tabs>
          <w:tab w:leader="none" w:pos="1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Liens securing Indebtedness permitted by Section 6.01(h);</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Liens securing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7" w:right="339" w:bottom="1440" w:gutter="0" w:footer="0" w:header="0"/>
        </w:sectPr>
      </w:pPr>
    </w:p>
    <w:bookmarkStart w:id="148" w:name="page149"/>
    <w:bookmarkEnd w:id="148"/>
    <w:p>
      <w:pPr>
        <w:ind w:left="-220" w:firstLine="656"/>
        <w:spacing w:after="0" w:line="263" w:lineRule="auto"/>
        <w:tabs>
          <w:tab w:leader="none" w:pos="92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Liens on any account receivable or its proceeds in favor of that account receivable’s purchaser pursuant to a sale or disposition permitted by </w:t>
      </w:r>
      <w:r>
        <w:rPr>
          <w:rFonts w:ascii="Arial" w:cs="Arial" w:eastAsia="Arial" w:hAnsi="Arial"/>
          <w:sz w:val="22"/>
          <w:szCs w:val="22"/>
          <w:u w:val="single" w:color="auto"/>
          <w:color w:val="auto"/>
        </w:rPr>
        <w:t>Section 6.10</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jc w:val="both"/>
        <w:ind w:left="-220" w:firstLine="656"/>
        <w:spacing w:after="0" w:line="302" w:lineRule="auto"/>
        <w:tabs>
          <w:tab w:leader="none" w:pos="91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Liens on the property of any Subsidiary that are in existence at the time such Subsidiary is acquired pursuant to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secure Indebtedness permitted by </w:t>
      </w:r>
      <w:r>
        <w:rPr>
          <w:rFonts w:ascii="Arial" w:cs="Arial" w:eastAsia="Arial" w:hAnsi="Arial"/>
          <w:sz w:val="19"/>
          <w:szCs w:val="19"/>
          <w:u w:val="single" w:color="auto"/>
          <w:color w:val="auto"/>
        </w:rPr>
        <w:t>Section 6.01(l)</w:t>
      </w:r>
      <w:r>
        <w:rPr>
          <w:rFonts w:ascii="Arial" w:cs="Arial" w:eastAsia="Arial" w:hAnsi="Arial"/>
          <w:sz w:val="19"/>
          <w:szCs w:val="19"/>
          <w:color w:val="auto"/>
        </w:rPr>
        <w:t>, such Liens are not incurred in connection with, or in anticipation of, such Permitted Acquisition, such Liens do not apply to any property of the Company or any other Subsidiary and such Liens secure only those obligation which they secure on the date of such Permitted Acquisition.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Fundamental Changes</w:t>
      </w:r>
      <w:r>
        <w:rPr>
          <w:rFonts w:ascii="Arial" w:cs="Arial" w:eastAsia="Arial" w:hAnsi="Arial"/>
          <w:sz w:val="22"/>
          <w:szCs w:val="22"/>
          <w:color w:val="auto"/>
        </w:rPr>
        <w:t>.</w:t>
      </w:r>
    </w:p>
    <w:p>
      <w:pPr>
        <w:spacing w:after="0" w:line="247" w:lineRule="exact"/>
        <w:rPr>
          <w:sz w:val="20"/>
          <w:szCs w:val="20"/>
          <w:color w:val="auto"/>
        </w:rPr>
      </w:pPr>
    </w:p>
    <w:p>
      <w:pPr>
        <w:ind w:left="-220" w:firstLine="656"/>
        <w:spacing w:after="0" w:line="257" w:lineRule="auto"/>
        <w:tabs>
          <w:tab w:leader="none" w:pos="93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Except as set forth in Section 6.04(i), the Company will not, and will not permit any Subsidiary to, merge into, or amalgamate, or consolidate with any other Person, or permit any other Person to merge into, or amalgamate, or consolidate with it, or liquidate or dissolve, except that, if at the time thereof and immediately after giving effect thereto no Default shall have occurred and be continuing any Subsidiary may merge, amalgamate or consolidate into the Company in a transaction in which the Company is the surviving corporation, any Subsidiary may merge, amalgamate or consolidate into any other Subsidiary in a transaction in which the surviving entity is a Subsidiary, and any Subsidiary may sell, transfer, lease or otherwise dispose of all its assets to the Company or to another Subsidiary and subsequently liquidate or dissolve;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least fifteen (15) days prior to the effectiveness of any of the transactions described in </w:t>
      </w:r>
      <w:r>
        <w:rPr>
          <w:rFonts w:ascii="Arial" w:cs="Arial" w:eastAsia="Arial" w:hAnsi="Arial"/>
          <w:sz w:val="21"/>
          <w:szCs w:val="21"/>
          <w:u w:val="single" w:color="auto"/>
          <w:color w:val="auto"/>
        </w:rPr>
        <w:t>(a)(i)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that involve a Material Subsidiary, the Company shall provide to the Administrative Agent notice and a description of the material provisions of such transaction, and prior to the effectiveness of any such transaction, the Company shall provide to the Administrative Agent all documents, agreements and instruments that Administrative Agent shall request relating to the Liens against property of any Subsidiary and the perfection thereof.</w:t>
      </w:r>
    </w:p>
    <w:p>
      <w:pPr>
        <w:spacing w:after="0" w:line="231" w:lineRule="exact"/>
        <w:rPr>
          <w:rFonts w:ascii="Arial" w:cs="Arial" w:eastAsia="Arial" w:hAnsi="Arial"/>
          <w:sz w:val="21"/>
          <w:szCs w:val="21"/>
          <w:color w:val="auto"/>
        </w:rPr>
      </w:pPr>
    </w:p>
    <w:p>
      <w:pPr>
        <w:jc w:val="both"/>
        <w:ind w:left="-220" w:firstLine="656"/>
        <w:spacing w:after="0" w:line="281" w:lineRule="auto"/>
        <w:tabs>
          <w:tab w:leader="none" w:pos="96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The Company will not, and will not permit any Subsidiary to, sell, transfer, lease or otherwise dispose of (in one transaction or in a series of transactions) any of its assets (including without limitation Equity Interests in any Subsidiaries), whether now owned or hereafter acquired, except </w:t>
      </w:r>
      <w:r>
        <w:rPr>
          <w:rFonts w:ascii="Arial" w:cs="Arial" w:eastAsia="Arial" w:hAnsi="Arial"/>
          <w:sz w:val="17"/>
          <w:szCs w:val="17"/>
          <w:color w:val="auto"/>
        </w:rPr>
        <w:t>sales of inventory and obsolete or unneeded equipment in the ordinary course of</w:t>
      </w:r>
      <w:r>
        <w:rPr>
          <w:rFonts w:ascii="Arial" w:cs="Arial" w:eastAsia="Arial" w:hAnsi="Arial"/>
          <w:sz w:val="20"/>
          <w:szCs w:val="20"/>
          <w:color w:val="auto"/>
        </w:rPr>
        <w:t xml:space="preserve"> </w:t>
      </w:r>
      <w:r>
        <w:rPr>
          <w:rFonts w:ascii="Arial" w:cs="Arial" w:eastAsia="Arial" w:hAnsi="Arial"/>
          <w:sz w:val="17"/>
          <w:szCs w:val="17"/>
          <w:color w:val="auto"/>
        </w:rPr>
        <w:t xml:space="preserve">business, sales or dispositions of accounts receivable permitted by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and </w:t>
      </w:r>
      <w:r>
        <w:rPr>
          <w:rFonts w:ascii="Arial" w:cs="Arial" w:eastAsia="Arial" w:hAnsi="Arial"/>
          <w:sz w:val="19"/>
          <w:szCs w:val="19"/>
          <w:color w:val="auto"/>
        </w:rPr>
        <w:t>other sales, transfers, leases or other dispositions</w:t>
      </w:r>
      <w:r>
        <w:rPr>
          <w:rFonts w:ascii="Arial" w:cs="Arial" w:eastAsia="Arial" w:hAnsi="Arial"/>
          <w:sz w:val="17"/>
          <w:szCs w:val="17"/>
          <w:color w:val="auto"/>
        </w:rPr>
        <w:t xml:space="preserve"> </w:t>
      </w:r>
      <w:r>
        <w:rPr>
          <w:rFonts w:ascii="Arial" w:cs="Arial" w:eastAsia="Arial" w:hAnsi="Arial"/>
          <w:sz w:val="19"/>
          <w:szCs w:val="19"/>
          <w:color w:val="auto"/>
        </w:rPr>
        <w:t xml:space="preserve">of assets that, together with all other assets of the Company and its Subsidiaries previously leased, sold or disposed of under this </w:t>
      </w:r>
      <w:r>
        <w:rPr>
          <w:rFonts w:ascii="Arial" w:cs="Arial" w:eastAsia="Arial" w:hAnsi="Arial"/>
          <w:sz w:val="19"/>
          <w:szCs w:val="19"/>
          <w:u w:val="single" w:color="auto"/>
          <w:color w:val="auto"/>
        </w:rPr>
        <w:t>Section 6.03(b)(iii)</w:t>
      </w:r>
      <w:r>
        <w:rPr>
          <w:rFonts w:ascii="Arial" w:cs="Arial" w:eastAsia="Arial" w:hAnsi="Arial"/>
          <w:sz w:val="19"/>
          <w:szCs w:val="19"/>
          <w:color w:val="auto"/>
        </w:rPr>
        <w:t xml:space="preserve"> during the twelve-month period ending with the month in which any such transfer, lease, sale or other disposition occurs, do not have a fair market value, as reasonably determined by the Board of Directors of the Company, in excess of $20,000,000;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sell, transfer, lease or otherwise dispose of assets that, together with all other assets of the Company and its Subsidiaries previously leased, sold or disposed of under this </w:t>
      </w:r>
      <w:r>
        <w:rPr>
          <w:rFonts w:ascii="Arial" w:cs="Arial" w:eastAsia="Arial" w:hAnsi="Arial"/>
          <w:sz w:val="19"/>
          <w:szCs w:val="19"/>
          <w:u w:val="single" w:color="auto"/>
          <w:color w:val="auto"/>
        </w:rPr>
        <w:t>Section 6.03(b)(iii)</w:t>
      </w:r>
      <w:r>
        <w:rPr>
          <w:rFonts w:ascii="Arial" w:cs="Arial" w:eastAsia="Arial" w:hAnsi="Arial"/>
          <w:sz w:val="19"/>
          <w:szCs w:val="19"/>
          <w:color w:val="auto"/>
        </w:rPr>
        <w:t xml:space="preserve"> during the twelve-month period ending with the month in which any such transfer, lease, sale or other disposition occurs, have a fair market value, as so determined, in excess of $20,000,000 so long as 100% of the net cash proceeds of such sale, transfer, lease or other disposition are reinvested into the Company and its Subsidiaries within 180 days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020"/>
          </w:cols>
          <w:pgMar w:left="540" w:top="1427" w:right="339" w:bottom="1440" w:gutter="0" w:footer="0" w:header="0"/>
        </w:sectPr>
      </w:pPr>
    </w:p>
    <w:bookmarkStart w:id="149" w:name="page150"/>
    <w:bookmarkEnd w:id="149"/>
    <w:p>
      <w:pPr>
        <w:jc w:val="both"/>
        <w:ind w:firstLine="656"/>
        <w:spacing w:after="0" w:line="297" w:lineRule="auto"/>
        <w:tabs>
          <w:tab w:leader="none" w:pos="113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Company will not, and will not permit any of its Subsidiaries to, engage to any material extent in any business other than businesses of the type conducted by the Company and/or any one or more of its Subsidiaries on the Effective Date and businesses substantially related or incidental thereto (it being understood that the Company and its Subsidiaries may expand their existing engineering services, construction services, fabrication services and/or repair and maintenance services businesses into additional market segments or industries and augment their existing technology and expertise).</w:t>
      </w:r>
    </w:p>
    <w:p>
      <w:pPr>
        <w:spacing w:after="0" w:line="173" w:lineRule="exact"/>
        <w:rPr>
          <w:rFonts w:ascii="Arial" w:cs="Arial" w:eastAsia="Arial" w:hAnsi="Arial"/>
          <w:sz w:val="19"/>
          <w:szCs w:val="19"/>
          <w:color w:val="auto"/>
        </w:rPr>
      </w:pPr>
    </w:p>
    <w:p>
      <w:pPr>
        <w:ind w:left="1120" w:hanging="464"/>
        <w:spacing w:after="0"/>
        <w:tabs>
          <w:tab w:leader="none" w:pos="11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Company will not change its fiscal year.</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 Loans, Advances, Guarantees and Acquisitions</w:t>
      </w:r>
      <w:r>
        <w:rPr>
          <w:rFonts w:ascii="Arial" w:cs="Arial" w:eastAsia="Arial" w:hAnsi="Arial"/>
          <w:sz w:val="22"/>
          <w:szCs w:val="22"/>
          <w:color w:val="auto"/>
        </w:rPr>
        <w:t>. The Company will not, and will not permit any of its Subsidiaries to, make or permit any Acquisition, make or permit to exist any loans or advances to any other Person, Guarantee any obligations of any other Person, or make or permit to exist any investment or any other interest in any other Person, except:</w:t>
      </w:r>
    </w:p>
    <w:p>
      <w:pPr>
        <w:spacing w:after="0" w:line="215" w:lineRule="exact"/>
        <w:rPr>
          <w:sz w:val="20"/>
          <w:szCs w:val="20"/>
          <w:color w:val="auto"/>
        </w:rPr>
      </w:pPr>
    </w:p>
    <w:p>
      <w:pPr>
        <w:ind w:left="1120" w:hanging="464"/>
        <w:spacing w:after="0"/>
        <w:tabs>
          <w:tab w:leader="none" w:pos="11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investments by the Company existing on the Effective Date in the capital stock of its Subsidiaries;</w:t>
      </w:r>
    </w:p>
    <w:p>
      <w:pPr>
        <w:spacing w:after="0" w:line="246" w:lineRule="exact"/>
        <w:rPr>
          <w:rFonts w:ascii="Arial" w:cs="Arial" w:eastAsia="Arial" w:hAnsi="Arial"/>
          <w:sz w:val="22"/>
          <w:szCs w:val="22"/>
          <w:color w:val="auto"/>
        </w:rPr>
      </w:pPr>
    </w:p>
    <w:p>
      <w:pPr>
        <w:ind w:firstLine="656"/>
        <w:spacing w:after="0" w:line="343" w:lineRule="auto"/>
        <w:tabs>
          <w:tab w:leader="none" w:pos="112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loans, capital contributions or advances made by the Company to any Subsidiary and made by any Subsidiary to the Company or any other Subsidiary, to the extent made in the ordinary course of business consistent with past practices;</w:t>
      </w:r>
    </w:p>
    <w:p>
      <w:pPr>
        <w:spacing w:after="0" w:line="131" w:lineRule="exact"/>
        <w:rPr>
          <w:rFonts w:ascii="Arial" w:cs="Arial" w:eastAsia="Arial" w:hAnsi="Arial"/>
          <w:sz w:val="19"/>
          <w:szCs w:val="19"/>
          <w:color w:val="auto"/>
        </w:rPr>
      </w:pPr>
    </w:p>
    <w:p>
      <w:pPr>
        <w:ind w:left="1120" w:hanging="464"/>
        <w:spacing w:after="0"/>
        <w:tabs>
          <w:tab w:leader="none" w:pos="11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Guarantees constituting Indebtedness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656"/>
        <w:spacing w:after="0" w:line="343" w:lineRule="auto"/>
        <w:tabs>
          <w:tab w:leader="none" w:pos="130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Guarantees of the Company or any Subsidiary in respect of obligations (other than obligations constituting Indebtedness) of the Company or any Subsidiary, made in the ordinary course of business consistent with past practices;</w:t>
      </w:r>
    </w:p>
    <w:p>
      <w:pPr>
        <w:spacing w:after="0" w:line="131" w:lineRule="exact"/>
        <w:rPr>
          <w:rFonts w:ascii="Arial" w:cs="Arial" w:eastAsia="Arial" w:hAnsi="Arial"/>
          <w:sz w:val="19"/>
          <w:szCs w:val="19"/>
          <w:color w:val="auto"/>
        </w:rPr>
      </w:pPr>
    </w:p>
    <w:p>
      <w:pPr>
        <w:ind w:right="20" w:firstLine="656"/>
        <w:spacing w:after="0" w:line="263" w:lineRule="auto"/>
        <w:tabs>
          <w:tab w:leader="none" w:pos="115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advances to officers, directors and employees of the Company for travel, entertainment, relocation and analogous ordinary business purposes in an aggregate amount not to exceed $1,000,000 at any time outstanding;</w:t>
      </w:r>
    </w:p>
    <w:p>
      <w:pPr>
        <w:spacing w:after="0" w:line="201" w:lineRule="exact"/>
        <w:rPr>
          <w:rFonts w:ascii="Arial" w:cs="Arial" w:eastAsia="Arial" w:hAnsi="Arial"/>
          <w:sz w:val="22"/>
          <w:szCs w:val="22"/>
          <w:color w:val="auto"/>
        </w:rPr>
      </w:pPr>
    </w:p>
    <w:p>
      <w:pPr>
        <w:jc w:val="both"/>
        <w:ind w:firstLine="656"/>
        <w:spacing w:after="0" w:line="312" w:lineRule="auto"/>
        <w:tabs>
          <w:tab w:leader="none" w:pos="116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3" w:lineRule="exact"/>
        <w:rPr>
          <w:rFonts w:ascii="Arial" w:cs="Arial" w:eastAsia="Arial" w:hAnsi="Arial"/>
          <w:sz w:val="19"/>
          <w:szCs w:val="19"/>
          <w:color w:val="auto"/>
        </w:rPr>
      </w:pPr>
    </w:p>
    <w:p>
      <w:pPr>
        <w:jc w:val="both"/>
        <w:ind w:firstLine="656"/>
        <w:spacing w:after="0" w:line="250" w:lineRule="auto"/>
        <w:tabs>
          <w:tab w:leader="none" w:pos="119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investments in Joint Ventures;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Default or Event of Default is in existence at the time thereof or would exist after giving effect thereto, the Company is in compliance on a pro forma basis after giving effect to the making of such investment, with the covenants set forth in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6.13</w:t>
      </w:r>
      <w:r>
        <w:rPr>
          <w:rFonts w:ascii="Arial" w:cs="Arial" w:eastAsia="Arial" w:hAnsi="Arial"/>
          <w:sz w:val="22"/>
          <w:szCs w:val="22"/>
          <w:color w:val="auto"/>
        </w:rPr>
        <w:t xml:space="preserve"> and the aggregate amount of investments in Joint Ventures shall not exceed $20,000,000 outstanding at any time; and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7" w:right="339" w:bottom="1440" w:gutter="0" w:footer="0" w:header="0"/>
        </w:sectPr>
      </w:pPr>
    </w:p>
    <w:bookmarkStart w:id="150" w:name="page151"/>
    <w:bookmarkEnd w:id="150"/>
    <w:p>
      <w:pPr>
        <w:spacing w:after="0" w:line="231" w:lineRule="exact"/>
        <w:rPr>
          <w:sz w:val="20"/>
          <w:szCs w:val="20"/>
          <w:color w:val="auto"/>
        </w:rPr>
      </w:pPr>
    </w:p>
    <w:p>
      <w:pPr>
        <w:ind w:left="404" w:hanging="404"/>
        <w:spacing w:after="0"/>
        <w:tabs>
          <w:tab w:leader="none" w:pos="40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Acquisitions, subject to satisfaction of the following conditions:</w:t>
      </w:r>
    </w:p>
    <w:p>
      <w:pPr>
        <w:spacing w:after="0" w:line="246" w:lineRule="exact"/>
        <w:rPr>
          <w:rFonts w:ascii="Arial" w:cs="Arial" w:eastAsia="Arial" w:hAnsi="Arial"/>
          <w:sz w:val="22"/>
          <w:szCs w:val="22"/>
          <w:color w:val="auto"/>
        </w:rPr>
      </w:pPr>
    </w:p>
    <w:p>
      <w:pPr>
        <w:ind w:left="4" w:firstLine="644"/>
        <w:spacing w:after="0" w:line="251" w:lineRule="auto"/>
        <w:tabs>
          <w:tab w:leader="none" w:pos="108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no Default or Event of Default is in existence at the time of the consummation of the proposed Acquisition or would exist after giving effect thereto,</w:t>
      </w:r>
    </w:p>
    <w:p>
      <w:pPr>
        <w:spacing w:after="0" w:line="1" w:lineRule="exact"/>
        <w:rPr>
          <w:rFonts w:ascii="Arial" w:cs="Arial" w:eastAsia="Arial" w:hAnsi="Arial"/>
          <w:sz w:val="22"/>
          <w:szCs w:val="22"/>
          <w:color w:val="auto"/>
        </w:rPr>
      </w:pPr>
    </w:p>
    <w:p>
      <w:pPr>
        <w:jc w:val="both"/>
        <w:ind w:left="4" w:firstLine="644"/>
        <w:spacing w:after="0" w:line="295" w:lineRule="auto"/>
        <w:tabs>
          <w:tab w:leader="none" w:pos="1135"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this Agreement and in the other Loan Documents shall be true and correct in all material respects with the same effect as though such representations and warranties were made on and as of the date of such proposed Acquisition (both before and after giving effect thereto) except to the extent limited to a specific prior date or incorrect as a result of transactions permitted under the Loan Documents,</w:t>
      </w:r>
    </w:p>
    <w:p>
      <w:pPr>
        <w:spacing w:after="0" w:line="176" w:lineRule="exact"/>
        <w:rPr>
          <w:rFonts w:ascii="Arial" w:cs="Arial" w:eastAsia="Arial" w:hAnsi="Arial"/>
          <w:sz w:val="19"/>
          <w:szCs w:val="19"/>
          <w:color w:val="auto"/>
        </w:rPr>
      </w:pPr>
    </w:p>
    <w:p>
      <w:pPr>
        <w:jc w:val="both"/>
        <w:ind w:left="4" w:firstLine="644"/>
        <w:spacing w:after="0" w:line="253" w:lineRule="auto"/>
        <w:tabs>
          <w:tab w:leader="none" w:pos="132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proposed Acquisition is not a hostile or contested Acquisition and is not opposed by the board of directors (or equivalent governing body) of the Person being acquired or the Person transferring the subject business unit or ongoing business,</w:t>
      </w:r>
    </w:p>
    <w:p>
      <w:pPr>
        <w:spacing w:after="0" w:line="225" w:lineRule="exact"/>
        <w:rPr>
          <w:rFonts w:ascii="Arial" w:cs="Arial" w:eastAsia="Arial" w:hAnsi="Arial"/>
          <w:sz w:val="22"/>
          <w:szCs w:val="22"/>
          <w:color w:val="auto"/>
        </w:rPr>
      </w:pPr>
    </w:p>
    <w:p>
      <w:pPr>
        <w:jc w:val="both"/>
        <w:ind w:left="4" w:firstLine="644"/>
        <w:spacing w:after="0" w:line="250" w:lineRule="auto"/>
        <w:tabs>
          <w:tab w:leader="none" w:pos="12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in the case of an Acquisition that entails a merger, consolidation or other combination with another Person, the Company or one of its Wholly-Owned Subsidiaries is the surviving entity (or, in the case of a merger, consolidation or other combination involving a Wholly-Owned Subsidiary, the surviving entity complies with </w:t>
      </w:r>
      <w:r>
        <w:rPr>
          <w:rFonts w:ascii="Arial" w:cs="Arial" w:eastAsia="Arial" w:hAnsi="Arial"/>
          <w:sz w:val="22"/>
          <w:szCs w:val="22"/>
          <w:u w:val="single" w:color="auto"/>
          <w:color w:val="auto"/>
        </w:rPr>
        <w:t>Section 5.09</w:t>
      </w:r>
      <w:r>
        <w:rPr>
          <w:rFonts w:ascii="Arial" w:cs="Arial" w:eastAsia="Arial" w:hAnsi="Arial"/>
          <w:sz w:val="22"/>
          <w:szCs w:val="22"/>
          <w:color w:val="auto"/>
        </w:rPr>
        <w:t xml:space="preserve"> to the extent required),</w:t>
      </w:r>
    </w:p>
    <w:p>
      <w:pPr>
        <w:spacing w:after="0" w:line="214" w:lineRule="exact"/>
        <w:rPr>
          <w:rFonts w:ascii="Arial" w:cs="Arial" w:eastAsia="Arial" w:hAnsi="Arial"/>
          <w:sz w:val="22"/>
          <w:szCs w:val="22"/>
          <w:color w:val="auto"/>
        </w:rPr>
      </w:pPr>
    </w:p>
    <w:p>
      <w:pPr>
        <w:jc w:val="both"/>
        <w:ind w:left="4" w:firstLine="644"/>
        <w:spacing w:after="0" w:line="259" w:lineRule="auto"/>
        <w:tabs>
          <w:tab w:leader="none" w:pos="1323" w:val="left"/>
        </w:tabs>
        <w:numPr>
          <w:ilvl w:val="1"/>
          <w:numId w:val="135"/>
        </w:numPr>
        <w:rPr>
          <w:rFonts w:ascii="Arial" w:cs="Arial" w:eastAsia="Arial" w:hAnsi="Arial"/>
          <w:sz w:val="21"/>
          <w:szCs w:val="21"/>
          <w:color w:val="auto"/>
        </w:rPr>
      </w:pPr>
      <w:r>
        <w:rPr>
          <w:rFonts w:ascii="Arial" w:cs="Arial" w:eastAsia="Arial" w:hAnsi="Arial"/>
          <w:sz w:val="21"/>
          <w:szCs w:val="21"/>
          <w:color w:val="auto"/>
        </w:rPr>
        <w:t>the applicable Permitted Acquisition Notice (described below) reflects that after giving effect to the consummation of such proposed Acquisition the Leverage Ratio would be less than 2.00 to 1.00 on a pro forma basis as of the last day of the fiscal quarter immediately prior to such proposed Acquisition (with the Leverage Ratio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 the unused aggregate Revolving Commitments would be equal to at least 50% of the aggregate Revolving Commitments at such time,</w:t>
      </w:r>
    </w:p>
    <w:p>
      <w:pPr>
        <w:spacing w:after="0" w:line="210" w:lineRule="exact"/>
        <w:rPr>
          <w:rFonts w:ascii="Arial" w:cs="Arial" w:eastAsia="Arial" w:hAnsi="Arial"/>
          <w:sz w:val="21"/>
          <w:szCs w:val="21"/>
          <w:color w:val="auto"/>
        </w:rPr>
      </w:pPr>
    </w:p>
    <w:p>
      <w:pPr>
        <w:jc w:val="both"/>
        <w:ind w:left="4" w:firstLine="644"/>
        <w:spacing w:after="0" w:line="289" w:lineRule="auto"/>
        <w:tabs>
          <w:tab w:leader="none" w:pos="1207"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Company shall have given the Administrative Agent written notice at least five (5) Business Days prior to consummation of such proposed Acquisition (each of such notices, a “</w:t>
      </w:r>
      <w:r>
        <w:rPr>
          <w:rFonts w:ascii="Arial" w:cs="Arial" w:eastAsia="Arial" w:hAnsi="Arial"/>
          <w:sz w:val="19"/>
          <w:szCs w:val="19"/>
          <w:u w:val="single" w:color="auto"/>
          <w:color w:val="auto"/>
        </w:rPr>
        <w:t>Permitted Acquisition Notice</w:t>
      </w:r>
      <w:r>
        <w:rPr>
          <w:rFonts w:ascii="Arial" w:cs="Arial" w:eastAsia="Arial" w:hAnsi="Arial"/>
          <w:sz w:val="19"/>
          <w:szCs w:val="19"/>
          <w:color w:val="auto"/>
        </w:rPr>
        <w:t xml:space="preserve">”), which notice shall contain a brief description of the proposed Acquisition (including the aggregate consideration to be paid in connection therewith) and the proposed closing date thereof, be accompanied by a Compliance Certificate that includes calculations showing the Company’s compliance with the condition set forth above in clause </w:t>
      </w:r>
      <w:r>
        <w:rPr>
          <w:rFonts w:ascii="Arial" w:cs="Arial" w:eastAsia="Arial" w:hAnsi="Arial"/>
          <w:sz w:val="19"/>
          <w:szCs w:val="19"/>
          <w:u w:val="single" w:color="auto"/>
          <w:color w:val="auto"/>
        </w:rPr>
        <w:t>(v)(A)</w:t>
      </w:r>
      <w:r>
        <w:rPr>
          <w:rFonts w:ascii="Arial" w:cs="Arial" w:eastAsia="Arial" w:hAnsi="Arial"/>
          <w:sz w:val="19"/>
          <w:szCs w:val="19"/>
          <w:color w:val="auto"/>
        </w:rPr>
        <w:t xml:space="preserve"> above and compliance on a pro forma basis as of the last day of the fiscal quarter immediately prior to such proposed Acquisition with the covenant contained in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after giving effect to the consummation of such proposed Acquisition (and for purposes of calculating such financial covenant, such calculation shall be adjusted to take into account the financial impact of such proposed Acquisition as if such Acquisition had occurred prior to, and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36"/>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0584"/>
          </w:cols>
          <w:pgMar w:left="976" w:top="1440" w:right="339" w:bottom="1440" w:gutter="0" w:footer="0" w:header="0"/>
        </w:sectPr>
      </w:pPr>
    </w:p>
    <w:bookmarkStart w:id="151" w:name="page152"/>
    <w:bookmarkEnd w:id="151"/>
    <w:p>
      <w:pPr>
        <w:jc w:val="both"/>
        <w:ind w:left="660"/>
        <w:spacing w:after="0" w:line="261" w:lineRule="auto"/>
        <w:rPr>
          <w:sz w:val="20"/>
          <w:szCs w:val="20"/>
          <w:color w:val="auto"/>
        </w:rPr>
      </w:pPr>
      <w:r>
        <w:rPr>
          <w:rFonts w:ascii="Arial" w:cs="Arial" w:eastAsia="Arial" w:hAnsi="Arial"/>
          <w:sz w:val="21"/>
          <w:szCs w:val="21"/>
          <w:color w:val="auto"/>
        </w:rPr>
        <w:t xml:space="preserve">Person or property acquired pursuant to such Acquisition had been owned by the Company or one or more of its consolidated Subsidiaries throughout, the entire calculation period prior to the date as of which such calculation is being made), be accompanied by pro forma consolidated financial statements of the Company after giving effect to such Acquisition (adjusted as set forth above in clause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if such Acquisition is of a Person, such Person’s historical financial statements (to the extent available) and include an officer’s certificate executed by a Financial Officer of the Company, certifying as to compliance with the requirements of this </w:t>
      </w:r>
      <w:r>
        <w:rPr>
          <w:rFonts w:ascii="Arial" w:cs="Arial" w:eastAsia="Arial" w:hAnsi="Arial"/>
          <w:sz w:val="21"/>
          <w:szCs w:val="21"/>
          <w:u w:val="single" w:color="auto"/>
          <w:color w:val="auto"/>
        </w:rPr>
        <w:t>Section 6.04(i)</w:t>
      </w:r>
      <w:r>
        <w:rPr>
          <w:rFonts w:ascii="Arial" w:cs="Arial" w:eastAsia="Arial" w:hAnsi="Arial"/>
          <w:sz w:val="21"/>
          <w:szCs w:val="21"/>
          <w:color w:val="auto"/>
        </w:rPr>
        <w:t>,</w:t>
      </w:r>
    </w:p>
    <w:p>
      <w:pPr>
        <w:spacing w:after="0" w:line="206" w:lineRule="exact"/>
        <w:rPr>
          <w:sz w:val="20"/>
          <w:szCs w:val="20"/>
          <w:color w:val="auto"/>
        </w:rPr>
      </w:pPr>
    </w:p>
    <w:p>
      <w:pPr>
        <w:jc w:val="both"/>
        <w:ind w:left="660" w:firstLine="644"/>
        <w:spacing w:after="0" w:line="253" w:lineRule="auto"/>
        <w:tabs>
          <w:tab w:leader="none" w:pos="199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promptly upon request following delivery of the Permitted Acquisition Notice, the Company shall have provided the Administrative Agent and each of the Lenders with such additional information as the Administrative Agent shall have reasonably requested, and</w:t>
      </w:r>
    </w:p>
    <w:p>
      <w:pPr>
        <w:spacing w:after="0" w:line="212" w:lineRule="exact"/>
        <w:rPr>
          <w:rFonts w:ascii="Arial" w:cs="Arial" w:eastAsia="Arial" w:hAnsi="Arial"/>
          <w:sz w:val="22"/>
          <w:szCs w:val="22"/>
          <w:color w:val="auto"/>
        </w:rPr>
      </w:pPr>
    </w:p>
    <w:p>
      <w:pPr>
        <w:jc w:val="both"/>
        <w:ind w:left="660" w:firstLine="644"/>
        <w:spacing w:after="0" w:line="271" w:lineRule="auto"/>
        <w:tabs>
          <w:tab w:leader="none" w:pos="198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if such Acquisition entails the acquisition of the Equity Interests of a Person, the Acquisition is structured so that such Person shall become a Subsidiary and, to the extent required pursuant to </w:t>
      </w:r>
      <w:r>
        <w:rPr>
          <w:rFonts w:ascii="Arial" w:cs="Arial" w:eastAsia="Arial" w:hAnsi="Arial"/>
          <w:sz w:val="21"/>
          <w:szCs w:val="21"/>
          <w:u w:val="single" w:color="auto"/>
          <w:color w:val="auto"/>
        </w:rPr>
        <w:t>Section 5.09(c)</w:t>
      </w:r>
      <w:r>
        <w:rPr>
          <w:rFonts w:ascii="Arial" w:cs="Arial" w:eastAsia="Arial" w:hAnsi="Arial"/>
          <w:sz w:val="21"/>
          <w:szCs w:val="21"/>
          <w:color w:val="auto"/>
        </w:rPr>
        <w:t xml:space="preserve">, the Company shall cause the provisions of said </w:t>
      </w:r>
      <w:r>
        <w:rPr>
          <w:rFonts w:ascii="Arial" w:cs="Arial" w:eastAsia="Arial" w:hAnsi="Arial"/>
          <w:sz w:val="21"/>
          <w:szCs w:val="21"/>
          <w:u w:val="single" w:color="auto"/>
          <w:color w:val="auto"/>
        </w:rPr>
        <w:t>Section 5.09(c)</w:t>
      </w:r>
      <w:r>
        <w:rPr>
          <w:rFonts w:ascii="Arial" w:cs="Arial" w:eastAsia="Arial" w:hAnsi="Arial"/>
          <w:sz w:val="21"/>
          <w:szCs w:val="21"/>
          <w:color w:val="auto"/>
        </w:rPr>
        <w:t xml:space="preserve"> to be satisfied in respect of such new Subsidiary.</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consummation of each Acquisition shall be deemed to be a representation and warranty by the Borrowers that all conditions thereto have been satisfied and that same is permitted in accordance with the terms of this Agreement, which representation and warranty shall be deemed to be a representation and warranty for all purposes hereunder.</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Swap Agreements</w:t>
      </w:r>
      <w:r>
        <w:rPr>
          <w:rFonts w:ascii="Arial" w:cs="Arial" w:eastAsia="Arial" w:hAnsi="Arial"/>
          <w:sz w:val="19"/>
          <w:szCs w:val="19"/>
          <w:color w:val="auto"/>
        </w:rPr>
        <w:t>. The Company will not, and will not permit any of its Subsidiaries to, enter into any Swap Agreement, except Swap Agreements entered into to hedge or mitigate risks to which the Company or any Subsidiary has actual exposure (other than those in respect of Equity Interests of the Company or any of its Subsidiaries), and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The Company will not, and will not permit any of its Subsidiaries to, declare or make, or agree to pay or make, directly or indirectly, any Restricted Payment, except the Company may declare and pay dividends with respect to its Equity Interests payable solely in additional shares of its common stock, Subsidiaries may declare and pay dividends ratably with respect to their Equity Interests, the Company may make Restricted Payments pursuant to and in accordance with stock incentive plans, employee stock purchase plans or other benefit plans for management or employees of the Company and its Subsidiaries, the Company may declare and pay cash dividends on its capital stock or make other distributions during any fiscal year up to an amount which, when added to all other dividends and distributions paid pursuant to this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during such fiscal year, does not exceed fifty percent (50%) of cumulative net income of the Company for such fiscal year to date, and the Company may make Restricted Payments for the purpose of repurchasing Equity Interests of the Company under the existing share buyback plan, as it may be amended from time to time, 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7" w:right="339" w:bottom="1440" w:gutter="0" w:footer="0" w:header="0"/>
        </w:sectPr>
      </w:pPr>
    </w:p>
    <w:bookmarkStart w:id="152" w:name="page153"/>
    <w:bookmarkEnd w:id="152"/>
    <w:p>
      <w:pPr>
        <w:jc w:val="both"/>
        <w:spacing w:after="0" w:line="265" w:lineRule="auto"/>
        <w:rPr>
          <w:sz w:val="20"/>
          <w:szCs w:val="20"/>
          <w:color w:val="auto"/>
        </w:rPr>
      </w:pPr>
      <w:r>
        <w:rPr>
          <w:rFonts w:ascii="Arial" w:cs="Arial" w:eastAsia="Arial" w:hAnsi="Arial"/>
          <w:sz w:val="21"/>
          <w:szCs w:val="21"/>
          <w:color w:val="auto"/>
        </w:rPr>
        <w:t xml:space="preserve">under any other share buyback plan approved from time to time by the Company’s board of directors, in an aggregate amount not to exceed $30,000,000 in any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in all cases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(e), inclusive, above that no Default or Event of Default shall exist before or after giving effect to such Restricted Payment, including, for the avoidance of doubt, any Default under </w:t>
      </w:r>
      <w:r>
        <w:rPr>
          <w:rFonts w:ascii="Arial" w:cs="Arial" w:eastAsia="Arial" w:hAnsi="Arial"/>
          <w:sz w:val="21"/>
          <w:szCs w:val="21"/>
          <w:u w:val="single" w:color="auto"/>
          <w:color w:val="auto"/>
        </w:rPr>
        <w:t>Sections 6.12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6.13</w:t>
      </w:r>
      <w:r>
        <w:rPr>
          <w:rFonts w:ascii="Arial" w:cs="Arial" w:eastAsia="Arial" w:hAnsi="Arial"/>
          <w:sz w:val="21"/>
          <w:szCs w:val="21"/>
          <w:color w:val="auto"/>
        </w:rPr>
        <w:t xml:space="preserve"> after giving effect to such Restricted Payment.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The Company will not, and will not permit any of its Subsidiaries to, sell, lease or otherwise transfer any property or assets to, or purchase, lease or otherwise acquire any property or assets from, or otherwise engage in any other transactions with, any of its Affiliates, except in the ordinary course of business at prices and on terms and conditions either not less favorable to the Company or such Subsidiary than could be obtained on an arm’s-length basis from unrelated third parties or upon fair and reasonable terms consistent with past practices by the Company or such Subsidiary (provided that transfers that occur solely for tax-related purposes from the Company to Subsidiary or from Subsidiary to Subsidiary shall be permitted), and any Restricted Payment permitted by </w:t>
      </w:r>
      <w:r>
        <w:rPr>
          <w:rFonts w:ascii="Arial" w:cs="Arial" w:eastAsia="Arial" w:hAnsi="Arial"/>
          <w:sz w:val="21"/>
          <w:szCs w:val="21"/>
          <w:u w:val="single" w:color="auto"/>
          <w:color w:val="auto"/>
        </w:rPr>
        <w:t>Section 6.06</w:t>
      </w:r>
      <w:r>
        <w:rPr>
          <w:rFonts w:ascii="Arial" w:cs="Arial" w:eastAsia="Arial" w:hAnsi="Arial"/>
          <w:sz w:val="21"/>
          <w:szCs w:val="21"/>
          <w:color w:val="auto"/>
        </w:rPr>
        <w:t>.</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The Company will not, and will not permit any of its Subsidiaries to, directly or indirectly, enter into, incur or permit to exist any agreement or other arrangement that prohibits, restricts or imposes any condition upon the ability of the Company or any Subsidiary to create, incur or permit to exist any Lien upon any of its property or assets, or the ability of any Subsidiary to pay dividends or other Distributions with respect to any shares of its capital stock or to make or repay loans or advances to the Company or any other Subsidiary or to Guarantee Indebtedness of the Company or any other Subsidiary; provided that the foregoing shall not apply to restrictions and conditions imposed by law or by this Agreement, the foregoing shall not apply to restrictions and conditions existing on the Effective Date identified on </w:t>
      </w:r>
      <w:r>
        <w:rPr>
          <w:rFonts w:ascii="Arial" w:cs="Arial" w:eastAsia="Arial" w:hAnsi="Arial"/>
          <w:sz w:val="19"/>
          <w:szCs w:val="19"/>
          <w:u w:val="single" w:color="auto"/>
          <w:color w:val="auto"/>
        </w:rPr>
        <w:t>Schedule 6.08</w:t>
      </w:r>
      <w:r>
        <w:rPr>
          <w:rFonts w:ascii="Arial" w:cs="Arial" w:eastAsia="Arial" w:hAnsi="Arial"/>
          <w:sz w:val="19"/>
          <w:szCs w:val="19"/>
          <w:color w:val="auto"/>
        </w:rPr>
        <w:t xml:space="preserve"> (but shall apply to any extension or renewal of, or any amendment or modification expanding the scope of, any such restriction or condition), the foregoing shall not apply to customary restrictions and conditions contained in agreements relating to the sale of a Subsidiary pending such sale, provided such restrictions and conditions apply only to the Subsidiary that is to be sold and such sale is permitted hereunder,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foregoing shall not apply to restrictions or conditions imposed by any agreement relating to secured Indebtedness permitted by this Agreement if such restrictions or conditions apply only to the property or assets securing such Indebtedness and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foregoing shall not apply to customary provisions in leases and other contracts entered into in the ordinary course of business restricting the assignment thereof.</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Amendments to Agreements</w:t>
      </w:r>
      <w:r>
        <w:rPr>
          <w:rFonts w:ascii="Arial" w:cs="Arial" w:eastAsia="Arial" w:hAnsi="Arial"/>
          <w:sz w:val="22"/>
          <w:szCs w:val="22"/>
          <w:color w:val="auto"/>
        </w:rPr>
        <w:t>. The Company will not, and will not permit any Subsidiary to, amend or terminate any agreement or contract if such amendment or termination could reasonably be expected to cause a Material Adverse Effect.</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Sale of Accounts</w:t>
      </w:r>
      <w:r>
        <w:rPr>
          <w:rFonts w:ascii="Arial" w:cs="Arial" w:eastAsia="Arial" w:hAnsi="Arial"/>
          <w:sz w:val="22"/>
          <w:szCs w:val="22"/>
          <w:color w:val="auto"/>
        </w:rPr>
        <w:t>. The Company will not, and will not permit any Subsidiary to, sell or otherwise dispose of any notes receivable or accounts receivable, with or without recourse, except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28" w:right="339" w:bottom="1440" w:gutter="0" w:footer="0" w:header="0"/>
        </w:sectPr>
      </w:pPr>
    </w:p>
    <w:bookmarkStart w:id="153" w:name="page154"/>
    <w:bookmarkEnd w:id="153"/>
    <w:p>
      <w:pPr>
        <w:jc w:val="both"/>
        <w:ind w:firstLine="656"/>
        <w:spacing w:after="0" w:line="246" w:lineRule="auto"/>
        <w:tabs>
          <w:tab w:leader="none" w:pos="118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Company and any Subsidiary may sell an account receivable if each of the following conditions are satisfied with respect to that account receivable: the purchaser of the account receivable is a Lender or a Lender’s Affiliate, the account receivable is sold pursuant to a “put” option or other similar arrangement providing the Company or its Subsidiary (as applicable) the exclusive ability to sell or not sell the account receivable, at its option, the purchase price for the account receivable is not less than 100% of its face value (such face value calculated without discount or offset), and the sale is made pursuant to documentation acceptable in form and content in all respects to the Administrative Agent in its sole discretion, including, if required by the Administrative Agent, an intercreditor or other similar agreement between the Administrative Agent and the applicable purchaser; and</w:t>
      </w:r>
    </w:p>
    <w:p>
      <w:pPr>
        <w:spacing w:after="0" w:line="220" w:lineRule="exact"/>
        <w:rPr>
          <w:rFonts w:ascii="Arial" w:cs="Arial" w:eastAsia="Arial" w:hAnsi="Arial"/>
          <w:sz w:val="22"/>
          <w:szCs w:val="22"/>
          <w:color w:val="auto"/>
        </w:rPr>
      </w:pPr>
    </w:p>
    <w:p>
      <w:pPr>
        <w:jc w:val="both"/>
        <w:ind w:firstLine="656"/>
        <w:spacing w:after="0" w:line="294" w:lineRule="auto"/>
        <w:tabs>
          <w:tab w:leader="none" w:pos="118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the Company and any Subsidiary may sell or otherwise dispose of, to any Person, up to $25,000,000 of accounts receivable during any 12-month period pursuant to any agreement or arrangement not described in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above, if the purchase price for the account receivable is not less than 96% of its face value (such face value calculated without discount or offset) and the sale or disposition, and all documentation needed to evidence such sale or disposition is otherwise acceptable in all respects to the Administrative Agent in its sole discretion, including, if required by the Administrative Agent, an intercreditor or other similar agreement between the Administrative Agent and the applicable purchaser.</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Sale and Leaseback Transactions</w:t>
      </w:r>
      <w:r>
        <w:rPr>
          <w:rFonts w:ascii="Arial" w:cs="Arial" w:eastAsia="Arial" w:hAnsi="Arial"/>
          <w:sz w:val="19"/>
          <w:szCs w:val="19"/>
          <w:color w:val="auto"/>
        </w:rPr>
        <w:t xml:space="preserve">. Except for the sale and leaseback of assets sold as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6.03(b)(iii)</w:t>
      </w:r>
      <w:r>
        <w:rPr>
          <w:rFonts w:ascii="Arial" w:cs="Arial" w:eastAsia="Arial" w:hAnsi="Arial"/>
          <w:sz w:val="19"/>
          <w:szCs w:val="19"/>
          <w:color w:val="auto"/>
        </w:rPr>
        <w:t>, the Company will not, and will not permit any Subsidiary to, become or remain liable as lessee or as a guarantor or other surety with respect to any lease of any property (whether real, personal or mixed), whether now owned or hereafter acquired, that the Company or any Subsidiary has sold or transferred or is to sell or transfer to any other Person or the Company or any Subsidiary intends to use for substantially the same purpose as any other property that has been or is to be sold or transferred by the Company or any Subsidiary to any Person in connection with such lease.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Leverage Ratio</w:t>
      </w:r>
      <w:r>
        <w:rPr>
          <w:rFonts w:ascii="Arial" w:cs="Arial" w:eastAsia="Arial" w:hAnsi="Arial"/>
          <w:sz w:val="22"/>
          <w:szCs w:val="22"/>
          <w:color w:val="auto"/>
        </w:rPr>
        <w:t>. The Company will not permit the Leverage Ratio, determined as of the end of each of its fiscal quarters, to exceed 3.00 to 1.00.</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Company will not permit the Fixed Charge Coverage Ratio, determined as of the end of each of its fiscal quarters, to be less than 1.25 to 1.00.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Employee Pension Benefit Plan; Canadian Pension Plans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63" w:lineRule="auto"/>
        <w:tabs>
          <w:tab w:leader="none" w:pos="111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Company shall not (and shall not allow any Subsidiary to) adopt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which has established or maintained such plan, or is otherwise the employer in relation to it as described and defined in Section 3(5) of ERISA.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154" w:name="page155"/>
    <w:bookmarkEnd w:id="154"/>
    <w:p>
      <w:pPr>
        <w:spacing w:after="0" w:line="231"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Company shall not (and shall not allow any Subsidiary to) establish or maintain a Canadian Pension Plan.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60" w:lineRule="exact"/>
        <w:rPr>
          <w:sz w:val="20"/>
          <w:szCs w:val="20"/>
          <w:color w:val="auto"/>
        </w:rPr>
      </w:pPr>
    </w:p>
    <w:p>
      <w:pPr>
        <w:ind w:firstLine="656"/>
        <w:spacing w:after="0" w:line="263" w:lineRule="auto"/>
        <w:tabs>
          <w:tab w:leader="none" w:pos="12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Borrowers shall fail to pay any principal of any Loan when and as the same shall become due and payable, whether at the due date thereof or at a date fixed for prepayment thereof or otherwise;</w:t>
      </w:r>
    </w:p>
    <w:p>
      <w:pPr>
        <w:spacing w:after="0" w:line="201" w:lineRule="exact"/>
        <w:rPr>
          <w:rFonts w:ascii="Arial" w:cs="Arial" w:eastAsia="Arial" w:hAnsi="Arial"/>
          <w:sz w:val="22"/>
          <w:szCs w:val="22"/>
          <w:color w:val="auto"/>
        </w:rPr>
      </w:pPr>
    </w:p>
    <w:p>
      <w:pPr>
        <w:jc w:val="both"/>
        <w:ind w:firstLine="656"/>
        <w:spacing w:after="0" w:line="288" w:lineRule="auto"/>
        <w:tabs>
          <w:tab w:leader="none" w:pos="1258"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the Borrowers shall fail to pay any interest on any Loan, any reimbursement obligation in respect of any LC Disbursement or any fee or any other amount (other than an amount referred to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Article) payable under this Agreement, when and as the same shall become due and payable, and such failure shall continue unremedied for a period of three</w:t>
      </w:r>
    </w:p>
    <w:p>
      <w:pPr>
        <w:ind w:left="320" w:hanging="312"/>
        <w:spacing w:after="0"/>
        <w:tabs>
          <w:tab w:leader="none" w:pos="3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Business Days;</w:t>
      </w:r>
    </w:p>
    <w:p>
      <w:pPr>
        <w:spacing w:after="0" w:line="228" w:lineRule="exact"/>
        <w:rPr>
          <w:rFonts w:ascii="Arial" w:cs="Arial" w:eastAsia="Arial" w:hAnsi="Arial"/>
          <w:sz w:val="22"/>
          <w:szCs w:val="22"/>
          <w:color w:val="auto"/>
        </w:rPr>
      </w:pPr>
    </w:p>
    <w:p>
      <w:pPr>
        <w:jc w:val="both"/>
        <w:ind w:firstLine="656"/>
        <w:spacing w:after="0" w:line="302" w:lineRule="auto"/>
        <w:tabs>
          <w:tab w:leader="none" w:pos="1171" w:val="left"/>
        </w:tabs>
        <w:numPr>
          <w:ilvl w:val="1"/>
          <w:numId w:val="140"/>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Company or any Subsidiary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169" w:lineRule="exact"/>
        <w:rPr>
          <w:rFonts w:ascii="Arial" w:cs="Arial" w:eastAsia="Arial" w:hAnsi="Arial"/>
          <w:sz w:val="19"/>
          <w:szCs w:val="19"/>
          <w:color w:val="auto"/>
        </w:rPr>
      </w:pPr>
    </w:p>
    <w:p>
      <w:pPr>
        <w:ind w:right="20" w:firstLine="656"/>
        <w:spacing w:after="0" w:line="263" w:lineRule="auto"/>
        <w:tabs>
          <w:tab w:leader="none" w:pos="122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the Borrowers shall fail to observe or perform any covenant, condition or agreement contained in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(with respect to any Borrower’s existence), or </w:t>
      </w:r>
      <w:r>
        <w:rPr>
          <w:rFonts w:ascii="Arial" w:cs="Arial" w:eastAsia="Arial" w:hAnsi="Arial"/>
          <w:sz w:val="22"/>
          <w:szCs w:val="22"/>
          <w:u w:val="single" w:color="auto"/>
          <w:color w:val="auto"/>
        </w:rPr>
        <w:t>Section 5.08</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91" w:lineRule="auto"/>
        <w:tabs>
          <w:tab w:leader="none" w:pos="117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the Borrowers shall fail to observe or perform any covenant, condition or agreement contained in this Agreement (other than those specified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Article), and such failure shall continue unremedied for a period of</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xml:space="preserve">(x) ten (10) days in the case of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5.05(b)</w:t>
      </w:r>
      <w:r>
        <w:rPr>
          <w:rFonts w:ascii="Arial" w:cs="Arial" w:eastAsia="Arial" w:hAnsi="Arial"/>
          <w:sz w:val="19"/>
          <w:szCs w:val="19"/>
          <w:color w:val="auto"/>
        </w:rPr>
        <w:t xml:space="preserve"> and (y) thirty (30) days in all other cases, in the case of (x) and</w:t>
      </w:r>
    </w:p>
    <w:p>
      <w:pPr>
        <w:spacing w:after="0" w:line="38"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(y) after the earlier of notice thereof from the Administrative Agent to the Borrowers (which notice will be given at the request of any Lender) and the date on which Company has actual knowledge of such failure;</w:t>
      </w:r>
    </w:p>
    <w:p>
      <w:pPr>
        <w:spacing w:after="0" w:line="219" w:lineRule="exact"/>
        <w:rPr>
          <w:rFonts w:ascii="Arial" w:cs="Arial" w:eastAsia="Arial" w:hAnsi="Arial"/>
          <w:sz w:val="19"/>
          <w:szCs w:val="19"/>
          <w:color w:val="auto"/>
        </w:rPr>
      </w:pPr>
    </w:p>
    <w:p>
      <w:pPr>
        <w:ind w:right="20" w:firstLine="656"/>
        <w:spacing w:after="0" w:line="287" w:lineRule="auto"/>
        <w:tabs>
          <w:tab w:leader="none" w:pos="1146"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Company or any Subsidiary shall fail to make any payment (whether of principal or interest and regardless of amount) in respect of any Material Indebtedness, when and as the same shall become due and payable;</w:t>
      </w:r>
    </w:p>
    <w:p>
      <w:pPr>
        <w:spacing w:after="0" w:line="191" w:lineRule="exact"/>
        <w:rPr>
          <w:rFonts w:ascii="Arial" w:cs="Arial" w:eastAsia="Arial" w:hAnsi="Arial"/>
          <w:sz w:val="21"/>
          <w:szCs w:val="21"/>
          <w:color w:val="auto"/>
        </w:rPr>
      </w:pPr>
    </w:p>
    <w:p>
      <w:pPr>
        <w:ind w:right="20" w:firstLine="656"/>
        <w:spacing w:after="0" w:line="263" w:lineRule="auto"/>
        <w:tabs>
          <w:tab w:leader="none" w:pos="1129"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Material Indebtedness becoming due prior to its scheduled maturity or that enables or permits (with or without the giving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40" w:right="339" w:bottom="1440" w:gutter="0" w:footer="0" w:header="0"/>
        </w:sectPr>
      </w:pPr>
    </w:p>
    <w:bookmarkStart w:id="155" w:name="page156"/>
    <w:bookmarkEnd w:id="155"/>
    <w:p>
      <w:pPr>
        <w:jc w:val="both"/>
        <w:spacing w:after="0" w:line="265" w:lineRule="auto"/>
        <w:rPr>
          <w:sz w:val="20"/>
          <w:szCs w:val="20"/>
          <w:color w:val="auto"/>
        </w:rPr>
      </w:pPr>
      <w:r>
        <w:rPr>
          <w:rFonts w:ascii="Arial" w:cs="Arial" w:eastAsia="Arial" w:hAnsi="Arial"/>
          <w:sz w:val="21"/>
          <w:szCs w:val="21"/>
          <w:color w:val="auto"/>
        </w:rPr>
        <w:t xml:space="preserve">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w:t>
      </w:r>
      <w:r>
        <w:rPr>
          <w:rFonts w:ascii="Arial" w:cs="Arial" w:eastAsia="Arial" w:hAnsi="Arial"/>
          <w:sz w:val="21"/>
          <w:szCs w:val="21"/>
          <w:u w:val="single" w:color="auto"/>
          <w:color w:val="auto"/>
        </w:rPr>
        <w:t>(g)</w:t>
      </w:r>
      <w:r>
        <w:rPr>
          <w:rFonts w:ascii="Arial" w:cs="Arial" w:eastAsia="Arial" w:hAnsi="Arial"/>
          <w:sz w:val="21"/>
          <w:szCs w:val="21"/>
          <w:color w:val="auto"/>
        </w:rPr>
        <w:t xml:space="preserve"> shall not apply to secured Indebtedness that becomes due as a result of the voluntary sale or transfer of the property or assets securing such Indebtedness;</w:t>
      </w:r>
    </w:p>
    <w:p>
      <w:pPr>
        <w:spacing w:after="0" w:line="202" w:lineRule="exact"/>
        <w:rPr>
          <w:sz w:val="20"/>
          <w:szCs w:val="20"/>
          <w:color w:val="auto"/>
        </w:rPr>
      </w:pPr>
    </w:p>
    <w:p>
      <w:pPr>
        <w:jc w:val="both"/>
        <w:ind w:left="80" w:firstLine="576"/>
        <w:spacing w:after="0" w:line="291" w:lineRule="auto"/>
        <w:tabs>
          <w:tab w:leader="none" w:pos="126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or application shall be filed seeking liquidation, reorganization or other relief in respect of the Company or any Subsidiary or its debts, or of a substantial part of its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assets, under any Federal, state or foreign bankruptcy, insolvency, receivership or similar law now or hereafter in effect or the appointment of a receiver, interim receiver, receiver and manager, trustee, custodian, sequestrator, conservator or similar official for the Company or any Subsidiary or for a substantial part of the assets of the Company and its Subsidiaries, and, in any such case, such proceeding, petition or application shall continue undismissed for sixty (60) days or an order or decree approving or ordering any of the foregoing shall be entered;</w:t>
      </w:r>
    </w:p>
    <w:p>
      <w:pPr>
        <w:spacing w:after="0" w:line="222" w:lineRule="exact"/>
        <w:rPr>
          <w:sz w:val="20"/>
          <w:szCs w:val="20"/>
          <w:color w:val="auto"/>
        </w:rPr>
      </w:pPr>
    </w:p>
    <w:p>
      <w:pPr>
        <w:jc w:val="both"/>
        <w:ind w:firstLine="656"/>
        <w:spacing w:after="0" w:line="290" w:lineRule="auto"/>
        <w:tabs>
          <w:tab w:leader="none" w:pos="119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the Company or any Subsidiary shall voluntarily commence any proceeding or file any petition or application seeking liquidation, reorganization, arrangement with its creditors or other relief under any Federal, state or foreign bankruptcy, insolvency, receivership or similar law now or hereafter in effect, consent to the institution of, or fail to contest in a timely and appropriate manner, any proceeding, petition or application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this Article, apply for or consent to the appointment of a receiver, interim receiver, receiver and manager, trustee, custodian, sequestrator, conservator or similar official for the Company or any Subsidiary or for a substantial part of the property of the Company and its Subsidiaries, file an answer admitting the material allegations of a petition or application filed against it in any such proceeding, make a general assignment for the benefit of creditors or take any action for the purpose of effecting any of the foregoing;</w:t>
      </w:r>
    </w:p>
    <w:p>
      <w:pPr>
        <w:spacing w:after="0" w:line="182" w:lineRule="exact"/>
        <w:rPr>
          <w:rFonts w:ascii="Arial" w:cs="Arial" w:eastAsia="Arial" w:hAnsi="Arial"/>
          <w:sz w:val="19"/>
          <w:szCs w:val="19"/>
          <w:color w:val="auto"/>
        </w:rPr>
      </w:pPr>
    </w:p>
    <w:p>
      <w:pPr>
        <w:ind w:firstLine="656"/>
        <w:spacing w:after="0" w:line="263" w:lineRule="auto"/>
        <w:tabs>
          <w:tab w:leader="none" w:pos="107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Company or any Subsidiary shall become unable, admit in writing its inability or fail generally to pay its debts as they become due;</w:t>
      </w:r>
    </w:p>
    <w:p>
      <w:pPr>
        <w:spacing w:after="0" w:line="215" w:lineRule="exact"/>
        <w:rPr>
          <w:rFonts w:ascii="Arial" w:cs="Arial" w:eastAsia="Arial" w:hAnsi="Arial"/>
          <w:sz w:val="22"/>
          <w:szCs w:val="22"/>
          <w:color w:val="auto"/>
        </w:rPr>
      </w:pPr>
    </w:p>
    <w:p>
      <w:pPr>
        <w:jc w:val="both"/>
        <w:ind w:firstLine="656"/>
        <w:spacing w:after="0" w:line="294" w:lineRule="auto"/>
        <w:tabs>
          <w:tab w:leader="none" w:pos="113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one or more judgments or orders shall be rendered against the Company, any Subsidiary or any combination thereof that shall remain undischarged for a period of thirty (30) consecutive days during which execution shall not be effectively stayed, either for the payment of money in an aggregate amount in excess of $10,000,000 (or the Equivalent Amount in currencies other than U.S. Dollars) in excess of insurance coverage or for nonmonetary relief which could reasonably be expected to have a Material Adverse Effect, or any action shall be legally taken by a judgment creditor to attach or levy upon any assets of the Company or any Subsidiary to enforce any such judgment or order;</w:t>
      </w:r>
    </w:p>
    <w:p>
      <w:pPr>
        <w:spacing w:after="0" w:line="176" w:lineRule="exact"/>
        <w:rPr>
          <w:rFonts w:ascii="Arial" w:cs="Arial" w:eastAsia="Arial" w:hAnsi="Arial"/>
          <w:sz w:val="19"/>
          <w:szCs w:val="19"/>
          <w:color w:val="auto"/>
        </w:rPr>
      </w:pPr>
    </w:p>
    <w:p>
      <w:pPr>
        <w:ind w:firstLine="656"/>
        <w:spacing w:after="0" w:line="263" w:lineRule="auto"/>
        <w:tabs>
          <w:tab w:leader="none" w:pos="107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156" w:name="page157"/>
    <w:bookmarkEnd w:id="156"/>
    <w:p>
      <w:pPr>
        <w:jc w:val="both"/>
        <w:ind w:firstLine="656"/>
        <w:spacing w:after="0" w:line="250" w:lineRule="auto"/>
        <w:tabs>
          <w:tab w:leader="none" w:pos="126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Company or any of its Subsidiaries shall be the subject of any proceeding or investigation pertaining to the release by the Company, any of its Subsidiaries or any other Person of any Hazardous Materials into the environment which results in remediation liability in excess of $10,000,000 (or the Equivalent Amount in currencies other than U.S. Dollars) not covered by insurance or indemnified by any third party;</w:t>
      </w:r>
    </w:p>
    <w:p>
      <w:pPr>
        <w:spacing w:after="0" w:line="214" w:lineRule="exact"/>
        <w:rPr>
          <w:rFonts w:ascii="Arial" w:cs="Arial" w:eastAsia="Arial" w:hAnsi="Arial"/>
          <w:sz w:val="22"/>
          <w:szCs w:val="22"/>
          <w:color w:val="auto"/>
        </w:rPr>
      </w:pPr>
    </w:p>
    <w:p>
      <w:pPr>
        <w:jc w:val="both"/>
        <w:ind w:firstLine="656"/>
        <w:spacing w:after="0" w:line="253" w:lineRule="auto"/>
        <w:tabs>
          <w:tab w:leader="none" w:pos="11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occurrence of any “default” under any Loan Document (other than this Agreement) or the breach of any of the terms or provisions of any Loan Document (other than this Agreement), which default or breach continues beyond any period of grace therein provided;</w:t>
      </w:r>
    </w:p>
    <w:p>
      <w:pPr>
        <w:spacing w:after="0" w:line="212" w:lineRule="exact"/>
        <w:rPr>
          <w:rFonts w:ascii="Arial" w:cs="Arial" w:eastAsia="Arial" w:hAnsi="Arial"/>
          <w:sz w:val="22"/>
          <w:szCs w:val="22"/>
          <w:color w:val="auto"/>
        </w:rPr>
      </w:pPr>
    </w:p>
    <w:p>
      <w:pPr>
        <w:jc w:val="both"/>
        <w:ind w:firstLine="656"/>
        <w:spacing w:after="0" w:line="249" w:lineRule="auto"/>
        <w:tabs>
          <w:tab w:leader="none" w:pos="116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except as a result of actions taken which are mergers, consolidations, liquidations, dispositions or dissolutions that are not prohibited by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any Subsidiary Guaranty shall fail to remain in full force or effect or any action shall be taken to discontinue, terminate, or to assert the invalidity or unenforceability of any such Subsidiary Guaranty, or any </w:t>
      </w:r>
      <w:r>
        <w:rPr>
          <w:rFonts w:ascii="Arial" w:cs="Arial" w:eastAsia="Arial" w:hAnsi="Arial"/>
          <w:sz w:val="19"/>
          <w:szCs w:val="19"/>
          <w:color w:val="auto"/>
        </w:rPr>
        <w:t>Subsidiary</w:t>
      </w:r>
      <w:r>
        <w:rPr>
          <w:rFonts w:ascii="Arial" w:cs="Arial" w:eastAsia="Arial" w:hAnsi="Arial"/>
          <w:sz w:val="22"/>
          <w:szCs w:val="22"/>
          <w:color w:val="auto"/>
        </w:rPr>
        <w:t xml:space="preserve"> Guarantor shall fail to comply with any of the terms or provisions of any such Subsidiary Guaranty to which it is a party, or any </w:t>
      </w:r>
      <w:r>
        <w:rPr>
          <w:rFonts w:ascii="Arial" w:cs="Arial" w:eastAsia="Arial" w:hAnsi="Arial"/>
          <w:sz w:val="19"/>
          <w:szCs w:val="19"/>
          <w:color w:val="auto"/>
        </w:rPr>
        <w:t xml:space="preserve">Subsidiary </w:t>
      </w:r>
      <w:r>
        <w:rPr>
          <w:rFonts w:ascii="Arial" w:cs="Arial" w:eastAsia="Arial" w:hAnsi="Arial"/>
          <w:sz w:val="21"/>
          <w:szCs w:val="21"/>
          <w:color w:val="auto"/>
        </w:rPr>
        <w:t>Guarantor shall deny that it has any further liability under any such Subsidiary Guaranty to which it is a party, or shall</w:t>
      </w:r>
      <w:r>
        <w:rPr>
          <w:rFonts w:ascii="Arial" w:cs="Arial" w:eastAsia="Arial" w:hAnsi="Arial"/>
          <w:sz w:val="19"/>
          <w:szCs w:val="19"/>
          <w:color w:val="auto"/>
        </w:rPr>
        <w:t xml:space="preserve"> </w:t>
      </w:r>
      <w:r>
        <w:rPr>
          <w:rFonts w:ascii="Arial" w:cs="Arial" w:eastAsia="Arial" w:hAnsi="Arial"/>
          <w:sz w:val="21"/>
          <w:szCs w:val="21"/>
          <w:color w:val="auto"/>
        </w:rPr>
        <w:t>give notice to such effect;</w:t>
      </w:r>
    </w:p>
    <w:p>
      <w:pPr>
        <w:spacing w:after="0" w:line="219" w:lineRule="exact"/>
        <w:rPr>
          <w:rFonts w:ascii="Arial" w:cs="Arial" w:eastAsia="Arial" w:hAnsi="Arial"/>
          <w:sz w:val="22"/>
          <w:szCs w:val="22"/>
          <w:color w:val="auto"/>
        </w:rPr>
      </w:pPr>
    </w:p>
    <w:p>
      <w:pPr>
        <w:jc w:val="both"/>
        <w:ind w:firstLine="656"/>
        <w:spacing w:after="0" w:line="292" w:lineRule="auto"/>
        <w:tabs>
          <w:tab w:leader="none" w:pos="113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any Collateral Document shall for any reason fail to create a valid and perfected first priority security interest in any Collateral purported to be covered thereby, except as to equipment which has become obsolete or which is otherwise permitted to become released under the terms of any Collateral Document; or any Collateral Document shall fail to remain in full force or effect or any action shall be taken to discontinue or to assert the invalidity or unenforceability of any Collateral Document, or any Credit Party shall fail to comply with any term or provision of any Collateral Document that relates to the perfection of a security interest and such failure is not cured within thirty (30) days after the earlier of Administrative Agent or any Lender provides the Company notice of such failure or the date on which the Company becomes aware of such failure;</w:t>
      </w:r>
    </w:p>
    <w:p>
      <w:pPr>
        <w:spacing w:after="0" w:line="191" w:lineRule="exact"/>
        <w:rPr>
          <w:rFonts w:ascii="Arial" w:cs="Arial" w:eastAsia="Arial" w:hAnsi="Arial"/>
          <w:sz w:val="19"/>
          <w:szCs w:val="19"/>
          <w:color w:val="auto"/>
        </w:rPr>
      </w:pPr>
    </w:p>
    <w:p>
      <w:pPr>
        <w:ind w:left="1120" w:hanging="464"/>
        <w:spacing w:after="0"/>
        <w:tabs>
          <w:tab w:leader="none" w:pos="11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46" w:lineRule="exact"/>
        <w:rPr>
          <w:rFonts w:ascii="Arial" w:cs="Arial" w:eastAsia="Arial" w:hAnsi="Arial"/>
          <w:sz w:val="22"/>
          <w:szCs w:val="22"/>
          <w:color w:val="auto"/>
        </w:rPr>
      </w:pPr>
    </w:p>
    <w:p>
      <w:pPr>
        <w:jc w:val="both"/>
        <w:ind w:firstLine="656"/>
        <w:spacing w:after="0" w:line="248" w:lineRule="auto"/>
        <w:tabs>
          <w:tab w:leader="none" w:pos="116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Surety taking possession of any Collateral with a book value in excess of $25,000,000 or exercising any other rights or remedies as a secured party with respect to Collateral with a book value in excess of $25,000,000 if such action continues for a period of fifteen (15) Business Days after the earlier of (A) the Administrative Agent’s delivery of written notice thereof to the Company and (B) the date an Authorized Officer of the Company or any Subsidiary first obtains knowledge thereof;</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then, and in every such event (other than an event with respect to a Borrower described in clause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of this Article), and at any time thereafter during the continuance of such event, the Administrative Agent may (and at the request of the Required Lenders shall), by notice to the Company, take either or both of the following actions, at the same or different times: (i) terminate the Revolving Commitments, and thereupon the Revolving Commitments shall terminate immediately, and (ii) declare the Loans then outstanding to be due and payable 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8" w:right="339" w:bottom="1440" w:gutter="0" w:footer="0" w:header="0"/>
        </w:sectPr>
      </w:pPr>
    </w:p>
    <w:bookmarkStart w:id="157" w:name="page158"/>
    <w:bookmarkEnd w:id="157"/>
    <w:p>
      <w:pPr>
        <w:jc w:val="both"/>
        <w:spacing w:after="0" w:line="290" w:lineRule="auto"/>
        <w:rPr>
          <w:sz w:val="20"/>
          <w:szCs w:val="20"/>
          <w:color w:val="auto"/>
        </w:rPr>
      </w:pPr>
      <w:r>
        <w:rPr>
          <w:rFonts w:ascii="Arial" w:cs="Arial" w:eastAsia="Arial" w:hAnsi="Arial"/>
          <w:sz w:val="19"/>
          <w:szCs w:val="19"/>
          <w:color w:val="auto"/>
        </w:rPr>
        <w:t xml:space="preserve">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Article, the Revolving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In addition to the remedies contained in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upon the occurrence and during the continuance of an Event of Default, the Borrowers shall pay to the Administrative Agent cash collateral in such amounts and at such times as contemplated by </w:t>
      </w:r>
      <w:r>
        <w:rPr>
          <w:rFonts w:ascii="Arial" w:cs="Arial" w:eastAsia="Arial" w:hAnsi="Arial"/>
          <w:sz w:val="22"/>
          <w:szCs w:val="22"/>
          <w:u w:val="single" w:color="auto"/>
          <w:color w:val="auto"/>
        </w:rPr>
        <w:t>Section 2.06(k)</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Administrative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Authorization and Action</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7" w:lineRule="auto"/>
        <w:tabs>
          <w:tab w:leader="none" w:pos="120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Each Lender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the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0" w:lineRule="exact"/>
        <w:rPr>
          <w:rFonts w:ascii="Arial" w:cs="Arial" w:eastAsia="Arial" w:hAnsi="Arial"/>
          <w:sz w:val="19"/>
          <w:szCs w:val="19"/>
          <w:color w:val="auto"/>
        </w:rPr>
      </w:pPr>
    </w:p>
    <w:p>
      <w:pPr>
        <w:jc w:val="both"/>
        <w:ind w:firstLine="656"/>
        <w:spacing w:after="0" w:line="247" w:lineRule="auto"/>
        <w:tabs>
          <w:tab w:leader="none" w:pos="118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158" w:name="page159"/>
    <w:bookmarkEnd w:id="158"/>
    <w:p>
      <w:pPr>
        <w:jc w:val="both"/>
        <w:spacing w:after="0" w:line="286" w:lineRule="auto"/>
        <w:rPr>
          <w:sz w:val="20"/>
          <w:szCs w:val="20"/>
          <w:color w:val="auto"/>
        </w:rPr>
      </w:pPr>
      <w:r>
        <w:rPr>
          <w:rFonts w:ascii="Arial" w:cs="Arial" w:eastAsia="Arial" w:hAnsi="Arial"/>
          <w:sz w:val="19"/>
          <w:szCs w:val="19"/>
          <w:color w:val="auto"/>
        </w:rPr>
        <w:t xml:space="preserve">however, that the Administrative Agent shall not be required to take any action that the Administrative Agent in good faith believes exposes it to liability unless the Administrative Agent receives an indemnification and is exculpated in a manner satisfactory to it from the Lenders and the Issuing Bank with respect to such action or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45" w:lineRule="exact"/>
        <w:rPr>
          <w:sz w:val="20"/>
          <w:szCs w:val="20"/>
          <w:color w:val="auto"/>
        </w:rPr>
      </w:pPr>
    </w:p>
    <w:p>
      <w:pPr>
        <w:jc w:val="both"/>
        <w:ind w:firstLine="656"/>
        <w:spacing w:after="0" w:line="250" w:lineRule="auto"/>
        <w:tabs>
          <w:tab w:leader="none" w:pos="113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214" w:lineRule="exact"/>
        <w:rPr>
          <w:rFonts w:ascii="Arial" w:cs="Arial" w:eastAsia="Arial" w:hAnsi="Arial"/>
          <w:sz w:val="22"/>
          <w:szCs w:val="22"/>
          <w:color w:val="auto"/>
        </w:rPr>
      </w:pPr>
    </w:p>
    <w:p>
      <w:pPr>
        <w:jc w:val="both"/>
        <w:ind w:left="660" w:firstLine="644"/>
        <w:spacing w:after="0" w:line="288" w:lineRule="auto"/>
        <w:tabs>
          <w:tab w:leader="none" w:pos="173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86" w:lineRule="exact"/>
        <w:rPr>
          <w:rFonts w:ascii="Arial" w:cs="Arial" w:eastAsia="Arial" w:hAnsi="Arial"/>
          <w:sz w:val="19"/>
          <w:szCs w:val="19"/>
          <w:color w:val="auto"/>
        </w:rPr>
      </w:pPr>
    </w:p>
    <w:p>
      <w:pPr>
        <w:ind w:left="660" w:firstLine="644"/>
        <w:spacing w:after="0" w:line="287" w:lineRule="auto"/>
        <w:tabs>
          <w:tab w:leader="none" w:pos="1834" w:val="left"/>
        </w:tabs>
        <w:numPr>
          <w:ilvl w:val="1"/>
          <w:numId w:val="145"/>
        </w:numPr>
        <w:rPr>
          <w:rFonts w:ascii="Arial" w:cs="Arial" w:eastAsia="Arial" w:hAnsi="Arial"/>
          <w:sz w:val="21"/>
          <w:szCs w:val="21"/>
          <w:color w:val="auto"/>
        </w:rPr>
      </w:pPr>
      <w:r>
        <w:rPr>
          <w:rFonts w:ascii="Arial" w:cs="Arial" w:eastAsia="Arial" w:hAnsi="Arial"/>
          <w:sz w:val="21"/>
          <w:szCs w:val="21"/>
          <w:color w:val="auto"/>
        </w:rPr>
        <w:t>nothing in this Agreement or any Loan Document shall require the Administrative Agent to account to any Lender for any sum or the profit element of any sum received by the Administrative Agent for its own account;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159" w:name="page160"/>
    <w:bookmarkEnd w:id="159"/>
    <w:p>
      <w:pPr>
        <w:spacing w:after="0" w:line="231" w:lineRule="exact"/>
        <w:rPr>
          <w:sz w:val="20"/>
          <w:szCs w:val="20"/>
          <w:color w:val="auto"/>
        </w:rPr>
      </w:pPr>
    </w:p>
    <w:p>
      <w:pPr>
        <w:jc w:val="both"/>
        <w:ind w:firstLine="656"/>
        <w:spacing w:after="0" w:line="312" w:lineRule="auto"/>
        <w:tabs>
          <w:tab w:leader="none" w:pos="115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0" w:lineRule="exact"/>
        <w:rPr>
          <w:rFonts w:ascii="Arial" w:cs="Arial" w:eastAsia="Arial" w:hAnsi="Arial"/>
          <w:sz w:val="19"/>
          <w:szCs w:val="19"/>
          <w:color w:val="auto"/>
        </w:rPr>
      </w:pPr>
    </w:p>
    <w:p>
      <w:pPr>
        <w:jc w:val="both"/>
        <w:ind w:firstLine="656"/>
        <w:spacing w:after="0" w:line="297" w:lineRule="auto"/>
        <w:tabs>
          <w:tab w:leader="none" w:pos="121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Credit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73" w:lineRule="exact"/>
        <w:rPr>
          <w:rFonts w:ascii="Arial" w:cs="Arial" w:eastAsia="Arial" w:hAnsi="Arial"/>
          <w:sz w:val="19"/>
          <w:szCs w:val="19"/>
          <w:color w:val="auto"/>
        </w:rPr>
      </w:pPr>
    </w:p>
    <w:p>
      <w:pPr>
        <w:jc w:val="both"/>
        <w:ind w:left="660" w:firstLine="644"/>
        <w:spacing w:after="0" w:line="302" w:lineRule="auto"/>
        <w:tabs>
          <w:tab w:leader="none" w:pos="1732"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w:t>
      </w:r>
      <w:r>
        <w:rPr>
          <w:rFonts w:ascii="Arial" w:cs="Arial" w:eastAsia="Arial" w:hAnsi="Arial"/>
          <w:sz w:val="19"/>
          <w:szCs w:val="19"/>
          <w:u w:val="single" w:color="auto"/>
          <w:color w:val="auto"/>
        </w:rPr>
        <w:t>Sections 2.12, 2.13, 2.15, 2.17 and 9.03</w:t>
      </w:r>
      <w:r>
        <w:rPr>
          <w:rFonts w:ascii="Arial" w:cs="Arial" w:eastAsia="Arial" w:hAnsi="Arial"/>
          <w:sz w:val="19"/>
          <w:szCs w:val="19"/>
          <w:color w:val="auto"/>
        </w:rPr>
        <w:t>) allowed in such judicial proceeding; and</w:t>
      </w:r>
    </w:p>
    <w:p>
      <w:pPr>
        <w:spacing w:after="0" w:line="182" w:lineRule="exact"/>
        <w:rPr>
          <w:rFonts w:ascii="Arial" w:cs="Arial" w:eastAsia="Arial" w:hAnsi="Arial"/>
          <w:sz w:val="19"/>
          <w:szCs w:val="19"/>
          <w:color w:val="auto"/>
        </w:rPr>
      </w:pPr>
    </w:p>
    <w:p>
      <w:pPr>
        <w:ind w:left="660" w:firstLine="644"/>
        <w:spacing w:after="0" w:line="263" w:lineRule="auto"/>
        <w:tabs>
          <w:tab w:leader="none" w:pos="193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proceeding is hereby authorized by each Lender, and each Issuing to make such payments to the Administrative Agent and, in the event that the Administrative Agent shall consent to the making of such payments directly to the Lenders or the Issuing Bank, to pay to the Administrative Agent any amount due to it, in its capacity as the Administrative Agent, under the Loan Documents (including under </w:t>
      </w:r>
      <w:r>
        <w:rPr>
          <w:rFonts w:ascii="Arial" w:cs="Arial" w:eastAsia="Arial" w:hAnsi="Arial"/>
          <w:sz w:val="19"/>
          <w:szCs w:val="19"/>
          <w:u w:val="single" w:color="auto"/>
          <w:color w:val="auto"/>
        </w:rPr>
        <w:t>Section 9.03</w:t>
      </w:r>
      <w:r>
        <w:rPr>
          <w:rFonts w:ascii="Arial" w:cs="Arial" w:eastAsia="Arial" w:hAnsi="Arial"/>
          <w:sz w:val="19"/>
          <w:szCs w:val="19"/>
          <w:color w:val="auto"/>
        </w:rPr>
        <w:t>). 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the Issuing Bank or to authorize the Administrative Agent to vote in respect of the claim of any Lender or the Issuing Bank in any such proceeding.</w:t>
      </w:r>
    </w:p>
    <w:p>
      <w:pPr>
        <w:spacing w:after="0" w:line="183" w:lineRule="exact"/>
        <w:rPr>
          <w:sz w:val="20"/>
          <w:szCs w:val="20"/>
          <w:color w:val="auto"/>
        </w:rPr>
      </w:pPr>
    </w:p>
    <w:p>
      <w:pPr>
        <w:jc w:val="both"/>
        <w:ind w:firstLine="656"/>
        <w:spacing w:after="0" w:line="247" w:lineRule="auto"/>
        <w:tabs>
          <w:tab w:leader="none" w:pos="116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provisions of this Article are solely for the benefit of the Administrative Agent, the Lenders and the Issuing Bank, and, except solely to the extent of the Company’s rights to consent pursuant to and subject to the conditions set forth in this Article, none of the Company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40" w:right="339" w:bottom="1440" w:gutter="0" w:footer="0" w:header="0"/>
        </w:sectPr>
      </w:pPr>
    </w:p>
    <w:bookmarkStart w:id="160" w:name="page161"/>
    <w:bookmarkEnd w:id="160"/>
    <w:p>
      <w:pPr>
        <w:jc w:val="both"/>
        <w:ind w:firstLine="648"/>
        <w:spacing w:after="0" w:line="285"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Administrative Agent’s Reliance, Limitation of Liability, Etc</w:t>
      </w:r>
      <w:r>
        <w:rPr>
          <w:rFonts w:ascii="Arial" w:cs="Arial" w:eastAsia="Arial" w:hAnsi="Arial"/>
          <w:sz w:val="19"/>
          <w:szCs w:val="19"/>
          <w:color w:val="auto"/>
        </w:rPr>
        <w:t>. (a) Neither the Administrative Agent nor any of its Related Parties shall be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w:t>
      </w:r>
    </w:p>
    <w:p>
      <w:pPr>
        <w:spacing w:after="0" w:line="3" w:lineRule="exact"/>
        <w:rPr>
          <w:sz w:val="20"/>
          <w:szCs w:val="20"/>
          <w:color w:val="auto"/>
        </w:rPr>
      </w:pPr>
    </w:p>
    <w:p>
      <w:pPr>
        <w:jc w:val="both"/>
        <w:ind w:firstLine="8"/>
        <w:spacing w:after="0" w:line="286" w:lineRule="auto"/>
        <w:tabs>
          <w:tab w:leader="none" w:pos="31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 the absence of its own gross negligence or willful misconduct (such absence to be presumed unless otherwise determined by a court of competent jurisdiction by a final and non-appealable judgment) or responsible in any manner to any of the Lenders for any recitals, statements, representations or warranties made by any Credit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Credit Party to perform its obligations hereunder or thereunder.</w:t>
      </w:r>
    </w:p>
    <w:p>
      <w:pPr>
        <w:spacing w:after="0" w:line="190" w:lineRule="exact"/>
        <w:rPr>
          <w:rFonts w:ascii="Arial" w:cs="Arial" w:eastAsia="Arial" w:hAnsi="Arial"/>
          <w:sz w:val="19"/>
          <w:szCs w:val="19"/>
          <w:color w:val="auto"/>
        </w:rPr>
      </w:pPr>
    </w:p>
    <w:p>
      <w:pPr>
        <w:jc w:val="both"/>
        <w:ind w:firstLine="656"/>
        <w:spacing w:after="0" w:line="285" w:lineRule="auto"/>
        <w:tabs>
          <w:tab w:leader="none" w:pos="1331"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The Administrative Agent shall be deemed not to have knowledge of any notice of any of the events or circumstances set forth or described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unless and until written notice thereof stating that it is a “notice under Section 5.02” in respect of this Agreement and identifying the specific clause under said Section is given to the Administrative Agent by the Borrower, or notice of any Default or Event of Default unless and until written notice thereof (stating that it is a “notice of Default” or a “notice of an Event of Default”) is given to the Administrative Agent by the Company, a Lender or the Issuing Bank. Further, the Administrative Agent shall not be responsible for or have any duty to ascertain or inquire into any statement, warranty or representation made in or in connection with any Loan Document, the contents of any certificate, report or other document delivered thereunder or in connection therewith, the performance or observance of any of the covenants, agreements or other terms or conditions set forth in any Loan Document or the occurrence of any Default or Event of Default, the sufficiency, validity, enforceability, effectiveness or genuineness of any Loan Document or any other agreement, instrument or document,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the creation, perfection or priority of Liens on the Collateral. Notwithstanding anything herein to the contrary, the Administrative Agent shall not be liable for, or be responsible for any Liabilities, costs or expenses suffered by the Company, any Subsidiary, any Lender or the Issuing Bank as a result of, any determination of the Revolving Credit Exposure, any of the component amounts thereof or any portion thereof attributable to each Lender or the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8" w:right="339" w:bottom="1440" w:gutter="0" w:footer="0" w:header="0"/>
        </w:sectPr>
      </w:pPr>
    </w:p>
    <w:bookmarkStart w:id="161" w:name="page162"/>
    <w:bookmarkEnd w:id="161"/>
    <w:p>
      <w:pPr>
        <w:jc w:val="both"/>
        <w:ind w:left="-220" w:firstLine="656"/>
        <w:spacing w:after="0" w:line="286" w:lineRule="auto"/>
        <w:tabs>
          <w:tab w:leader="none" w:pos="93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Without limiting the foregoing, the Administrative Agent may treat the payee of any promissory note as its holder until such promissory note has been assigned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may rely on the Register to the extent set forth in </w:t>
      </w:r>
      <w:r>
        <w:rPr>
          <w:rFonts w:ascii="Arial" w:cs="Arial" w:eastAsia="Arial" w:hAnsi="Arial"/>
          <w:sz w:val="19"/>
          <w:szCs w:val="19"/>
          <w:u w:val="single" w:color="auto"/>
          <w:color w:val="auto"/>
        </w:rPr>
        <w:t>Section 9.04(b)</w:t>
      </w:r>
      <w:r>
        <w:rPr>
          <w:rFonts w:ascii="Arial" w:cs="Arial" w:eastAsia="Arial" w:hAnsi="Arial"/>
          <w:sz w:val="19"/>
          <w:szCs w:val="19"/>
          <w:color w:val="auto"/>
        </w:rPr>
        <w:t>,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makes no warranty or representation to any Lender or the Issuing Bank and shall not be responsible to any Lender or the Issuing Bank for any statements, warranties or representations made by or on behalf of any Credit Party in connection with this Agreement or any other Loan Document, in determining compliance with any condition hereunder to the making of a Loan, or the issuance of a Letter of Credit, that by its terms must be fulfilled to the satisfaction of a Lender or the Issuing Bank, may presume that such condition is satisfactory to such Lender or the Issuing Bank unless the Administrative Agent shall have received notice to the contrary from such Lender or the Issuing Bank sufficiently in advance of the making of such Loan or the issuance of such Letter of Credit and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Posting of Communications</w:t>
      </w:r>
      <w:r>
        <w:rPr>
          <w:rFonts w:ascii="Arial" w:cs="Arial" w:eastAsia="Arial" w:hAnsi="Arial"/>
          <w:sz w:val="22"/>
          <w:szCs w:val="22"/>
          <w:color w:val="auto"/>
        </w:rPr>
        <w:t>.</w:t>
      </w:r>
    </w:p>
    <w:p>
      <w:pPr>
        <w:spacing w:after="0" w:line="247" w:lineRule="exact"/>
        <w:rPr>
          <w:sz w:val="20"/>
          <w:szCs w:val="20"/>
          <w:color w:val="auto"/>
        </w:rPr>
      </w:pPr>
    </w:p>
    <w:p>
      <w:pPr>
        <w:jc w:val="both"/>
        <w:ind w:left="-220" w:firstLine="656"/>
        <w:spacing w:after="0" w:line="250" w:lineRule="auto"/>
        <w:tabs>
          <w:tab w:leader="none" w:pos="93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Company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Arial" w:cs="Arial" w:eastAsia="Arial" w:hAnsi="Arial"/>
          <w:sz w:val="22"/>
          <w:szCs w:val="22"/>
          <w:u w:val="single" w:color="auto"/>
          <w:color w:val="auto"/>
        </w:rPr>
        <w:t>Approved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Electronic Platform</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left="-220" w:firstLine="656"/>
        <w:spacing w:after="0" w:line="258" w:lineRule="auto"/>
        <w:tabs>
          <w:tab w:leader="none" w:pos="1049"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 and the Company hereby approves distribution of the Communications through the Approved Electronic Platform and understands and assumes the risks of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020"/>
          </w:cols>
          <w:pgMar w:left="540" w:top="1428" w:right="339" w:bottom="1440" w:gutter="0" w:footer="0" w:header="0"/>
        </w:sectPr>
      </w:pPr>
    </w:p>
    <w:bookmarkStart w:id="162" w:name="page163"/>
    <w:bookmarkEnd w:id="162"/>
    <w:p>
      <w:pPr>
        <w:jc w:val="both"/>
        <w:ind w:firstLine="656"/>
        <w:spacing w:after="0" w:line="244" w:lineRule="auto"/>
        <w:tabs>
          <w:tab w:leader="none" w:pos="124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Arial" w:cs="Arial" w:eastAsia="Arial" w:hAnsi="Arial"/>
          <w:sz w:val="22"/>
          <w:szCs w:val="22"/>
          <w:u w:val="single" w:color="auto"/>
          <w:color w:val="auto"/>
        </w:rPr>
        <w:t>APPLICABLE PARTIES</w:t>
      </w:r>
      <w:r>
        <w:rPr>
          <w:rFonts w:ascii="Arial" w:cs="Arial" w:eastAsia="Arial" w:hAnsi="Arial"/>
          <w:sz w:val="22"/>
          <w:szCs w:val="22"/>
          <w:color w:val="auto"/>
        </w:rPr>
        <w:t>”) HAVE ANY LIABILITY TO ANY CREDIT PARTY, ANY LENDER, THE ISSUING BANK OR ANY OTHER PERSON OR ENTITY FOR DAMAGES OF ANY KIND, INCLUDING DIRECT OR INDIRECT, SPECIAL, INCIDENTAL OR CONSEQUENTIAL DAMAGES, LOSSES OR EXPENSES (WHETHER IN TORT, CONTRACT OR OTHERWISE) ARISING OUT OF ANY CREDIT PARTY’S OR THE ADMINISTRATIVE AGENT’S TRANSMISSION OF COMMUNICATIONS THROUGH THE INTERNET OR THE APPROVED ELECTRONIC PLATFORM.</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means, collectively, any notice, demand, communication, information, document or other material provided by or on behalf of any Credit Party pursuant to any Loan Document or the transactions contemplated therein which is distributed by the Administrative Agent, any Lender or the Issuing Bank by means of electronic communications pursuant to this Section, including through an Approved Electronic Platform.</w:t>
      </w:r>
    </w:p>
    <w:p>
      <w:pPr>
        <w:spacing w:after="0" w:line="215" w:lineRule="exact"/>
        <w:rPr>
          <w:sz w:val="20"/>
          <w:szCs w:val="20"/>
          <w:color w:val="auto"/>
        </w:rPr>
      </w:pPr>
    </w:p>
    <w:p>
      <w:pPr>
        <w:jc w:val="both"/>
        <w:ind w:firstLine="656"/>
        <w:spacing w:after="0" w:line="247" w:lineRule="auto"/>
        <w:tabs>
          <w:tab w:leader="none" w:pos="127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Each Lender and the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to notify the Administrative Agent in writing (which could be in the form of electronic communication) from time to time of such Lender’s or Issuing Bank’s (as applicable) email address to which the foregoing notice may be sent by electronic transmission and that the foregoing notice may be sent to such email address.</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20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of the Lenders, each of the Issuing Bank and the Borrowers agree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3" w:lineRule="exact"/>
        <w:rPr>
          <w:rFonts w:ascii="Arial" w:cs="Arial" w:eastAsia="Arial" w:hAnsi="Arial"/>
          <w:sz w:val="19"/>
          <w:szCs w:val="19"/>
          <w:color w:val="auto"/>
        </w:rPr>
      </w:pPr>
    </w:p>
    <w:p>
      <w:pPr>
        <w:ind w:firstLine="656"/>
        <w:spacing w:after="0" w:line="343" w:lineRule="auto"/>
        <w:tabs>
          <w:tab w:leader="none" w:pos="115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any Lender or the Issuing Bank to give any notice or other communication pursuant to any Loan Document in any other manner specified in such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163" w:name="page164"/>
    <w:bookmarkEnd w:id="163"/>
    <w:p>
      <w:pPr>
        <w:jc w:val="both"/>
        <w:ind w:firstLine="648"/>
        <w:spacing w:after="0" w:line="288"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Revolving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the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Borrowers, any Subsidiary or any Affiliate of any of the foregoing as if such Person was not acting as the Administrative Agent and without any duty to account therefor to the Lenders or the Issuing Bank.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6" w:lineRule="auto"/>
        <w:tabs>
          <w:tab w:leader="none" w:pos="112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the Issuing Bank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firstLine="656"/>
        <w:spacing w:after="0" w:line="294" w:lineRule="auto"/>
        <w:tabs>
          <w:tab w:leader="none" w:pos="117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Notwithstanding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Company, whereupon, on the date of effectiveness of such resignation stated in such notice, the retiring Administrative Agent shall be discharged from its duties and obligations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maintaining any security interest granted to the Administrative Agent under 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164" w:name="page165"/>
    <w:bookmarkEnd w:id="164"/>
    <w:p>
      <w:pPr>
        <w:jc w:val="both"/>
        <w:spacing w:after="0" w:line="285" w:lineRule="auto"/>
        <w:rPr>
          <w:sz w:val="20"/>
          <w:szCs w:val="20"/>
          <w:color w:val="auto"/>
        </w:rPr>
      </w:pPr>
      <w:r>
        <w:rPr>
          <w:rFonts w:ascii="Arial" w:cs="Arial" w:eastAsia="Arial" w:hAnsi="Arial"/>
          <w:sz w:val="19"/>
          <w:szCs w:val="19"/>
          <w:color w:val="auto"/>
        </w:rPr>
        <w:t xml:space="preserve">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payments required to be made hereunder or under any other Loan Document to the Administrative Agent for the account of any Person other than the Administrative Agent shall be made directly to such Person and all notices and other communications required or contemplated to be given or made to the Administrative Agent shall directly be given or made to each Lender and the Issuing Bank. Following the effectiveness of the Administrative Agent’s resignation from its capacity as such,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w:t>
      </w:r>
    </w:p>
    <w:p>
      <w:pPr>
        <w:spacing w:after="0" w:line="19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Acknowledgements of Lenders and Issuing Banks</w:t>
      </w:r>
      <w:r>
        <w:rPr>
          <w:rFonts w:ascii="Arial" w:cs="Arial" w:eastAsia="Arial" w:hAnsi="Arial"/>
          <w:sz w:val="19"/>
          <w:szCs w:val="19"/>
          <w:color w:val="auto"/>
        </w:rPr>
        <w:t>. (a) Each Lender and the Issuing Bank represents and warrants that the Loan Documents set forth the terms of a commercial lending facility, it is engaged in making, acquiring or holding commercial loans and in providing other facilities set forth herein as may be applicable to such Lender or the Issuing Bank, in each case in the ordinary course of business, and not for the purpose of purchasing, acquiring or holding any other type of financial instrument (and each Lender and the Issuing Bank agrees not to assert a claim in contravention of the foregoing), it has, independently and without reliance upon the Administrative Agent, any Arranger, any Syndication Agent, any Co-Documentation Agent or any other Lender or the Issuing Bank, or any of the Related Parties of any of the foregoing, and based on such documents and information as it has deemed appropriate, made its own credit analysis and decision to enter into this Agreement as a Lender, and to make, acquire or hold Loans hereunder and it is sophisticated with respect to decisions to make, acquire and/or hold commercial loans and to provide other facilities set forth herein, as may be applicable to such Lender or the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the Issuing Bank also acknowledges that it will, independently and without reliance upon the Administrative Agent, any Arranger any Syndication Agent, any Co-Documentation Agent or any other Lender or the Issuing Bank, or any of the Related Parties of any of the foregoing, and based on such documents and information (which may contain material, non-public information within the meaning of the United States securities laws concerning the Company and its Affiliates)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165" w:name="page166"/>
    <w:bookmarkEnd w:id="165"/>
    <w:p>
      <w:pPr>
        <w:ind w:right="20"/>
        <w:spacing w:after="0" w:line="343" w:lineRule="auto"/>
        <w:rPr>
          <w:sz w:val="20"/>
          <w:szCs w:val="20"/>
          <w:color w:val="auto"/>
        </w:rPr>
      </w:pPr>
      <w:r>
        <w:rPr>
          <w:rFonts w:ascii="Arial" w:cs="Arial" w:eastAsia="Arial" w:hAnsi="Arial"/>
          <w:sz w:val="19"/>
          <w:szCs w:val="19"/>
          <w:color w:val="auto"/>
        </w:rPr>
        <w:t>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31" w:lineRule="exact"/>
        <w:rPr>
          <w:sz w:val="20"/>
          <w:szCs w:val="20"/>
          <w:color w:val="auto"/>
        </w:rPr>
      </w:pPr>
    </w:p>
    <w:p>
      <w:pPr>
        <w:jc w:val="both"/>
        <w:ind w:firstLine="656"/>
        <w:spacing w:after="0" w:line="302" w:lineRule="auto"/>
        <w:tabs>
          <w:tab w:leader="none" w:pos="119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Collateral Matters</w:t>
      </w:r>
      <w:r>
        <w:rPr>
          <w:rFonts w:ascii="Arial" w:cs="Arial" w:eastAsia="Arial" w:hAnsi="Arial"/>
          <w:sz w:val="21"/>
          <w:szCs w:val="21"/>
          <w:color w:val="auto"/>
        </w:rPr>
        <w:t xml:space="preserve">. (a) Except with respect to the exercise of setoff rights in accordance with </w:t>
      </w:r>
      <w:r>
        <w:rPr>
          <w:rFonts w:ascii="Arial" w:cs="Arial" w:eastAsia="Arial" w:hAnsi="Arial"/>
          <w:sz w:val="21"/>
          <w:szCs w:val="21"/>
          <w:u w:val="single" w:color="auto"/>
          <w:color w:val="auto"/>
        </w:rPr>
        <w:t>Section 9.08</w:t>
      </w:r>
      <w:r>
        <w:rPr>
          <w:rFonts w:ascii="Arial" w:cs="Arial" w:eastAsia="Arial" w:hAnsi="Arial"/>
          <w:sz w:val="21"/>
          <w:szCs w:val="21"/>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202" w:lineRule="exact"/>
        <w:rPr>
          <w:sz w:val="20"/>
          <w:szCs w:val="20"/>
          <w:color w:val="auto"/>
        </w:rPr>
      </w:pPr>
    </w:p>
    <w:p>
      <w:pPr>
        <w:jc w:val="both"/>
        <w:ind w:firstLine="656"/>
        <w:spacing w:after="0" w:line="290" w:lineRule="auto"/>
        <w:tabs>
          <w:tab w:leader="none" w:pos="116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furtherance of the foregoing and not in limitation thereof, no arrangements in respect of any Cash Management Agreement the obligations under which constitute Obligations and no Swap Agreement the obligations under which constitute Obligations, will create (or be deemed to create) in favor of any Secured Party that is a party thereto any rights in connection with the management or release of any Collateral or of the obligations of any Credit Party under any Loan Document. By accepting the benefits of the Collateral, each Secured Party that is a party to any such arrangement in respect of any Cash Management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96" w:lineRule="exact"/>
        <w:rPr>
          <w:rFonts w:ascii="Arial" w:cs="Arial" w:eastAsia="Arial" w:hAnsi="Arial"/>
          <w:sz w:val="19"/>
          <w:szCs w:val="19"/>
          <w:color w:val="auto"/>
        </w:rPr>
      </w:pPr>
    </w:p>
    <w:p>
      <w:pPr>
        <w:jc w:val="both"/>
        <w:ind w:firstLine="656"/>
        <w:spacing w:after="0" w:line="260" w:lineRule="auto"/>
        <w:tabs>
          <w:tab w:leader="none" w:pos="1108"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Arial" w:cs="Arial" w:eastAsia="Arial" w:hAnsi="Arial"/>
          <w:sz w:val="21"/>
          <w:szCs w:val="21"/>
          <w:u w:val="single" w:color="auto"/>
          <w:color w:val="auto"/>
        </w:rPr>
        <w:t>Section 6.02(a)</w:t>
      </w:r>
      <w:r>
        <w:rPr>
          <w:rFonts w:ascii="Arial" w:cs="Arial" w:eastAsia="Arial" w:hAnsi="Arial"/>
          <w:sz w:val="21"/>
          <w:szCs w:val="21"/>
          <w:color w:val="auto"/>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or any other Secured Party for any failure to monitor or maintain any portion of the Collateral.</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Credit Bidding</w:t>
      </w:r>
      <w:r>
        <w:rPr>
          <w:rFonts w:ascii="Arial" w:cs="Arial" w:eastAsia="Arial" w:hAnsi="Arial"/>
          <w:sz w:val="22"/>
          <w:szCs w:val="22"/>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28" w:right="339" w:bottom="1440" w:gutter="0" w:footer="0" w:header="0"/>
        </w:sectPr>
      </w:pPr>
    </w:p>
    <w:bookmarkStart w:id="166" w:name="page167"/>
    <w:bookmarkEnd w:id="166"/>
    <w:p>
      <w:pPr>
        <w:jc w:val="both"/>
        <w:spacing w:after="0" w:line="283" w:lineRule="auto"/>
        <w:rPr>
          <w:sz w:val="20"/>
          <w:szCs w:val="20"/>
          <w:color w:val="auto"/>
        </w:rPr>
      </w:pPr>
      <w:r>
        <w:rPr>
          <w:rFonts w:ascii="Arial" w:cs="Arial" w:eastAsia="Arial" w:hAnsi="Arial"/>
          <w:sz w:val="19"/>
          <w:szCs w:val="19"/>
          <w:color w:val="auto"/>
        </w:rPr>
        <w:t xml:space="preserve">purchase (either directly or through one or more acquisition vehicles) all or any portion of the Collateral at any sale thereof conducted under the provisions of the Bankruptcy Code, including under Sections 363, 1123 or 1129 of the Bankruptcy Code, or any similar laws in any other jurisdictions to which a Credit Party is subject, or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the Administrative Agent shall be authorized to form one or more acquisition vehicles and to assign any successful credit bid to such acquisition vehicle or vehicles, each of the Secured Parties’ ratable interests in the Obligations which were credit bid shall be deemed without any further action under this Agreement to be assigned to such vehicle or vehicles for the purpose of closing such sale,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28"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submission of any credit bid or the consummation of the transactions contemplated by such credit bid.</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Credit Party, that at least one of the following is and will be true:</w:t>
      </w:r>
    </w:p>
    <w:p>
      <w:pPr>
        <w:spacing w:after="0" w:line="219" w:lineRule="exact"/>
        <w:rPr>
          <w:sz w:val="20"/>
          <w:szCs w:val="20"/>
          <w:color w:val="auto"/>
        </w:rPr>
      </w:pPr>
    </w:p>
    <w:p>
      <w:pPr>
        <w:ind w:left="660" w:firstLine="644"/>
        <w:spacing w:after="0" w:line="263" w:lineRule="auto"/>
        <w:tabs>
          <w:tab w:leader="none" w:pos="180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in connection with the Loans, the Letters of Credit or the Revolving Commitments,</w:t>
      </w:r>
    </w:p>
    <w:p>
      <w:pPr>
        <w:spacing w:after="0" w:line="201" w:lineRule="exact"/>
        <w:rPr>
          <w:rFonts w:ascii="Arial" w:cs="Arial" w:eastAsia="Arial" w:hAnsi="Arial"/>
          <w:sz w:val="22"/>
          <w:szCs w:val="22"/>
          <w:color w:val="auto"/>
        </w:rPr>
      </w:pPr>
    </w:p>
    <w:p>
      <w:pPr>
        <w:jc w:val="both"/>
        <w:ind w:left="660" w:firstLine="644"/>
        <w:spacing w:after="0" w:line="292" w:lineRule="auto"/>
        <w:tabs>
          <w:tab w:leader="none" w:pos="1837"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91" w:lineRule="exact"/>
        <w:rPr>
          <w:rFonts w:ascii="Arial" w:cs="Arial" w:eastAsia="Arial" w:hAnsi="Arial"/>
          <w:sz w:val="19"/>
          <w:szCs w:val="19"/>
          <w:color w:val="auto"/>
        </w:rPr>
      </w:pPr>
    </w:p>
    <w:p>
      <w:pPr>
        <w:jc w:val="both"/>
        <w:ind w:left="660" w:firstLine="644"/>
        <w:spacing w:after="0" w:line="285" w:lineRule="auto"/>
        <w:tabs>
          <w:tab w:leader="none" w:pos="1989"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such Lender is an investment fund managed by a “Qualified Professional Asset Manager” (within the meaning of Part VI of PTE 84-14), such Qualified Professional Asset Manager made the investment decision on behalf of such Lender to enter into, participate in, administer and perform the Loans, the Letters of Credit, the Revolving Commitments and this Agreement, the entrance into, participation in, administration of and performance of the Loans, the Letters of Credit, the Revolving Commitments and this Agreement satisfies the requirements of sub-sections (b) through</w:t>
      </w:r>
    </w:p>
    <w:p>
      <w:pPr>
        <w:spacing w:after="0" w:line="3" w:lineRule="exact"/>
        <w:rPr>
          <w:rFonts w:ascii="Arial" w:cs="Arial" w:eastAsia="Arial" w:hAnsi="Arial"/>
          <w:sz w:val="19"/>
          <w:szCs w:val="19"/>
          <w:color w:val="auto"/>
        </w:rPr>
      </w:pPr>
    </w:p>
    <w:p>
      <w:pPr>
        <w:jc w:val="both"/>
        <w:ind w:left="660" w:hanging="4"/>
        <w:spacing w:after="0" w:line="245" w:lineRule="auto"/>
        <w:tabs>
          <w:tab w:leader="none" w:pos="97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of Part I of PTE 84-14 and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219" w:lineRule="exact"/>
        <w:rPr>
          <w:rFonts w:ascii="Arial" w:cs="Arial" w:eastAsia="Arial" w:hAnsi="Arial"/>
          <w:sz w:val="22"/>
          <w:szCs w:val="22"/>
          <w:color w:val="auto"/>
        </w:rPr>
      </w:pPr>
    </w:p>
    <w:p>
      <w:pPr>
        <w:ind w:left="660" w:firstLine="644"/>
        <w:spacing w:after="0" w:line="263" w:lineRule="auto"/>
        <w:tabs>
          <w:tab w:leader="none" w:pos="1896"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202" w:lineRule="exact"/>
        <w:rPr>
          <w:sz w:val="20"/>
          <w:szCs w:val="20"/>
          <w:color w:val="auto"/>
        </w:rPr>
      </w:pPr>
    </w:p>
    <w:p>
      <w:pPr>
        <w:jc w:val="both"/>
        <w:ind w:firstLine="656"/>
        <w:spacing w:after="0" w:line="265" w:lineRule="auto"/>
        <w:tabs>
          <w:tab w:leader="none" w:pos="1183"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In addition, unless sub-clause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in the immediately preceding clause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is true with respect to a Lender or such Lender has provided another representation, warranty and covenant as provided in sub-clause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in the immediately preceding clause </w:t>
      </w:r>
      <w:r>
        <w:rPr>
          <w:rFonts w:ascii="Arial" w:cs="Arial" w:eastAsia="Arial" w:hAnsi="Arial"/>
          <w:sz w:val="21"/>
          <w:szCs w:val="21"/>
          <w:u w:val="single" w:color="auto"/>
          <w:color w:val="auto"/>
        </w:rPr>
        <w:t>(a)</w:t>
      </w:r>
      <w:r>
        <w:rPr>
          <w:rFonts w:ascii="Arial" w:cs="Arial" w:eastAsia="Arial" w:hAnsi="Arial"/>
          <w:sz w:val="21"/>
          <w:szCs w:val="21"/>
          <w:color w:val="auto"/>
        </w:rPr>
        <w:t>, such Lender further (x) represents and warrants, as of the date such Person became a Lender party hereto, to, and (y) covenants, from the date such Person became a Lender party hereto to the date such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47" w:lineRule="auto"/>
        <w:rPr>
          <w:sz w:val="20"/>
          <w:szCs w:val="20"/>
          <w:color w:val="auto"/>
        </w:rPr>
      </w:pPr>
      <w:r>
        <w:rPr>
          <w:rFonts w:ascii="Arial" w:cs="Arial" w:eastAsia="Arial" w:hAnsi="Arial"/>
          <w:sz w:val="22"/>
          <w:szCs w:val="22"/>
          <w:color w:val="auto"/>
        </w:rPr>
        <w:t>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220" w:lineRule="exact"/>
        <w:rPr>
          <w:sz w:val="20"/>
          <w:szCs w:val="20"/>
          <w:color w:val="auto"/>
        </w:rPr>
      </w:pPr>
    </w:p>
    <w:p>
      <w:pPr>
        <w:jc w:val="both"/>
        <w:ind w:firstLine="656"/>
        <w:spacing w:after="0" w:line="287" w:lineRule="auto"/>
        <w:tabs>
          <w:tab w:leader="none" w:pos="112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may receive interest or other payments with respect to the Loans, the Letters of Credit, the Revolving Commitments, this Agreement and any other Loan Documents may recognize a gain if it extended the Loans, the Letters of Credit or the Revolving Commitments for an amount less than the amount being paid for an interest in the Loans, the Letters of Credit or the Revolving Commitments by such Lender or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50" w:lineRule="auto"/>
        <w:tabs>
          <w:tab w:leader="none" w:pos="118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Except in the case of notices and other communications expressly permitted to be given by telephone, electronic mail or through an Approved Electronic Platform (and subject to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214" w:lineRule="exact"/>
        <w:rPr>
          <w:rFonts w:ascii="Arial" w:cs="Arial" w:eastAsia="Arial" w:hAnsi="Arial"/>
          <w:sz w:val="22"/>
          <w:szCs w:val="22"/>
          <w:color w:val="auto"/>
        </w:rPr>
      </w:pPr>
    </w:p>
    <w:p>
      <w:pPr>
        <w:jc w:val="both"/>
        <w:ind w:left="660" w:firstLine="644"/>
        <w:spacing w:after="0" w:line="246" w:lineRule="auto"/>
        <w:tabs>
          <w:tab w:leader="none" w:pos="1751"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to the Company or any other Borrower, to Matrix Service Company, Attention 5100 E. Skelly Drive, Suite 500, Tulsa, Oklahoma 74135, Attention: Kevin S. Cavanah; Telephone (918) 838-8832; Fax: (918) 838-8810; Email: kcavanah@matrixservicecompany.com; with a copy to Matrix Service Company, Attention 5100 E. Skelly Drive, Suite 500, Tulsa, Oklahoma 74135, Attention: Mike McMahon; Telephone (918) 838-8832; Fax: (918) 624-2555; Email: mmcmahon@matrixservicecompany.com; with a copy to Conner &amp; Winters, LLC, 4000 One Williams Center, Tulsa, Oklahoma 74172, Attention; Mark D. Berman; Telephone (918) 586-8961; Fax: (918) 586-8661; Email: mberman@cwlaw.com;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28" w:right="339" w:bottom="1440" w:gutter="0" w:footer="0" w:header="0"/>
        </w:sectPr>
      </w:pPr>
    </w:p>
    <w:bookmarkStart w:id="169" w:name="page170"/>
    <w:bookmarkEnd w:id="169"/>
    <w:p>
      <w:pPr>
        <w:spacing w:after="0" w:line="231" w:lineRule="exact"/>
        <w:rPr>
          <w:sz w:val="20"/>
          <w:szCs w:val="20"/>
          <w:color w:val="auto"/>
        </w:rPr>
      </w:pPr>
    </w:p>
    <w:p>
      <w:pPr>
        <w:jc w:val="both"/>
        <w:ind w:left="660" w:firstLine="644"/>
        <w:spacing w:after="0" w:line="250" w:lineRule="auto"/>
        <w:tabs>
          <w:tab w:leader="none" w:pos="182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if to the Administrative Agent, or JPMorgan Chase Bank, N.A. as the Issuing Bank or Swingline Lender in respect of Loans or Letters of Credit in U.S. Dollars or Canadian Dollars, to JPMorgan Chase Bank, N.A., 10 S. Dearborn, Floor L2, Chicago, Illinois 60603, Attention: Ashley Goad; Telephone (312) 732-2467; Fax: (844) 235-1788; Email: CLS.CAD.Chicago@jpmorgan.com;</w:t>
      </w:r>
    </w:p>
    <w:p>
      <w:pPr>
        <w:spacing w:after="0" w:line="214" w:lineRule="exact"/>
        <w:rPr>
          <w:rFonts w:ascii="Arial" w:cs="Arial" w:eastAsia="Arial" w:hAnsi="Arial"/>
          <w:sz w:val="22"/>
          <w:szCs w:val="22"/>
          <w:color w:val="auto"/>
        </w:rPr>
      </w:pPr>
    </w:p>
    <w:p>
      <w:pPr>
        <w:jc w:val="both"/>
        <w:ind w:left="660" w:firstLine="644"/>
        <w:spacing w:after="0" w:line="291" w:lineRule="auto"/>
        <w:tabs>
          <w:tab w:leader="none" w:pos="190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if to the Administrative Agent or JPMorgan Chase Bank, N.A. as the Issuing Bank in respect of Loans or Letters of Credit in Foreign Currencies (other than Canadian Dollars), to J.P. Morgan Europe, Loan and Agency Group,</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25 Bank Street, Canary Wharf, London E14 5JP, Telephone +44 (0) 20 7742 1000; Fax: +44 (0) 20 7777 2360, E-Fax:</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12016395145@tls.ldsprod.com; Email: loan_and_agency_london@jpmorgan.com;</w:t>
      </w:r>
    </w:p>
    <w:p>
      <w:pPr>
        <w:spacing w:after="0" w:line="228" w:lineRule="exact"/>
        <w:rPr>
          <w:rFonts w:ascii="Arial" w:cs="Arial" w:eastAsia="Arial" w:hAnsi="Arial"/>
          <w:sz w:val="19"/>
          <w:szCs w:val="19"/>
          <w:color w:val="auto"/>
        </w:rPr>
      </w:pPr>
    </w:p>
    <w:p>
      <w:pPr>
        <w:jc w:val="both"/>
        <w:ind w:left="660" w:firstLine="644"/>
        <w:spacing w:after="0" w:line="291" w:lineRule="auto"/>
        <w:tabs>
          <w:tab w:leader="none" w:pos="184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if to the Administrative Agent in respect of any other matter, to JPMorgan Chase Bank, N.A., 210 Park Ave, Ste 2725, Floor 27, Oklahoma City, Oklahoma 73102-8606, Attention: Michael Mattson; Telephone (918) 586-5088; Fax</w:t>
      </w:r>
    </w:p>
    <w:p>
      <w:pPr>
        <w:spacing w:after="0" w:line="1" w:lineRule="exact"/>
        <w:rPr>
          <w:rFonts w:ascii="Arial" w:cs="Arial" w:eastAsia="Arial" w:hAnsi="Arial"/>
          <w:sz w:val="19"/>
          <w:szCs w:val="19"/>
          <w:color w:val="auto"/>
        </w:rPr>
      </w:pPr>
    </w:p>
    <w:p>
      <w:pPr>
        <w:jc w:val="both"/>
        <w:ind w:left="660" w:hanging="4"/>
        <w:spacing w:after="0" w:line="245" w:lineRule="auto"/>
        <w:tabs>
          <w:tab w:leader="none" w:pos="119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586-5474; Email: michael.mattson@chase.com; and JPMorgan Chase Bank, N.A., 210 Park Ave, Ste 2725, Floor 27, Oklahoma City, Oklahoma 73102-8606, Attention: Ryan Kirk; Telephone: (405) 231-6218; Fax: (405) 231 6758; Email: ryan.kirk@chase.com;</w:t>
      </w:r>
    </w:p>
    <w:p>
      <w:pPr>
        <w:spacing w:after="0" w:line="233" w:lineRule="exact"/>
        <w:rPr>
          <w:rFonts w:ascii="Arial" w:cs="Arial" w:eastAsia="Arial" w:hAnsi="Arial"/>
          <w:sz w:val="22"/>
          <w:szCs w:val="22"/>
          <w:color w:val="auto"/>
        </w:rPr>
      </w:pPr>
    </w:p>
    <w:p>
      <w:pPr>
        <w:ind w:left="1780" w:hanging="476"/>
        <w:spacing w:after="0"/>
        <w:tabs>
          <w:tab w:leader="none" w:pos="178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if to any other Lender, to it at its address (or fax number) set forth in its Administrative Questionnaire; and</w:t>
      </w:r>
    </w:p>
    <w:p>
      <w:pPr>
        <w:spacing w:after="0" w:line="281" w:lineRule="exact"/>
        <w:rPr>
          <w:rFonts w:ascii="Arial" w:cs="Arial" w:eastAsia="Arial" w:hAnsi="Arial"/>
          <w:sz w:val="19"/>
          <w:szCs w:val="19"/>
          <w:color w:val="auto"/>
        </w:rPr>
      </w:pPr>
    </w:p>
    <w:p>
      <w:pPr>
        <w:ind w:left="1840" w:hanging="536"/>
        <w:spacing w:after="0"/>
        <w:tabs>
          <w:tab w:leader="none" w:pos="18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if to Wells Fargo Bank, N.A. as an Issuing Bank, to 401 N. Research Pkwy, Winston-Salem, North Carolina</w:t>
      </w:r>
    </w:p>
    <w:p>
      <w:pPr>
        <w:spacing w:after="0" w:line="55"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27101, Attention: Standby L/C Department (Telecopy No. 1-844-879-2898); Email: standbycustomercare@wellsfargo.com.</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19" w:lineRule="exact"/>
        <w:rPr>
          <w:sz w:val="20"/>
          <w:szCs w:val="20"/>
          <w:color w:val="auto"/>
        </w:rPr>
      </w:pPr>
    </w:p>
    <w:p>
      <w:pPr>
        <w:jc w:val="both"/>
        <w:ind w:firstLine="656"/>
        <w:spacing w:after="0" w:line="294" w:lineRule="auto"/>
        <w:tabs>
          <w:tab w:leader="none" w:pos="117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Company, any Credit Party, the Lenders and the Issuing Bank hereunder may be delivered or furnished by using Approved Electronic Platforms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40" w:right="339" w:bottom="1440" w:gutter="0" w:footer="0" w:header="0"/>
        </w:sectPr>
      </w:pPr>
    </w:p>
    <w:bookmarkStart w:id="170" w:name="page171"/>
    <w:bookmarkEnd w:id="170"/>
    <w:p>
      <w:pPr>
        <w:jc w:val="both"/>
        <w:ind w:left="-220" w:firstLine="656"/>
        <w:spacing w:after="0" w:line="259" w:lineRule="auto"/>
        <w:tabs>
          <w:tab w:leader="none" w:pos="91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 xml:space="preserve">Unless the Administrative Agent otherwise prescribes, notices and other communications sent to an e-mail address shall be deemed received upon the sender’s receipt of an acknowledgement from the intended recipient (such as by the “return receipt requested” function, as available, return e-mail or other written acknowledgement), and notices or communications posted to an Internet or intranet website shall be deemed received upon the deemed receipt by the intended recipient, at its e-mail address as described in the foregoing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0" w:lineRule="exact"/>
        <w:rPr>
          <w:rFonts w:ascii="Arial" w:cs="Arial" w:eastAsia="Arial" w:hAnsi="Arial"/>
          <w:sz w:val="21"/>
          <w:szCs w:val="21"/>
          <w:color w:val="auto"/>
        </w:rPr>
      </w:pPr>
    </w:p>
    <w:p>
      <w:pPr>
        <w:ind w:left="-220" w:right="20" w:firstLine="656"/>
        <w:spacing w:after="0" w:line="263" w:lineRule="auto"/>
        <w:tabs>
          <w:tab w:leader="none" w:pos="95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47" w:lineRule="exact"/>
        <w:rPr>
          <w:sz w:val="20"/>
          <w:szCs w:val="20"/>
          <w:color w:val="auto"/>
        </w:rPr>
      </w:pPr>
    </w:p>
    <w:p>
      <w:pPr>
        <w:jc w:val="both"/>
        <w:ind w:left="-220" w:firstLine="656"/>
        <w:spacing w:after="0" w:line="288" w:lineRule="auto"/>
        <w:tabs>
          <w:tab w:leader="none" w:pos="92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the Issuing Banks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Issuing Banks and the Lenders hereunder are cumulative and are not exclusive of any rights or remedies that they would otherwise have. No waiver of any provision of this Agreement or consent to any departure by the Borrowers therefrom shall in any event be effective unless the same shall be permitted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Banks may have had notice or knowledge of such Default at the time.</w:t>
      </w:r>
    </w:p>
    <w:p>
      <w:pPr>
        <w:spacing w:after="0" w:line="199" w:lineRule="exact"/>
        <w:rPr>
          <w:rFonts w:ascii="Arial" w:cs="Arial" w:eastAsia="Arial" w:hAnsi="Arial"/>
          <w:sz w:val="19"/>
          <w:szCs w:val="19"/>
          <w:color w:val="auto"/>
        </w:rPr>
      </w:pPr>
    </w:p>
    <w:p>
      <w:pPr>
        <w:jc w:val="both"/>
        <w:ind w:left="-220" w:firstLine="656"/>
        <w:spacing w:after="0" w:line="258" w:lineRule="auto"/>
        <w:tabs>
          <w:tab w:leader="none" w:pos="941"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2.14(b)</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9.02(c)</w:t>
      </w:r>
      <w:r>
        <w:rPr>
          <w:rFonts w:ascii="Arial" w:cs="Arial" w:eastAsia="Arial" w:hAnsi="Arial"/>
          <w:sz w:val="21"/>
          <w:szCs w:val="21"/>
          <w:color w:val="auto"/>
        </w:rPr>
        <w:t xml:space="preserve"> below, 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agreement shall increase the Revolving Commitment of any Lender without the written consent of such Lender, reduce the principal amount of any Loan or LC Disbursement or reduce the rate of interest thereon, or reduce any fees payable hereunder, without the written consent of each Lender affected thereby, postpone the scheduled date of payment of the principal amount of any Loan or LC Disbursement, or any interest thereon, or any fees payable hereunder, or reduce the amount of, waive or excuse any such payment, or postpone the scheduled date of expiration of any Revolving Commitment, without the written consent of each Lender affected thereby, change </w:t>
      </w:r>
      <w:r>
        <w:rPr>
          <w:rFonts w:ascii="Arial" w:cs="Arial" w:eastAsia="Arial" w:hAnsi="Arial"/>
          <w:sz w:val="21"/>
          <w:szCs w:val="21"/>
          <w:u w:val="single" w:color="auto"/>
          <w:color w:val="auto"/>
        </w:rPr>
        <w:t>Section 2.18(b)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in a manner that would alter the sharing of payments required thereby, without the written consent of each Lender, change any of the provisions of this Section or the definition of “Required Lenders” or any other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020"/>
          </w:cols>
          <w:pgMar w:left="540" w:top="1428" w:right="339" w:bottom="1440" w:gutter="0" w:footer="0" w:header="0"/>
        </w:sectPr>
      </w:pPr>
    </w:p>
    <w:bookmarkStart w:id="171" w:name="page172"/>
    <w:bookmarkEnd w:id="171"/>
    <w:p>
      <w:pPr>
        <w:jc w:val="both"/>
        <w:spacing w:after="0" w:line="288" w:lineRule="auto"/>
        <w:rPr>
          <w:sz w:val="20"/>
          <w:szCs w:val="20"/>
          <w:color w:val="auto"/>
        </w:rPr>
      </w:pPr>
      <w:r>
        <w:rPr>
          <w:rFonts w:ascii="Arial" w:cs="Arial" w:eastAsia="Arial" w:hAnsi="Arial"/>
          <w:sz w:val="19"/>
          <w:szCs w:val="19"/>
          <w:color w:val="auto"/>
        </w:rPr>
        <w:t xml:space="preserve">provision hereof specifying the number or percentage of the Lenders required to waive, amend or modify any rights hereunder or make any determination or grant any consent hereunder, without the written consent of each Lender, release any Borrower from its Guarantee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release any </w:t>
      </w:r>
      <w:r>
        <w:rPr>
          <w:rFonts w:ascii="Arial" w:cs="Arial" w:eastAsia="Arial" w:hAnsi="Arial"/>
          <w:sz w:val="17"/>
          <w:szCs w:val="17"/>
          <w:color w:val="auto"/>
        </w:rPr>
        <w:t>Subsidiary</w:t>
      </w:r>
      <w:r>
        <w:rPr>
          <w:rFonts w:ascii="Arial" w:cs="Arial" w:eastAsia="Arial" w:hAnsi="Arial"/>
          <w:sz w:val="19"/>
          <w:szCs w:val="19"/>
          <w:color w:val="auto"/>
        </w:rPr>
        <w:t xml:space="preserve"> Guarantor from any Subsidiary Guaranty or release the Liens on a substantial part of the Collateral except in accordance with the terms of any Loan Document, in each case, without the written consent of each Lender or amend the definition of “Foreign Currency” to add a new currency or permit any non-U.S. Person to become a “Foreign Borrower” hereunder, in each case,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the Issuing Banks or the Swingline Lender hereunder without the prior written consent of the Administrative Agent, each Issuing Bank or the Swingline Lender, as the case may be;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or modify the provisions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without the prior written consent of the Administrative Agent and each Issuing Bank.</w:t>
      </w:r>
    </w:p>
    <w:p>
      <w:pPr>
        <w:spacing w:after="0" w:line="186" w:lineRule="exact"/>
        <w:rPr>
          <w:sz w:val="20"/>
          <w:szCs w:val="20"/>
          <w:color w:val="auto"/>
        </w:rPr>
      </w:pPr>
    </w:p>
    <w:p>
      <w:pPr>
        <w:jc w:val="both"/>
        <w:ind w:firstLine="656"/>
        <w:spacing w:after="0" w:line="248" w:lineRule="auto"/>
        <w:tabs>
          <w:tab w:leader="none" w:pos="135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Limitation of Liability; Indemnity; Etc</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57" w:lineRule="auto"/>
        <w:tabs>
          <w:tab w:leader="none" w:pos="1117"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The Borrowers shall pay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all reasonable out-of-pocket expenses incurred by the Issuing Bank in connection with the issuance, amendment, renewal or extension of any Letter of Credit or any demand for payment thereunder and all out-of-pocket expenses incurred by the Administrative Agent, the Issuing Bank or any Lender, including the fees, charges and disbursements of any counsel for the Administrative Agent, the Issuing Bank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17" w:lineRule="exact"/>
        <w:rPr>
          <w:rFonts w:ascii="Arial" w:cs="Arial" w:eastAsia="Arial" w:hAnsi="Arial"/>
          <w:sz w:val="21"/>
          <w:szCs w:val="21"/>
          <w:color w:val="auto"/>
        </w:rPr>
      </w:pPr>
    </w:p>
    <w:p>
      <w:pPr>
        <w:jc w:val="both"/>
        <w:ind w:firstLine="656"/>
        <w:spacing w:after="0" w:line="265" w:lineRule="auto"/>
        <w:tabs>
          <w:tab w:leader="none" w:pos="1210"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xml:space="preserve"> To the extent permitted by applicable law the Borrowers and each Credit Party shall not assert, and the Borrowers and each Credit Party hereby waives, any claim against the Administrative Agent, any Arranger, any Syndication Agent, any Co-Documentation Agent the Issuing Bank and any Lender, and any Related Party of any of the foregoing Persons (each such Person being called a “</w:t>
      </w:r>
      <w:r>
        <w:rPr>
          <w:rFonts w:ascii="Arial" w:cs="Arial" w:eastAsia="Arial" w:hAnsi="Arial"/>
          <w:sz w:val="21"/>
          <w:szCs w:val="21"/>
          <w:b w:val="1"/>
          <w:bCs w:val="1"/>
          <w:i w:val="1"/>
          <w:iCs w:val="1"/>
          <w:color w:val="auto"/>
        </w:rPr>
        <w:t>Lender-Related Person</w:t>
      </w:r>
      <w:r>
        <w:rPr>
          <w:rFonts w:ascii="Arial" w:cs="Arial" w:eastAsia="Arial" w:hAnsi="Arial"/>
          <w:sz w:val="21"/>
          <w:szCs w:val="21"/>
          <w:color w:val="auto"/>
        </w:rPr>
        <w:t>”) for any Liabilities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28" w:right="339" w:bottom="1440" w:gutter="0" w:footer="0" w:header="0"/>
        </w:sectPr>
      </w:pPr>
    </w:p>
    <w:bookmarkStart w:id="172" w:name="page173"/>
    <w:bookmarkEnd w:id="172"/>
    <w:p>
      <w:pPr>
        <w:jc w:val="both"/>
        <w:spacing w:after="0" w:line="290" w:lineRule="auto"/>
        <w:rPr>
          <w:sz w:val="20"/>
          <w:szCs w:val="20"/>
          <w:color w:val="auto"/>
        </w:rPr>
      </w:pPr>
      <w:r>
        <w:rPr>
          <w:rFonts w:ascii="Arial" w:cs="Arial" w:eastAsia="Arial" w:hAnsi="Arial"/>
          <w:sz w:val="19"/>
          <w:szCs w:val="19"/>
          <w:color w:val="auto"/>
        </w:rPr>
        <w:t xml:space="preserve">arising from the use by others of information or other materials (including, without limitation, any personal data) obtained through telecommunications, electronic or other information transmission systems (including the Internet), and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shall relieve the Borrowers and each Credit Party of any obligation it may have to indemnify an Indemnitee,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9.03(c)</w:t>
      </w:r>
      <w:r>
        <w:rPr>
          <w:rFonts w:ascii="Arial" w:cs="Arial" w:eastAsia="Arial" w:hAnsi="Arial"/>
          <w:sz w:val="19"/>
          <w:szCs w:val="19"/>
          <w:color w:val="auto"/>
        </w:rPr>
        <w:t>, against any special, indirect, consequential or punitive damages asserted against such Indemnitee by a third party.</w:t>
      </w:r>
    </w:p>
    <w:p>
      <w:pPr>
        <w:spacing w:after="0" w:line="183" w:lineRule="exact"/>
        <w:rPr>
          <w:sz w:val="20"/>
          <w:szCs w:val="20"/>
          <w:color w:val="auto"/>
        </w:rPr>
      </w:pPr>
    </w:p>
    <w:p>
      <w:pPr>
        <w:jc w:val="both"/>
        <w:ind w:firstLine="656"/>
        <w:spacing w:after="0" w:line="284" w:lineRule="auto"/>
        <w:tabs>
          <w:tab w:leader="none" w:pos="1144"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Borrowers shall indemnify the Administrative Agent, each Arranger, each Syndication Agent, each Co-Documentation Agent the Issuing Bank and each Lender, and each Related Party of any of the foregoing Persons (each such Person being called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any actual or alleged presence or release of Hazardous Materials on or from any property owned or operated by the Company or any of its Subsidiaries, or any Environmental Liability related in any way to the Company or any of its Subsidiaries, or any actual or prospective Proceeding relating to any of the foregoing, whether or not such Proceeding is brought by the Company or any other Credit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or (B) result from a claim brought by the Company or any other Credit Party against an Indemnitee for breach in bad faith of such Indemnitee’s obligations hereunder or under any other Loan Document, if the Company or such Credit Party has obtained a final and nonappealable judgement in its favor on such claim as determined by a court of competent jurisdiciton. This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shall not apply with respect to Taxes other than any Taxes that represent losses, claims or damages arising from any non-Tax claim.</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656"/>
        <w:spacing w:after="0" w:line="312" w:lineRule="auto"/>
        <w:tabs>
          <w:tab w:leader="none" w:pos="1116"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xml:space="preserve"> Each Lender severally agrees to pay any amount required to be paid by the Borrowers under paragraphs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to the Administrative Agent, the Issuing Bank and each Swingline Lender, and each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(to the extent not reimbursed by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28" w:right="339" w:bottom="1440" w:gutter="0" w:footer="0" w:header="0"/>
        </w:sectPr>
      </w:pPr>
    </w:p>
    <w:bookmarkStart w:id="173" w:name="page174"/>
    <w:bookmarkEnd w:id="173"/>
    <w:p>
      <w:pPr>
        <w:jc w:val="both"/>
        <w:spacing w:after="0" w:line="286" w:lineRule="auto"/>
        <w:rPr>
          <w:sz w:val="20"/>
          <w:szCs w:val="20"/>
          <w:color w:val="auto"/>
        </w:rPr>
      </w:pPr>
      <w:r>
        <w:rPr>
          <w:rFonts w:ascii="Arial" w:cs="Arial" w:eastAsia="Arial" w:hAnsi="Arial"/>
          <w:sz w:val="19"/>
          <w:szCs w:val="19"/>
          <w:color w:val="auto"/>
        </w:rPr>
        <w:t xml:space="preserve">the Borrowers and without limiting the obligation of the Borrowers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willful misconduct or breach in bad faith of such Agent-Related Person’s obligations hereunder or any other Loan Document. The agreements in this Section shall survive the termination of this Agreement and the payment of the Loans and all other amounts payable hereunder.</w:t>
      </w:r>
    </w:p>
    <w:p>
      <w:pPr>
        <w:spacing w:after="0" w:line="185" w:lineRule="exact"/>
        <w:rPr>
          <w:sz w:val="20"/>
          <w:szCs w:val="20"/>
          <w:color w:val="auto"/>
        </w:rPr>
      </w:pPr>
    </w:p>
    <w:p>
      <w:pPr>
        <w:ind w:left="1120" w:hanging="464"/>
        <w:spacing w:after="0"/>
        <w:tabs>
          <w:tab w:leader="none" w:pos="112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due under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be payable not later than five (5) days after written demand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8" w:lineRule="auto"/>
        <w:tabs>
          <w:tab w:leader="none" w:pos="121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the Borrowers may not assign or otherwise transfer any of their respective rights or obligations hereunder without the prior written consent of each Lender (and any attempted assignment or transfer by any Borrower without such consent shall be null and void) and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and, to the extent expressly contemplated hereby, the Related Parties of each of the Administrative Agent, the Issuing Bank and the Lenders) any legal or equitable right, remedy or claim under or by reason of this Agreement.</w:t>
      </w:r>
    </w:p>
    <w:p>
      <w:pPr>
        <w:spacing w:after="0" w:line="199" w:lineRule="exact"/>
        <w:rPr>
          <w:rFonts w:ascii="Arial" w:cs="Arial" w:eastAsia="Arial" w:hAnsi="Arial"/>
          <w:sz w:val="19"/>
          <w:szCs w:val="19"/>
          <w:color w:val="auto"/>
        </w:rPr>
      </w:pPr>
    </w:p>
    <w:p>
      <w:pPr>
        <w:jc w:val="both"/>
        <w:ind w:firstLine="656"/>
        <w:spacing w:after="0" w:line="312" w:lineRule="auto"/>
        <w:tabs>
          <w:tab w:leader="none" w:pos="113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paragraph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below, any Lender may assign to one or more assignees all or a portion of its rights and obligations under this Agreement (including all or a portion of its Revolving Commitment (if any) and the Loans at the time owing to it) with the prior written consent (such consent not to be unreasonably withheld)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174" w:name="page175"/>
    <w:bookmarkEnd w:id="174"/>
    <w:p>
      <w:pPr>
        <w:jc w:val="both"/>
        <w:ind w:firstLine="644"/>
        <w:spacing w:after="0" w:line="302" w:lineRule="auto"/>
        <w:tabs>
          <w:tab w:leader="none" w:pos="118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deemed to have consented to any such assignment unless it shall object thereto by written notice to the Administrative Agent within five Business Days after having received written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consent of the Company shall be required for an assignment to a Lender, an Affiliate of a Lender, an Approved Fund or, if an Event of Default has occurred and is continuing, any other assignee;</w:t>
      </w:r>
    </w:p>
    <w:p>
      <w:pPr>
        <w:spacing w:after="0" w:line="169" w:lineRule="exact"/>
        <w:rPr>
          <w:rFonts w:ascii="Arial" w:cs="Arial" w:eastAsia="Arial" w:hAnsi="Arial"/>
          <w:sz w:val="19"/>
          <w:szCs w:val="19"/>
          <w:color w:val="auto"/>
        </w:rPr>
      </w:pPr>
    </w:p>
    <w:p>
      <w:pPr>
        <w:jc w:val="both"/>
        <w:ind w:firstLine="644"/>
        <w:spacing w:after="0" w:line="253" w:lineRule="auto"/>
        <w:tabs>
          <w:tab w:leader="none" w:pos="124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of any Revolving Commitment to an assignee that is a Lender immediately prior to giving effect to such assignment; and</w:t>
      </w:r>
    </w:p>
    <w:p>
      <w:pPr>
        <w:spacing w:after="0" w:line="212" w:lineRule="exact"/>
        <w:rPr>
          <w:rFonts w:ascii="Arial" w:cs="Arial" w:eastAsia="Arial" w:hAnsi="Arial"/>
          <w:sz w:val="22"/>
          <w:szCs w:val="22"/>
          <w:color w:val="auto"/>
        </w:rPr>
      </w:pPr>
    </w:p>
    <w:p>
      <w:pPr>
        <w:ind w:left="1140" w:hanging="496"/>
        <w:spacing w:after="0"/>
        <w:tabs>
          <w:tab w:leader="none" w:pos="11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Issuing Bank and the Swingline Lender.</w:t>
      </w:r>
    </w:p>
    <w:p>
      <w:pPr>
        <w:spacing w:after="0" w:line="247"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Assignments shall be subject to the following additional conditions:</w:t>
      </w:r>
    </w:p>
    <w:p>
      <w:pPr>
        <w:spacing w:after="0" w:line="260" w:lineRule="exact"/>
        <w:rPr>
          <w:sz w:val="20"/>
          <w:szCs w:val="20"/>
          <w:color w:val="auto"/>
        </w:rPr>
      </w:pPr>
    </w:p>
    <w:p>
      <w:pPr>
        <w:jc w:val="both"/>
        <w:ind w:firstLine="644"/>
        <w:spacing w:after="0" w:line="259" w:lineRule="auto"/>
        <w:tabs>
          <w:tab w:leader="none" w:pos="126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the lesser of $5,000,000 or the remaining amount of the assigning Lender’s Revolving Commitment (calculated as of the date of such assignment), if any, and outstanding Loans, unless each of the Company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Company shall be required if an Event of Default has occurred and is continuing;</w:t>
      </w:r>
    </w:p>
    <w:p>
      <w:pPr>
        <w:spacing w:after="0" w:line="210" w:lineRule="exact"/>
        <w:rPr>
          <w:rFonts w:ascii="Arial" w:cs="Arial" w:eastAsia="Arial" w:hAnsi="Arial"/>
          <w:sz w:val="21"/>
          <w:szCs w:val="21"/>
          <w:color w:val="auto"/>
        </w:rPr>
      </w:pPr>
    </w:p>
    <w:p>
      <w:pPr>
        <w:jc w:val="both"/>
        <w:ind w:firstLine="644"/>
        <w:spacing w:after="0" w:line="302" w:lineRule="auto"/>
        <w:tabs>
          <w:tab w:leader="none" w:pos="118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shall not be construed to prohibit the assignment of a proportionate part of all the assigning Lender’s rights and obligations in respect of one Class of Revolving Commitments or Loans;</w:t>
      </w:r>
    </w:p>
    <w:p>
      <w:pPr>
        <w:spacing w:after="0" w:line="169" w:lineRule="exact"/>
        <w:rPr>
          <w:rFonts w:ascii="Arial" w:cs="Arial" w:eastAsia="Arial" w:hAnsi="Arial"/>
          <w:sz w:val="19"/>
          <w:szCs w:val="19"/>
          <w:color w:val="auto"/>
        </w:rPr>
      </w:pPr>
    </w:p>
    <w:p>
      <w:pPr>
        <w:jc w:val="both"/>
        <w:ind w:firstLine="644"/>
        <w:spacing w:after="0" w:line="302" w:lineRule="auto"/>
        <w:tabs>
          <w:tab w:leader="none" w:pos="118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Administrative Agent (1) an Assignment and Assumption, or (2)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w:t>
      </w:r>
    </w:p>
    <w:p>
      <w:pPr>
        <w:spacing w:after="0" w:line="169" w:lineRule="exact"/>
        <w:rPr>
          <w:rFonts w:ascii="Arial" w:cs="Arial" w:eastAsia="Arial" w:hAnsi="Arial"/>
          <w:sz w:val="19"/>
          <w:szCs w:val="19"/>
          <w:color w:val="auto"/>
        </w:rPr>
      </w:pPr>
    </w:p>
    <w:p>
      <w:pPr>
        <w:ind w:left="1340" w:hanging="696"/>
        <w:spacing w:after="0"/>
        <w:tabs>
          <w:tab w:leader="none" w:pos="134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assignee, if it shall not be a Lender, shall deliver to the Administrative Agent an Administrative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Questionnaire;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0580"/>
          </w:cols>
          <w:pgMar w:left="980" w:top="1428" w:right="339" w:bottom="1440" w:gutter="0" w:footer="0" w:header="0"/>
        </w:sectPr>
      </w:pPr>
    </w:p>
    <w:bookmarkStart w:id="175" w:name="page176"/>
    <w:bookmarkEnd w:id="175"/>
    <w:p>
      <w:pPr>
        <w:ind w:firstLine="644"/>
        <w:spacing w:after="0" w:line="263" w:lineRule="auto"/>
        <w:tabs>
          <w:tab w:leader="none" w:pos="127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the assignee shall deliver to the Administrative Agent, the Withholding Agent and/or the Company, as applicable, any documentation required by subsections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2.17</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jc w:val="both"/>
        <w:ind w:firstLine="644"/>
        <w:spacing w:after="0" w:line="250" w:lineRule="auto"/>
        <w:tabs>
          <w:tab w:leader="none" w:pos="118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no assignment shall be made to a natural person (or a holding company, investment vehicle or trust for, or owned or operated for the primary benefit of, a natural person), the Company or any of the Company’s Affiliates or Subsidiaries or to any Defaulting Lender or any of its Subsidiaries, or any Person who, upon becoming a Lender hereunder, would constitute a Defaulting Lender or a Subsidiary thereof.</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(b)</w:t>
      </w:r>
      <w:r>
        <w:rPr>
          <w:rFonts w:ascii="Arial" w:cs="Arial" w:eastAsia="Arial" w:hAnsi="Arial"/>
          <w:sz w:val="22"/>
          <w:szCs w:val="22"/>
          <w:color w:val="auto"/>
        </w:rPr>
        <w:t>,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28" w:lineRule="exact"/>
        <w:rPr>
          <w:sz w:val="20"/>
          <w:szCs w:val="20"/>
          <w:color w:val="auto"/>
        </w:rPr>
      </w:pPr>
    </w:p>
    <w:p>
      <w:pPr>
        <w:jc w:val="both"/>
        <w:ind w:firstLine="644"/>
        <w:spacing w:after="0" w:line="288" w:lineRule="auto"/>
        <w:tabs>
          <w:tab w:leader="none" w:pos="120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paragraph </w:t>
      </w:r>
      <w:r>
        <w:rPr>
          <w:rFonts w:ascii="Arial" w:cs="Arial" w:eastAsia="Arial" w:hAnsi="Arial"/>
          <w:sz w:val="19"/>
          <w:szCs w:val="19"/>
          <w:u w:val="single" w:color="auto"/>
          <w:color w:val="auto"/>
        </w:rPr>
        <w:t>(b)(iv)</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w:t>
      </w:r>
    </w:p>
    <w:p>
      <w:pPr>
        <w:spacing w:after="0" w:line="186" w:lineRule="exact"/>
        <w:rPr>
          <w:rFonts w:ascii="Arial" w:cs="Arial" w:eastAsia="Arial" w:hAnsi="Arial"/>
          <w:sz w:val="19"/>
          <w:szCs w:val="19"/>
          <w:color w:val="auto"/>
        </w:rPr>
      </w:pPr>
    </w:p>
    <w:p>
      <w:pPr>
        <w:jc w:val="both"/>
        <w:ind w:firstLine="644"/>
        <w:spacing w:after="0" w:line="290" w:lineRule="auto"/>
        <w:tabs>
          <w:tab w:leader="none" w:pos="121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Revolving Commitment of, and principal amount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Borrowers,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0580"/>
          </w:cols>
          <w:pgMar w:left="980" w:top="1428" w:right="339" w:bottom="1440" w:gutter="0" w:footer="0" w:header="0"/>
        </w:sectPr>
      </w:pPr>
    </w:p>
    <w:bookmarkStart w:id="176" w:name="page177"/>
    <w:bookmarkEnd w:id="176"/>
    <w:p>
      <w:pPr>
        <w:spacing w:after="0" w:line="231" w:lineRule="exact"/>
        <w:rPr>
          <w:sz w:val="20"/>
          <w:szCs w:val="20"/>
          <w:color w:val="auto"/>
        </w:rPr>
      </w:pPr>
    </w:p>
    <w:p>
      <w:pPr>
        <w:jc w:val="both"/>
        <w:ind w:left="440" w:firstLine="644"/>
        <w:spacing w:after="0" w:line="288" w:lineRule="auto"/>
        <w:tabs>
          <w:tab w:leader="none" w:pos="1604" w:val="left"/>
        </w:tabs>
        <w:numPr>
          <w:ilvl w:val="1"/>
          <w:numId w:val="175"/>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any written consent to such assignment required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9.03(c)</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6" w:lineRule="exact"/>
        <w:rPr>
          <w:rFonts w:ascii="Arial" w:cs="Arial" w:eastAsia="Arial" w:hAnsi="Arial"/>
          <w:sz w:val="19"/>
          <w:szCs w:val="19"/>
          <w:color w:val="auto"/>
        </w:rPr>
      </w:pPr>
    </w:p>
    <w:p>
      <w:pPr>
        <w:jc w:val="both"/>
        <w:ind w:left="-220" w:firstLine="656"/>
        <w:spacing w:after="0" w:line="286" w:lineRule="auto"/>
        <w:tabs>
          <w:tab w:leader="none" w:pos="92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 Any Lender may, without the consent or notice to of the Borrowers, the Administrative Agent, the Issuing Bank or the Swingline Lender,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Lender’s obligations under this Agreement shall remain unchanged, such Lender shall remain solely responsible to the other parties hereto for the performance of such obligations and the Borrowers, the Administrative Agent, the Issuing Bank and the other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paragraph </w:t>
      </w:r>
      <w:r>
        <w:rPr>
          <w:rFonts w:ascii="Arial" w:cs="Arial" w:eastAsia="Arial" w:hAnsi="Arial"/>
          <w:sz w:val="19"/>
          <w:szCs w:val="19"/>
          <w:u w:val="single" w:color="auto"/>
          <w:color w:val="auto"/>
        </w:rPr>
        <w:t>(c)(ii)</w:t>
      </w:r>
      <w:r>
        <w:rPr>
          <w:rFonts w:ascii="Arial" w:cs="Arial" w:eastAsia="Arial" w:hAnsi="Arial"/>
          <w:sz w:val="19"/>
          <w:szCs w:val="19"/>
          <w:color w:val="auto"/>
        </w:rPr>
        <w:t xml:space="preserve"> of this Section, the Borrowers agree that each Participant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to the same extent as if it were a Lender and had acquired its interest by assignment pursuant to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left="440" w:firstLine="644"/>
        <w:spacing w:after="0" w:line="294" w:lineRule="auto"/>
        <w:tabs>
          <w:tab w:leader="none" w:pos="1701" w:val="left"/>
        </w:tabs>
        <w:numPr>
          <w:ilvl w:val="1"/>
          <w:numId w:val="176"/>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or a non-resident of Canada for purposes of the ITA in the case of any participation of rights and/or obligations with respect to a Canadian Borrower, shall not be entitled to the benefits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unless the Borrowers are notified of the participation sold to such Participant and such Participant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020"/>
          </w:cols>
          <w:pgMar w:left="540" w:top="1440" w:right="339" w:bottom="1440" w:gutter="0" w:footer="0" w:header="0"/>
        </w:sectPr>
      </w:pPr>
    </w:p>
    <w:bookmarkStart w:id="177" w:name="page178"/>
    <w:bookmarkEnd w:id="177"/>
    <w:p>
      <w:pPr>
        <w:ind w:left="660"/>
        <w:spacing w:after="0"/>
        <w:rPr>
          <w:sz w:val="20"/>
          <w:szCs w:val="20"/>
          <w:color w:val="auto"/>
        </w:rPr>
      </w:pPr>
      <w:r>
        <w:rPr>
          <w:rFonts w:ascii="Arial" w:cs="Arial" w:eastAsia="Arial" w:hAnsi="Arial"/>
          <w:sz w:val="22"/>
          <w:szCs w:val="22"/>
          <w:color w:val="auto"/>
        </w:rPr>
        <w:t xml:space="preserve">agrees, for the benefit of the Borrowers, to comply with </w:t>
      </w:r>
      <w:r>
        <w:rPr>
          <w:rFonts w:ascii="Arial" w:cs="Arial" w:eastAsia="Arial" w:hAnsi="Arial"/>
          <w:sz w:val="22"/>
          <w:szCs w:val="22"/>
          <w:u w:val="single" w:color="auto"/>
          <w:color w:val="auto"/>
        </w:rPr>
        <w:t>Section 2.17(e)</w:t>
      </w:r>
      <w:r>
        <w:rPr>
          <w:rFonts w:ascii="Arial" w:cs="Arial" w:eastAsia="Arial" w:hAnsi="Arial"/>
          <w:sz w:val="22"/>
          <w:szCs w:val="22"/>
          <w:color w:val="auto"/>
        </w:rPr>
        <w:t xml:space="preserve"> as though it were a Lender.</w:t>
      </w:r>
    </w:p>
    <w:p>
      <w:pPr>
        <w:spacing w:after="0" w:line="247" w:lineRule="exact"/>
        <w:rPr>
          <w:sz w:val="20"/>
          <w:szCs w:val="20"/>
          <w:color w:val="auto"/>
        </w:rPr>
      </w:pPr>
    </w:p>
    <w:p>
      <w:pPr>
        <w:jc w:val="both"/>
        <w:ind w:left="660" w:firstLine="644"/>
        <w:spacing w:after="0" w:line="287" w:lineRule="auto"/>
        <w:tabs>
          <w:tab w:leader="none" w:pos="1928" w:val="left"/>
        </w:tabs>
        <w:numPr>
          <w:ilvl w:val="1"/>
          <w:numId w:val="177"/>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rFonts w:ascii="Arial" w:cs="Arial" w:eastAsia="Arial" w:hAnsi="Arial"/>
          <w:sz w:val="19"/>
          <w:szCs w:val="19"/>
          <w:color w:val="auto"/>
        </w:rPr>
      </w:pPr>
    </w:p>
    <w:p>
      <w:pPr>
        <w:jc w:val="both"/>
        <w:ind w:firstLine="656"/>
        <w:spacing w:after="0" w:line="248" w:lineRule="auto"/>
        <w:tabs>
          <w:tab w:leader="none" w:pos="124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Disclosure</w:t>
      </w:r>
      <w:r>
        <w:rPr>
          <w:rFonts w:ascii="Arial" w:cs="Arial" w:eastAsia="Arial" w:hAnsi="Arial"/>
          <w:sz w:val="22"/>
          <w:szCs w:val="22"/>
          <w:color w:val="auto"/>
        </w:rPr>
        <w:t>. The Borrowers and each Lender hereby acknowledge and agree that one or more Affiliates of JPMorgan Chase are or may become direct or indirect equity investors in the Company, and JPMorgan Chase and/or its Affiliates from time to time may hold other investments in, make other loans to or have other relationships with the Company, and waive any liability of JPMorgan Chase or such Affiliate to the Company or any Lender, respectively, arising out of or resulting from such investments, loans or relationships other than liabilities arising out of the gross negligence or willful misconduct of JPMorgan Chase or its Affiliates, in each case, as determined by a court of competent jurisdiction by final and non-appealable judgment.</w:t>
      </w:r>
    </w:p>
    <w:p>
      <w:pPr>
        <w:spacing w:after="0" w:line="23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28" w:right="339" w:bottom="1440" w:gutter="0" w:footer="0" w:header="0"/>
        </w:sectPr>
      </w:pPr>
    </w:p>
    <w:bookmarkStart w:id="178" w:name="page179"/>
    <w:bookmarkEnd w:id="178"/>
    <w:p>
      <w:pPr>
        <w:jc w:val="both"/>
        <w:spacing w:after="0" w:line="261" w:lineRule="auto"/>
        <w:rPr>
          <w:sz w:val="20"/>
          <w:szCs w:val="20"/>
          <w:color w:val="auto"/>
        </w:rPr>
      </w:pPr>
      <w:r>
        <w:rPr>
          <w:rFonts w:ascii="Arial" w:cs="Arial" w:eastAsia="Arial" w:hAnsi="Arial"/>
          <w:sz w:val="21"/>
          <w:szCs w:val="21"/>
          <w:color w:val="auto"/>
        </w:rPr>
        <w:t xml:space="preserve">effect as long as the principal of or any accrued interest on any Loan or any fee or any other amount payable under this Agreement or any other Loan Document is outstanding and unpaid or any Letter of Credit is outstanding and so long as the Revolving Commitments have not expired or terminated. The provisions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8" w:lineRule="auto"/>
        <w:tabs>
          <w:tab w:leader="none" w:pos="1132"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shall be effective as delivery of a manually executed counterpart of this Agreement.</w:t>
      </w:r>
    </w:p>
    <w:p>
      <w:pPr>
        <w:spacing w:after="0" w:line="186" w:lineRule="exact"/>
        <w:rPr>
          <w:rFonts w:ascii="Arial" w:cs="Arial" w:eastAsia="Arial" w:hAnsi="Arial"/>
          <w:sz w:val="19"/>
          <w:szCs w:val="19"/>
          <w:color w:val="auto"/>
        </w:rPr>
      </w:pPr>
    </w:p>
    <w:p>
      <w:pPr>
        <w:ind w:left="1140" w:hanging="484"/>
        <w:spacing w:after="0"/>
        <w:tabs>
          <w:tab w:leader="none" w:pos="114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w:t>
      </w:r>
    </w:p>
    <w:p>
      <w:pPr>
        <w:spacing w:after="0" w:line="55" w:lineRule="exact"/>
        <w:rPr>
          <w:rFonts w:ascii="Arial" w:cs="Arial" w:eastAsia="Arial" w:hAnsi="Arial"/>
          <w:sz w:val="19"/>
          <w:szCs w:val="19"/>
          <w:color w:val="auto"/>
        </w:rPr>
      </w:pPr>
    </w:p>
    <w:p>
      <w:pPr>
        <w:jc w:val="both"/>
        <w:ind w:firstLine="8"/>
        <w:spacing w:after="0" w:line="285" w:lineRule="auto"/>
        <w:tabs>
          <w:tab w:leader="none" w:pos="29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any document, amendment, approval, consent, information, notice (including, for the avoidance of doubt, any notice delivered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to the extent the Administrative Agent has agreed to accept any Electronic Signature,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28" w:right="339" w:bottom="1440" w:gutter="0" w:footer="0" w:header="0"/>
        </w:sectPr>
      </w:pPr>
    </w:p>
    <w:bookmarkStart w:id="179" w:name="page180"/>
    <w:bookmarkEnd w:id="179"/>
    <w:p>
      <w:pPr>
        <w:jc w:val="both"/>
        <w:spacing w:after="0" w:line="284" w:lineRule="auto"/>
        <w:rPr>
          <w:sz w:val="20"/>
          <w:szCs w:val="20"/>
          <w:color w:val="auto"/>
        </w:rPr>
      </w:pPr>
      <w:r>
        <w:rPr>
          <w:rFonts w:ascii="Arial" w:cs="Arial" w:eastAsia="Arial" w:hAnsi="Arial"/>
          <w:sz w:val="19"/>
          <w:szCs w:val="19"/>
          <w:color w:val="auto"/>
        </w:rPr>
        <w:t>and each of the Lenders shall be entitled to rely on such Electronic Signature purportedly given by or on behalf of the Borrowers or any other Credit Party without further verification thereof and without any obligation to review the appearance or form of any such Electronic Signature and upon the request of the Administrative Agent or any Lender, any Electronic Signature shall be promptly followed by a manually executed counterpart. Without limiting the generality of the foregoing, the Borrowers and any other Credit Party hereby agrees that, for all purposes, including without limitation, in connection with any workout, restructuring, enforcement of remedies, bankruptcy proceedings or litigation among the Administrative Agent, the Lenders, the Borrowers and the Credit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Credit Party to use any available security measures in connection with the execution, delivery or transmission of any Electronic Signature.</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Right of Set-off</w:t>
      </w:r>
      <w:r>
        <w:rPr>
          <w:rFonts w:ascii="Arial" w:cs="Arial" w:eastAsia="Arial" w:hAnsi="Arial"/>
          <w:sz w:val="21"/>
          <w:szCs w:val="21"/>
          <w:color w:val="auto"/>
        </w:rPr>
        <w:t>.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the Issuing Bank or any such Affiliate to or for the credit or the account of the Borrowers against any of and all the obligations of the Borrowers now or hereafter existing under this Agreement or any other Loan Document to such Lender, the Issuing Bank or such Affiliate, irrespective of whether or not such Lender, the Issuing Bank or such Affiliate shall have made any demand under this Agreement or any other Loan Document and although such obligations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28" w:right="339" w:bottom="1440" w:gutter="0" w:footer="0" w:header="0"/>
        </w:sectPr>
      </w:pPr>
    </w:p>
    <w:bookmarkStart w:id="180" w:name="page181"/>
    <w:bookmarkEnd w:id="180"/>
    <w:p>
      <w:pPr>
        <w:jc w:val="both"/>
        <w:spacing w:after="0" w:line="287" w:lineRule="auto"/>
        <w:rPr>
          <w:sz w:val="20"/>
          <w:szCs w:val="20"/>
          <w:color w:val="auto"/>
        </w:rPr>
      </w:pPr>
      <w:r>
        <w:rPr>
          <w:rFonts w:ascii="Arial" w:cs="Arial" w:eastAsia="Arial" w:hAnsi="Arial"/>
          <w:sz w:val="19"/>
          <w:szCs w:val="19"/>
          <w:color w:val="auto"/>
        </w:rPr>
        <w:t xml:space="preserve">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2.20(f)</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Issuing Bank and the Lenders, and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w:t>
      </w:r>
    </w:p>
    <w:p>
      <w:pPr>
        <w:spacing w:after="0" w:line="247" w:lineRule="exact"/>
        <w:rPr>
          <w:sz w:val="20"/>
          <w:szCs w:val="20"/>
          <w:color w:val="auto"/>
        </w:rPr>
      </w:pPr>
    </w:p>
    <w:p>
      <w:pPr>
        <w:ind w:left="1100" w:hanging="444"/>
        <w:spacing w:after="0"/>
        <w:tabs>
          <w:tab w:leader="none" w:pos="110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This Agreement shall be construed in accordance with and governed by the law of the State of Oklahoma.</w:t>
      </w:r>
    </w:p>
    <w:p>
      <w:pPr>
        <w:spacing w:after="0" w:line="258" w:lineRule="exact"/>
        <w:rPr>
          <w:rFonts w:ascii="Arial" w:cs="Arial" w:eastAsia="Arial" w:hAnsi="Arial"/>
          <w:sz w:val="21"/>
          <w:szCs w:val="21"/>
          <w:color w:val="auto"/>
        </w:rPr>
      </w:pPr>
    </w:p>
    <w:p>
      <w:pPr>
        <w:jc w:val="both"/>
        <w:ind w:firstLine="656"/>
        <w:spacing w:after="0" w:line="289" w:lineRule="auto"/>
        <w:tabs>
          <w:tab w:leader="none" w:pos="1245"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Each Borrower hereby irrevocably and unconditionally submits, for itself and its property, to the nonexclusive jurisdiction of any United States federal court or Oklahoma state court sitting in Tulsa, Oklahoma,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Borrowers or any of their properties in the courts of any jurisdiction.</w:t>
      </w:r>
    </w:p>
    <w:p>
      <w:pPr>
        <w:spacing w:after="0" w:line="197" w:lineRule="exact"/>
        <w:rPr>
          <w:rFonts w:ascii="Arial" w:cs="Arial" w:eastAsia="Arial" w:hAnsi="Arial"/>
          <w:sz w:val="19"/>
          <w:szCs w:val="19"/>
          <w:color w:val="auto"/>
        </w:rPr>
      </w:pPr>
    </w:p>
    <w:p>
      <w:pPr>
        <w:jc w:val="both"/>
        <w:ind w:firstLine="656"/>
        <w:spacing w:after="0" w:line="248" w:lineRule="auto"/>
        <w:tabs>
          <w:tab w:leader="none" w:pos="11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218" w:lineRule="exact"/>
        <w:rPr>
          <w:rFonts w:ascii="Arial" w:cs="Arial" w:eastAsia="Arial" w:hAnsi="Arial"/>
          <w:sz w:val="22"/>
          <w:szCs w:val="22"/>
          <w:color w:val="auto"/>
        </w:rPr>
      </w:pPr>
    </w:p>
    <w:p>
      <w:pPr>
        <w:jc w:val="both"/>
        <w:ind w:firstLine="656"/>
        <w:spacing w:after="0" w:line="253" w:lineRule="auto"/>
        <w:tabs>
          <w:tab w:leader="none" w:pos="124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28" w:right="339" w:bottom="1440" w:gutter="0" w:footer="0" w:header="0"/>
        </w:sectPr>
      </w:pPr>
    </w:p>
    <w:bookmarkStart w:id="181" w:name="page182"/>
    <w:bookmarkEnd w:id="181"/>
    <w:p>
      <w:pPr>
        <w:jc w:val="both"/>
        <w:ind w:firstLine="648"/>
        <w:spacing w:after="0" w:line="259"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1" w:lineRule="exact"/>
        <w:rPr>
          <w:sz w:val="20"/>
          <w:szCs w:val="20"/>
          <w:color w:val="auto"/>
        </w:rPr>
      </w:pPr>
    </w:p>
    <w:p>
      <w:pPr>
        <w:ind w:firstLine="656"/>
        <w:spacing w:after="0" w:line="284" w:lineRule="auto"/>
        <w:tabs>
          <w:tab w:leader="none" w:pos="117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Each of the Administrative Agent, the Issuing Bank and the Lenders agrees to maintain the confidentiality of the Information (as defined below), except that Information may be disclosed to its and its Affiliates’ and Approved Funds’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extent requested by any regulatory authority, to the extent required by applicable laws or regulations or by any subpoena or similar legal process, to any other party to this Agreement, in connection with the exercise of any remedies hereunder or any suit, action or proceeding relating to this Agreement or the enforcement of rights hereunder, subject to an agreement containing provisions substantially the same as those of this Section, to any assignee of or Participant in, or any prospective assignee of or Participant in, any of its rights or obligations under this Agreement or any actual or prospective counterparty (or its advisors) to any swap or derivative transaction relating to the Borrowers and their obligations, with the consent of the Borrowers or to the extent such Information becomes publicly available other than as a result of a breach of this Section or becomes available to the Administrative Agent, the Issuing Bank or any Lender on a non-confidential basis from a source other than the Borrowers.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28" w:right="339" w:bottom="1440" w:gutter="0" w:footer="0" w:header="0"/>
        </w:sectPr>
      </w:pPr>
    </w:p>
    <w:bookmarkStart w:id="182" w:name="page183"/>
    <w:bookmarkEnd w:id="182"/>
    <w:p>
      <w:pPr>
        <w:spacing w:after="0" w:line="231" w:lineRule="exact"/>
        <w:rPr>
          <w:sz w:val="20"/>
          <w:szCs w:val="20"/>
          <w:color w:val="auto"/>
        </w:rPr>
      </w:pPr>
    </w:p>
    <w:p>
      <w:pPr>
        <w:jc w:val="both"/>
        <w:ind w:firstLine="656"/>
        <w:spacing w:after="0" w:line="261" w:lineRule="auto"/>
        <w:tabs>
          <w:tab w:leader="none" w:pos="1152" w:val="left"/>
        </w:tabs>
        <w:numPr>
          <w:ilvl w:val="0"/>
          <w:numId w:val="183"/>
        </w:numPr>
        <w:rPr>
          <w:rFonts w:ascii="Arial" w:cs="Arial" w:eastAsia="Arial" w:hAnsi="Arial"/>
          <w:sz w:val="21"/>
          <w:szCs w:val="21"/>
          <w:color w:val="auto"/>
        </w:rPr>
      </w:pPr>
      <w:r>
        <w:rPr>
          <w:rFonts w:ascii="Arial" w:cs="Arial" w:eastAsia="Arial" w:hAnsi="Arial"/>
          <w:sz w:val="21"/>
          <w:szCs w:val="21"/>
          <w:color w:val="auto"/>
        </w:rPr>
        <w:t xml:space="preserve">EACH LENDER ACKNOWLEDGES THAT INFORMATION AS DEFINED IN </w:t>
      </w:r>
      <w:r>
        <w:rPr>
          <w:rFonts w:ascii="Arial" w:cs="Arial" w:eastAsia="Arial" w:hAnsi="Arial"/>
          <w:sz w:val="21"/>
          <w:szCs w:val="21"/>
          <w:u w:val="single" w:color="auto"/>
          <w:color w:val="auto"/>
        </w:rPr>
        <w:t>SECTION 9.13(a)</w:t>
      </w:r>
      <w:r>
        <w:rPr>
          <w:rFonts w:ascii="Arial" w:cs="Arial" w:eastAsia="Arial" w:hAnsi="Arial"/>
          <w:sz w:val="21"/>
          <w:szCs w:val="21"/>
          <w:color w:val="auto"/>
        </w:rPr>
        <w:t xml:space="preserve"> FURNISHED TO IT PURSUANT TO THIS AGREEMENT MAY INCLUDE MATERIAL NON-PUBLIC INFORMATION CONCERNING THE BORROWER AND ITS RELATED PARTIES OR THEIR RESPECTIVE SECURITIES,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No Fiduciary Duty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Company, for itself and the other Credit Parties, acknowledges and agrees that: the arranging and other services regarding this Agreement provided by the Lenders are arm’s-length commercial transactions between the Company and its Affiliates, on the one hand, and the Lenders, on the other hand, the Company has consulted its own legal, accounting, regulatory and tax advisors to the extent it has deemed appropriate, and the Company is capable of evaluating, and understands and accepts, the terms, risks and conditions of the transactions contemplated hereby and by the other Loan Documents; each of the Lenders is and has been acting solely as a principal and, except as expressly agreed in writing by the relevant parties, has not been, is not, and will not be acting as an advisor, agent or fiduciary for the Company or any of its Affiliates, or any other Person and no Lender has any obligation to the Company or any of its Affiliates with respect to the transactions contemplated hereby except those obligations expressly set forth herein and in the other Loan Documents; and each of the Lenders and their respective Affiliates may be engaged in a broad range of transactions that involve interests that differ from those of the Company and its Affiliates, and no Lender has any obligation to disclose any of such interests to the Company or its Affiliates. To the fullest extent permitted by law, the Company, for itself and the other Credit Parties, hereby waives and releases any claims that it may have against each of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that is subject to the requirements of the USA Patriot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to identify the Borrowers in accordance with the Patriot Act.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9.17 </w:t>
      </w:r>
      <w:r>
        <w:rPr>
          <w:rFonts w:ascii="Arial" w:cs="Arial" w:eastAsia="Arial" w:hAnsi="Arial"/>
          <w:sz w:val="22"/>
          <w:szCs w:val="22"/>
          <w:u w:val="single" w:color="auto"/>
          <w:color w:val="auto"/>
        </w:rPr>
        <w:t>Judgment Currency Conversion</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88" w:lineRule="auto"/>
        <w:tabs>
          <w:tab w:leader="none" w:pos="113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obligations of the Borrowers or any of the other Credit Parties hereunder and under the other Loan Documents to make payments in U.S. Dollars or in Foreign Currencies, as the case may be (the “</w:t>
      </w:r>
      <w:r>
        <w:rPr>
          <w:rFonts w:ascii="Arial" w:cs="Arial" w:eastAsia="Arial" w:hAnsi="Arial"/>
          <w:sz w:val="19"/>
          <w:szCs w:val="19"/>
          <w:u w:val="single" w:color="auto"/>
          <w:color w:val="auto"/>
        </w:rPr>
        <w:t>Obligation Currency</w:t>
      </w:r>
      <w:r>
        <w:rPr>
          <w:rFonts w:ascii="Arial" w:cs="Arial" w:eastAsia="Arial" w:hAnsi="Arial"/>
          <w:sz w:val="19"/>
          <w:szCs w:val="19"/>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any Credit Party in any court or in any jurisdiction, it becomes necessary to convert into or from any currency other than the Obligation Currency (such other currency being hereinafter referred to as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9"/>
          <w:szCs w:val="19"/>
          <w:u w:val="single" w:color="auto"/>
          <w:color w:val="auto"/>
        </w:rPr>
        <w:t>Judgment Currency Conversion Date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firstLine="656"/>
        <w:spacing w:after="0" w:line="294" w:lineRule="auto"/>
        <w:tabs>
          <w:tab w:leader="none" w:pos="112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there is a change in the rate of exchange prevailing between the Judgment Currency Conversion Date and the date of actual payment of the amount due, the Credit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76" w:lineRule="exact"/>
        <w:rPr>
          <w:rFonts w:ascii="Arial" w:cs="Arial" w:eastAsia="Arial" w:hAnsi="Arial"/>
          <w:sz w:val="19"/>
          <w:szCs w:val="19"/>
          <w:color w:val="auto"/>
        </w:rPr>
      </w:pPr>
    </w:p>
    <w:p>
      <w:pPr>
        <w:ind w:firstLine="656"/>
        <w:spacing w:after="0" w:line="287" w:lineRule="auto"/>
        <w:tabs>
          <w:tab w:leader="none" w:pos="1108"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Any amount due from a Credit Party under this </w:t>
      </w:r>
      <w:r>
        <w:rPr>
          <w:rFonts w:ascii="Arial" w:cs="Arial" w:eastAsia="Arial" w:hAnsi="Arial"/>
          <w:sz w:val="21"/>
          <w:szCs w:val="21"/>
          <w:u w:val="single" w:color="auto"/>
          <w:color w:val="auto"/>
        </w:rPr>
        <w:t>Section 9.17</w:t>
      </w:r>
      <w:r>
        <w:rPr>
          <w:rFonts w:ascii="Arial" w:cs="Arial" w:eastAsia="Arial" w:hAnsi="Arial"/>
          <w:sz w:val="21"/>
          <w:szCs w:val="21"/>
          <w:color w:val="auto"/>
        </w:rPr>
        <w:t xml:space="preserve"> shall be due as a separate debt and shall not be affected by judgment being obtained for any other amounts due under or in respect of any of the Loan Documents.</w:t>
      </w:r>
    </w:p>
    <w:p>
      <w:pPr>
        <w:spacing w:after="0" w:line="178" w:lineRule="exact"/>
        <w:rPr>
          <w:rFonts w:ascii="Arial" w:cs="Arial" w:eastAsia="Arial" w:hAnsi="Arial"/>
          <w:sz w:val="21"/>
          <w:szCs w:val="21"/>
          <w:color w:val="auto"/>
        </w:rPr>
      </w:pPr>
    </w:p>
    <w:p>
      <w:pPr>
        <w:ind w:firstLine="656"/>
        <w:spacing w:after="0" w:line="263" w:lineRule="auto"/>
        <w:tabs>
          <w:tab w:leader="none" w:pos="120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For purposes of determining the prevailing rate of exchange, such amounts shall include any premium and costs payable in connection with the purchase of the Obligation Currency.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MIRE Events</w:t>
      </w:r>
      <w:r>
        <w:rPr>
          <w:rFonts w:ascii="Arial" w:cs="Arial" w:eastAsia="Arial" w:hAnsi="Arial"/>
          <w:sz w:val="22"/>
          <w:szCs w:val="22"/>
          <w:color w:val="auto"/>
        </w:rPr>
        <w:t>. Each of the parties to this Agreement acknowledges and agrees that, if there are any Mortgaged Properties, any increase, extension or renewal of any of the Revolving Commitments or Loans (but excluding any continuation or conversion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40" w:right="339" w:bottom="1440" w:gutter="0" w:footer="0" w:header="0"/>
        </w:sectPr>
      </w:pPr>
    </w:p>
    <w:bookmarkStart w:id="184" w:name="page185"/>
    <w:bookmarkEnd w:id="184"/>
    <w:p>
      <w:pPr>
        <w:jc w:val="both"/>
        <w:spacing w:after="0" w:line="260" w:lineRule="auto"/>
        <w:rPr>
          <w:sz w:val="20"/>
          <w:szCs w:val="20"/>
          <w:color w:val="auto"/>
        </w:rPr>
      </w:pPr>
      <w:r>
        <w:rPr>
          <w:rFonts w:ascii="Arial" w:cs="Arial" w:eastAsia="Arial" w:hAnsi="Arial"/>
          <w:sz w:val="21"/>
          <w:szCs w:val="21"/>
          <w:color w:val="auto"/>
        </w:rPr>
        <w:t>Borrowings, the making of any Revolving Loans or Swingline Loans or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 and as otherwise reasonably required by the Administrative Agent and Impacted Lender and the Administrative Agent shall have received written confirmation from the Impacted Lender that flood insurance due diligence and flood insurance compliance has been completed by the Impacted Lender (such written confirmation not to be unreasonably withheld, conditioned or delayed).</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9.19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19" w:lineRule="exact"/>
        <w:rPr>
          <w:sz w:val="20"/>
          <w:szCs w:val="20"/>
          <w:color w:val="auto"/>
        </w:rPr>
      </w:pPr>
    </w:p>
    <w:p>
      <w:pPr>
        <w:ind w:firstLine="656"/>
        <w:spacing w:after="0" w:line="343" w:lineRule="auto"/>
        <w:tabs>
          <w:tab w:leader="none" w:pos="12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1" w:lineRule="exact"/>
        <w:rPr>
          <w:rFonts w:ascii="Arial" w:cs="Arial" w:eastAsia="Arial" w:hAnsi="Arial"/>
          <w:sz w:val="19"/>
          <w:szCs w:val="19"/>
          <w:color w:val="auto"/>
        </w:rPr>
      </w:pPr>
    </w:p>
    <w:p>
      <w:pPr>
        <w:ind w:left="1120" w:hanging="464"/>
        <w:spacing w:after="0"/>
        <w:tabs>
          <w:tab w:leader="none" w:pos="11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60" w:lineRule="exact"/>
        <w:rPr>
          <w:rFonts w:ascii="Arial" w:cs="Arial" w:eastAsia="Arial" w:hAnsi="Arial"/>
          <w:sz w:val="22"/>
          <w:szCs w:val="22"/>
          <w:color w:val="auto"/>
        </w:rPr>
      </w:pPr>
    </w:p>
    <w:p>
      <w:pPr>
        <w:ind w:left="1720" w:hanging="416"/>
        <w:spacing w:after="0"/>
        <w:tabs>
          <w:tab w:leader="none" w:pos="17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46" w:lineRule="exact"/>
        <w:rPr>
          <w:rFonts w:ascii="Arial" w:cs="Arial" w:eastAsia="Arial" w:hAnsi="Arial"/>
          <w:sz w:val="22"/>
          <w:szCs w:val="22"/>
          <w:color w:val="auto"/>
        </w:rPr>
      </w:pPr>
    </w:p>
    <w:p>
      <w:pPr>
        <w:jc w:val="both"/>
        <w:ind w:left="660" w:firstLine="644"/>
        <w:spacing w:after="0" w:line="250" w:lineRule="auto"/>
        <w:tabs>
          <w:tab w:leader="none" w:pos="190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4" w:lineRule="exact"/>
        <w:rPr>
          <w:rFonts w:ascii="Arial" w:cs="Arial" w:eastAsia="Arial" w:hAnsi="Arial"/>
          <w:sz w:val="22"/>
          <w:szCs w:val="22"/>
          <w:color w:val="auto"/>
        </w:rPr>
      </w:pPr>
    </w:p>
    <w:p>
      <w:pPr>
        <w:ind w:left="660" w:firstLine="644"/>
        <w:spacing w:after="0" w:line="263" w:lineRule="auto"/>
        <w:tabs>
          <w:tab w:leader="none" w:pos="205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Limitation of Liability of Foreign Borrowers</w:t>
      </w:r>
      <w:r>
        <w:rPr>
          <w:rFonts w:ascii="Arial" w:cs="Arial" w:eastAsia="Arial" w:hAnsi="Arial"/>
          <w:sz w:val="19"/>
          <w:szCs w:val="19"/>
          <w:color w:val="auto"/>
        </w:rPr>
        <w:t>. Notwithstanding anything to the contrary contained in this Agreement or in any other Loan Document, the parties agree that no Foreign Borrower shall be liable for any obligation of the Company or any Domestic Subsidiary arising under or with respect to the Loan Documents, the Company shall be liable for all of the obligations of each Credit Party arising under or with respect to the Loan Documents and none of the Administrative Agent, the Issuing Bank nor any Lender, nor any Affiliate thereof, may setoff and apply any deposits of a Foreign Borrower or any other obligations at the time owing to or for the credit of the account of any Foreign Borrower by the Administrative Agent, the Issuing Bank, such Lender or Affiliate thereof, against any or all of the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185" w:name="page186"/>
    <w:bookmarkEnd w:id="185"/>
    <w:p>
      <w:pPr>
        <w:jc w:val="both"/>
        <w:ind w:firstLine="648"/>
        <w:spacing w:after="0" w:line="289"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This Agreement constitutes an amendment and restatement of the Existing Credit Agreement, effective from and after the Effective Date. The execution and delivery of this Agreement shall not constitute a novation of any loans or letters of credit owing to or issued by the Lenders, the Issuing Bank or the Administrative Agent under the Existing Credit Agreement. On the Effective Date, the credit facilities described in the Existing Credit Agreement shall be amended, supplemented, modified and restated in their entirety by the credit facilities described herein, and all loans and other obligations of the Borrowers outstanding as of the Effective Date under the Existing Credit Agreement shall be deemed to be Loans and Obligations outstanding under the credit facility described herein without any further action by any Person, except that the Administrative Agent shall make such transfers of funds as are necessary in order that the outstanding balance of such Loans, together with any Loans funded on the Effective Date, reflect the respective Revolving Commitments of the Lenders hereunder.</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9.22 </w:t>
      </w:r>
      <w:r>
        <w:rPr>
          <w:rFonts w:ascii="Arial" w:cs="Arial" w:eastAsia="Arial" w:hAnsi="Arial"/>
          <w:sz w:val="19"/>
          <w:szCs w:val="19"/>
          <w:u w:val="single" w:color="auto"/>
          <w:color w:val="auto"/>
        </w:rPr>
        <w:t>Keepwell</w:t>
      </w:r>
      <w:r>
        <w:rPr>
          <w:rFonts w:ascii="Arial" w:cs="Arial" w:eastAsia="Arial" w:hAnsi="Arial"/>
          <w:sz w:val="19"/>
          <w:szCs w:val="19"/>
          <w:color w:val="auto"/>
        </w:rPr>
        <w:t>. Each Qualified ECP Guarantor hereby jointly and severally, absolutely, unconditionally and irrevocably undertakes to provide such funds or other support as may be needed by each other Credit Party to honor all of its obligations hereunder in respect of Swap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Qualified ECP Guarantor shall only be liable under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or otherwise hereunder voidable under applicable law relating to fraudulent conveyance or fraudulent transfer, and not for any greater amount). The obligations of each Qualified ECP Guarantor under this Section shall remain in full force and effect until all Obligations shall have been indefeasibly paid in full, the Revolving Commitments shall have terminated or expired and all Letters of Credit (other than Letters of Credit as to which other arrangements satisfactory to the Administrative Agent and the Issuing Bank have been made) shall have terminated or expired. Each Qualified ECP Guarantor intends that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shall be deemed to constitute, a “keepwell, support, or other agreement” for the benefit of each other Credit Party for all purposes of Section 1a(18)(A)(v)(II) of the Commodity Exchange Act.</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9.23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Contracts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In the event a Covered Entity that is party to a Supported QFC (each, a “</w:t>
      </w:r>
      <w:r>
        <w:rPr>
          <w:rFonts w:ascii="Arial" w:cs="Arial" w:eastAsia="Arial" w:hAnsi="Arial"/>
          <w:sz w:val="22"/>
          <w:szCs w:val="22"/>
          <w:u w:val="single" w:color="auto"/>
          <w:color w:val="auto"/>
        </w:rPr>
        <w:t>Covered Party</w:t>
      </w:r>
      <w:r>
        <w:rPr>
          <w:rFonts w:ascii="Arial" w:cs="Arial" w:eastAsia="Arial" w:hAnsi="Arial"/>
          <w:sz w:val="22"/>
          <w:szCs w:val="22"/>
          <w:color w:val="auto"/>
        </w:rPr>
        <w:t>”) becomes subject to a proceeding under a U.S. Special Resolution Regime, the transfer of such Supported QFC and the benefit of such QFC Credit Support (and any interest and obligation 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28" w:right="339" w:bottom="1440" w:gutter="0" w:footer="0" w:header="0"/>
        </w:sectPr>
      </w:pPr>
    </w:p>
    <w:bookmarkStart w:id="186" w:name="page187"/>
    <w:bookmarkEnd w:id="186"/>
    <w:p>
      <w:pPr>
        <w:jc w:val="both"/>
        <w:spacing w:after="0" w:line="288" w:lineRule="auto"/>
        <w:rPr>
          <w:sz w:val="20"/>
          <w:szCs w:val="20"/>
          <w:color w:val="auto"/>
        </w:rPr>
      </w:pPr>
      <w:r>
        <w:rPr>
          <w:rFonts w:ascii="Arial" w:cs="Arial" w:eastAsia="Arial" w:hAnsi="Arial"/>
          <w:sz w:val="19"/>
          <w:szCs w:val="19"/>
          <w:color w:val="auto"/>
        </w:rPr>
        <w:t>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BORROWER GUARANTEES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Guarantee of the Company</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order to induce the Lenders to extend credit to the other Borrowers hereunder, the Company hereby irrevocably and unconditionally guarantees, as a primary obligor and not merely as a surety, the payment when and as due of the Obligations of such other Borrowers. The Company further agrees that, except for any consent of the Company which is expressly required pursuant to this Agreement,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waives presentment to, demand of payment from and protest to any Borrower of any of the Obligations, and also waives notice of acceptance of its obligations and notice of protest for nonpayment. The obligations of the Company hereunder shall not be affected by the failure of the Administrative Agent or any Lender to assert any claim or demand or to enforce any right or remedy against any Credit Party under the provisions of this Agreement, any other Loan Document or otherwise, any extension or renewal of any of the Obligations, any rescission, waiver, amendment or modification of, or release from, any of the terms or provisions of this Agreement, or any other Loan Document or agreement, any default, failure or delay, willful or otherwise, in the performance of any of the Obligations or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further agrees that its obligations hereunder shall continue to be effective or be reinstated, as the case may be, if at any time payment, or any part thereof, of 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63" w:lineRule="auto"/>
        <w:rPr>
          <w:sz w:val="20"/>
          <w:szCs w:val="20"/>
          <w:color w:val="auto"/>
        </w:rPr>
      </w:pPr>
      <w:r>
        <w:rPr>
          <w:rFonts w:ascii="Arial" w:cs="Arial" w:eastAsia="Arial" w:hAnsi="Arial"/>
          <w:sz w:val="22"/>
          <w:szCs w:val="22"/>
          <w:color w:val="auto"/>
        </w:rPr>
        <w:t>Obligation is rescinded or must otherwise be restored by the Administrative Agent or any Lender upon the bankruptcy or reorganization of any Borrower or otherwise.</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furtherance of the foregoing and not in limitation of any other right which the Administrative Agent or any Lender may have at law or in equity against the Company 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or any Lender, forthwith pay, or cause to be paid, to the Administrative Agent or such Lender in cash an amount equal to the unpaid principal amount of such Obligations then due, together with accrued and unpaid interest thereon.</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payment by the Company of any sums as provided above, all rights of the Company against any Borrower arising as a result thereof by way of right of subrogation or otherwise shall in all respects be subordinated and junior in right of payment to the prior indefeasible payment in full of all the Obligations owed by such Borrower to the Administrative Agent, the Issuing Bank and the Lenders.</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Nothing shall discharge or satisfy the liability of the Company under this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except the full performance and payment of the Obligations.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Guarantee of the Foreign Borrowers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order to induce the Lenders to extend credit to the other Foreign Borrowers hereunder, each Foreign Borrower hereby irrevocably and unconditionally guarantees, as a primary obligor and not merely as a surety, the payment when and as due of the Obligations of each other Foreign Borrower. Each Foreign Borrower further agrees that, except for any consent of such Foreign Borrower which is expressly required pursuant to this Agreement,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Each Foreign Borrower waives presentment to, demand of payment from and protest to any other Borrower of any of the Obligations of any Foreign Borrower, and also waives notice of acceptance of its obligations and notice of protest for nonpayment. The obligations of the Foreign Borrowers hereunder shall not be affected by (a) the failure of the Administrative Agent or any Lender to assert any claim or demand or to enforce any right or remedy against any Credit Party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or (e) any other act, omission or delay to do any other act which may or might in any manner or to any extent vary the risk of any Foreign Borrower or otherwise operate as a discharge of a guarantor as a matter of law or equity or which would impair or eliminate any right of any Foreign Borrower to subrogation.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28" w:right="339" w:bottom="1440" w:gutter="0" w:footer="0" w:header="0"/>
        </w:sectPr>
      </w:pPr>
    </w:p>
    <w:bookmarkStart w:id="188" w:name="page189"/>
    <w:bookmarkEnd w:id="188"/>
    <w:p>
      <w:pPr>
        <w:spacing w:after="0" w:line="23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Foreign Borrower further agrees that its obligations hereunder shall continue to be effective or be reinstated, as the case may be, if at any time payment, or any part thereof, or any Obligation of any Foreign Borrower is rescinded or must otherwise be restored by the Administrative Agent or any Lender upon the bankruptcy or reorganization of any Borrower or otherwise.</w:t>
      </w:r>
    </w:p>
    <w:p>
      <w:pPr>
        <w:spacing w:after="0" w:line="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In furtherance of the foregoing and not in limitation of any other right which the Administrative Agent or any Lender may have at law or in equity against any Foreign Borrower by virtue hereof, upon the failure of any Foreign Borrower to pay any Obligation of such Foreign Borrower when and as the same shall become due, whether at maturity, by acceleration, after notice of prepayment or otherwise, each Foreign Borrower hereby promises to and will, upon receipt of written demand by the Administrative Agent or any Lender, forthwith pay, or cause to be paid, to the Administrative Agent or such Lender in cash an amount equal to the unpaid principal amount of any Obligations of any other Foreign Borrowers then due, together with accrued and unpaid interest thereon.</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payment by any Foreign Borrower of any sums as provided above, all rights of such Foreign Borrower against any other Foreign Borrower arising as a result thereof by way of right of subrogation or otherwise shall in all respects be subordinated and junior in right of payment to the prior indefeasible payment in full of all the Obligations owed by such Foreign Borrower to the Administrative Agent, the Issuing Banks and the Lenders.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Nothing shall discharge or satisfy the liability of any Foreign Borrower under this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except the full performance and payment of the Obligations of all Foreign Borrowers.</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u w:val="single" w:color="auto"/>
          <w:color w:val="auto"/>
        </w:rPr>
        <w:t>Limitation on Foreign Guarantees</w:t>
      </w:r>
      <w:r>
        <w:rPr>
          <w:rFonts w:ascii="Arial" w:cs="Arial" w:eastAsia="Arial" w:hAnsi="Arial"/>
          <w:sz w:val="19"/>
          <w:szCs w:val="19"/>
          <w:color w:val="auto"/>
        </w:rPr>
        <w:t>.</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Notwithstanding any other provisions of the Loan Documents, no Loan to the Company or other obligation of the Company or any Domestic Subsidiary under this Agreement or under any Loan Document may be, directly or indirectly, guaranteed by a Foreign Borrower or a Foreign Subsidiary, secured by any assets of any Foreign Borrower or Foreign Subsidiary (including any stock held directly or indirectly by a Foreign Borrower or Foreign Subsidiary) or secured by a pledge in excess of 65% of the stock (measured by the total combined voting power of the issued and outstanding voting stock) of a Foreign Borrower or Foreign Subsidiary. The Guarantee granted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does not apply to any liability to the extent that it would result in such Guarantee constituting unlawful financial assistance within the meaning of sections 678 or 679 of the English Companies Act 2006.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40" w:right="339" w:bottom="1440" w:gutter="0" w:footer="0" w:header="0"/>
        </w:sectPr>
      </w:pPr>
    </w:p>
    <w:bookmarkStart w:id="189" w:name="page190"/>
    <w:bookmarkEnd w:id="189"/>
    <w:p>
      <w:pPr>
        <w:ind w:firstLine="648"/>
        <w:spacing w:after="0" w:line="263" w:lineRule="auto"/>
        <w:rPr>
          <w:sz w:val="20"/>
          <w:szCs w:val="20"/>
          <w:color w:val="auto"/>
        </w:rPr>
      </w:pPr>
      <w:r>
        <w:rPr>
          <w:rFonts w:ascii="Arial" w:cs="Arial" w:eastAsia="Arial" w:hAnsi="Arial"/>
          <w:sz w:val="22"/>
          <w:szCs w:val="22"/>
          <w:color w:val="auto"/>
        </w:rPr>
        <w:t>IN WITNESS WHEREOF, the parties hereto, by their respective officers thereunto duly authorized, have executed the Agreement effective as of the date first above written.</w:t>
      </w:r>
    </w:p>
    <w:p>
      <w:pPr>
        <w:spacing w:after="0" w:line="19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BORROWERS:</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MATRIX SERVICE COMPANY</w:t>
      </w:r>
      <w:r>
        <w:rPr>
          <w:rFonts w:ascii="Arial" w:cs="Arial" w:eastAsia="Arial" w:hAnsi="Arial"/>
          <w:sz w:val="22"/>
          <w:szCs w:val="22"/>
          <w:color w:val="auto"/>
        </w:rPr>
        <w:t>, a Delaware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corporation, </w:t>
      </w:r>
      <w:r>
        <w:rPr>
          <w:rFonts w:ascii="Arial" w:cs="Arial" w:eastAsia="Arial" w:hAnsi="Arial"/>
          <w:sz w:val="22"/>
          <w:szCs w:val="22"/>
          <w:b w:val="1"/>
          <w:bCs w:val="1"/>
          <w:color w:val="auto"/>
        </w:rPr>
        <w:t>MATRIX SERVICE CANADA</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ULC</w:t>
      </w:r>
      <w:r>
        <w:rPr>
          <w:rFonts w:ascii="Arial" w:cs="Arial" w:eastAsia="Arial" w:hAnsi="Arial"/>
          <w:sz w:val="22"/>
          <w:szCs w:val="22"/>
          <w:color w:val="auto"/>
        </w:rPr>
        <w:t>, an Alberta unlimited liability corporation,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MATRIX SME CANADA ULC</w:t>
      </w:r>
      <w:r>
        <w:rPr>
          <w:rFonts w:ascii="Arial" w:cs="Arial" w:eastAsia="Arial" w:hAnsi="Arial"/>
          <w:sz w:val="22"/>
          <w:szCs w:val="22"/>
          <w:color w:val="auto"/>
        </w:rPr>
        <w:t>, a Nova Scotia</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unlimited liability company, </w:t>
      </w:r>
      <w:r>
        <w:rPr>
          <w:rFonts w:ascii="Arial" w:cs="Arial" w:eastAsia="Arial" w:hAnsi="Arial"/>
          <w:sz w:val="22"/>
          <w:szCs w:val="22"/>
          <w:b w:val="1"/>
          <w:bCs w:val="1"/>
          <w:color w:val="auto"/>
        </w:rPr>
        <w:t>MATRIX NORTH</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AMERICAN CONSTRUCTION LTD.</w:t>
      </w:r>
      <w:r>
        <w:rPr>
          <w:rFonts w:ascii="Arial" w:cs="Arial" w:eastAsia="Arial" w:hAnsi="Arial"/>
          <w:sz w:val="22"/>
          <w:szCs w:val="22"/>
          <w:color w:val="auto"/>
        </w:rPr>
        <w:t>, an Ontario</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corporation, and </w:t>
      </w:r>
      <w:r>
        <w:rPr>
          <w:rFonts w:ascii="Arial" w:cs="Arial" w:eastAsia="Arial" w:hAnsi="Arial"/>
          <w:sz w:val="22"/>
          <w:szCs w:val="22"/>
          <w:b w:val="1"/>
          <w:bCs w:val="1"/>
          <w:color w:val="auto"/>
        </w:rPr>
        <w:t>MATRIX INTERNATIONAL</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HOLDING COMPANY LIMITED</w:t>
      </w:r>
      <w:r>
        <w:rPr>
          <w:rFonts w:ascii="Arial" w:cs="Arial" w:eastAsia="Arial" w:hAnsi="Arial"/>
          <w:sz w:val="22"/>
          <w:szCs w:val="22"/>
          <w:color w:val="auto"/>
        </w:rPr>
        <w:t>, a private</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company formed under the laws of England and Wales</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-17780</wp:posOffset>
            </wp:positionV>
            <wp:extent cx="1192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Kevin S. Cavanah</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 or Treasurer or Director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Signed 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MATRIX APPLIED TECHNOLOGIES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PTY LTD (ACN 089 397 982)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section 127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Corporations Act 2001 by two directors: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Jeffrey Heath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Signature of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Kevin S. Cavanah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0900"/>
          </w:cols>
          <w:pgMar w:left="320" w:top="1428" w:right="679" w:bottom="1440" w:gutter="0" w:footer="0" w:header="0"/>
        </w:sectPr>
      </w:pPr>
    </w:p>
    <w:bookmarkStart w:id="190" w:name="page191"/>
    <w:bookmarkEnd w:id="190"/>
    <w:p>
      <w:pPr>
        <w:ind w:left="2120"/>
        <w:spacing w:after="0"/>
        <w:rPr>
          <w:sz w:val="20"/>
          <w:szCs w:val="20"/>
          <w:color w:val="auto"/>
        </w:rPr>
      </w:pPr>
      <w:r>
        <w:rPr>
          <w:rFonts w:ascii="Arial" w:cs="Arial" w:eastAsia="Arial" w:hAnsi="Arial"/>
          <w:sz w:val="21"/>
          <w:szCs w:val="21"/>
          <w:b w:val="1"/>
          <w:bCs w:val="1"/>
          <w:color w:val="auto"/>
        </w:rPr>
        <w:t>ADMINISTRATIVE AGENT, ISSUING BANK,</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SWINGLINE LENDER AND LENDER:</w:t>
      </w:r>
    </w:p>
    <w:p>
      <w:pPr>
        <w:spacing w:after="0" w:line="223"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JPMORGAN CHASE BANK, N.A.</w:t>
      </w:r>
    </w:p>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Mattson</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Michael Mattson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Authorized Signer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9019"/>
          </w:cols>
          <w:pgMar w:left="1440" w:top="1422" w:right="1440" w:bottom="1440" w:gutter="0" w:footer="0" w:header="0"/>
        </w:sectPr>
      </w:pPr>
    </w:p>
    <w:bookmarkStart w:id="191" w:name="page192"/>
    <w:bookmarkEnd w:id="191"/>
    <w:p>
      <w:pPr>
        <w:ind w:left="2120"/>
        <w:spacing w:after="0"/>
        <w:rPr>
          <w:sz w:val="20"/>
          <w:szCs w:val="20"/>
          <w:color w:val="auto"/>
        </w:rPr>
      </w:pPr>
      <w:r>
        <w:rPr>
          <w:rFonts w:ascii="Arial" w:cs="Arial" w:eastAsia="Arial" w:hAnsi="Arial"/>
          <w:sz w:val="21"/>
          <w:szCs w:val="21"/>
          <w:b w:val="1"/>
          <w:bCs w:val="1"/>
          <w:color w:val="auto"/>
        </w:rPr>
        <w:t>JPMORGAN CHASE BANK, N.A., TORONTO</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BRANCH</w:t>
      </w:r>
    </w:p>
    <w:p>
      <w:pPr>
        <w:spacing w:after="0" w:line="200" w:lineRule="exact"/>
        <w:rPr>
          <w:sz w:val="20"/>
          <w:szCs w:val="20"/>
          <w:color w:val="auto"/>
        </w:rPr>
      </w:pPr>
    </w:p>
    <w:p>
      <w:pPr>
        <w:spacing w:after="0" w:line="285"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 N. Tam</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M. N. Tam</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9019"/>
          </w:cols>
          <w:pgMar w:left="1440" w:top="1422" w:right="1440" w:bottom="1440" w:gutter="0" w:footer="0" w:header="0"/>
        </w:sectPr>
      </w:pPr>
    </w:p>
    <w:bookmarkStart w:id="192" w:name="page193"/>
    <w:bookmarkEnd w:id="192"/>
    <w:p>
      <w:pPr>
        <w:ind w:left="2120"/>
        <w:spacing w:after="0"/>
        <w:rPr>
          <w:sz w:val="20"/>
          <w:szCs w:val="20"/>
          <w:color w:val="auto"/>
        </w:rPr>
      </w:pPr>
      <w:r>
        <w:rPr>
          <w:rFonts w:ascii="Arial" w:cs="Arial" w:eastAsia="Arial" w:hAnsi="Arial"/>
          <w:sz w:val="21"/>
          <w:szCs w:val="21"/>
          <w:b w:val="1"/>
          <w:bCs w:val="1"/>
          <w:color w:val="auto"/>
        </w:rPr>
        <w:t>CO-SYNDICATION AGENT, ISSUING BANK</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AND LENDER</w:t>
      </w:r>
    </w:p>
    <w:p>
      <w:pPr>
        <w:spacing w:after="0" w:line="223"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WELLS FARGO BANK, N.A.</w:t>
      </w:r>
    </w:p>
    <w:p>
      <w:pPr>
        <w:spacing w:after="0" w:line="26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 Hughes</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Dan Hughes</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9019"/>
          </w:cols>
          <w:pgMar w:left="1440" w:top="1422" w:right="1440" w:bottom="1440" w:gutter="0" w:footer="0" w:header="0"/>
        </w:sectPr>
      </w:pPr>
    </w:p>
    <w:bookmarkStart w:id="193" w:name="page194"/>
    <w:bookmarkEnd w:id="193"/>
    <w:p>
      <w:pPr>
        <w:ind w:left="2120"/>
        <w:spacing w:after="0"/>
        <w:rPr>
          <w:sz w:val="20"/>
          <w:szCs w:val="20"/>
          <w:color w:val="auto"/>
        </w:rPr>
      </w:pPr>
      <w:r>
        <w:rPr>
          <w:rFonts w:ascii="Arial" w:cs="Arial" w:eastAsia="Arial" w:hAnsi="Arial"/>
          <w:sz w:val="22"/>
          <w:szCs w:val="22"/>
          <w:b w:val="1"/>
          <w:bCs w:val="1"/>
          <w:color w:val="auto"/>
        </w:rPr>
        <w:t>CO-SYNDICATION AGENT AND LENDER:</w:t>
      </w:r>
    </w:p>
    <w:p>
      <w:pPr>
        <w:spacing w:after="0" w:line="247"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BANK OF MONTREAL</w:t>
      </w:r>
    </w:p>
    <w:p>
      <w:pPr>
        <w:spacing w:after="0" w:line="26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Helen Alvarez-Hernandez</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Helen Alvarez-Hernandez</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Gift</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Michael Gift</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Managing Director, Chicago Branch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Tom Woolgar</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Tom Woolgar</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Title: Managing Director, on behalf of Bank of Montreal, London Branch, UK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Matthews</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Scott Matthews</w:t>
      </w:r>
    </w:p>
    <w:p>
      <w:pPr>
        <w:spacing w:after="0" w:line="17"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Title: Managing Director, on behalf of Bank of Montreal, London Branch,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9019"/>
          </w:cols>
          <w:pgMar w:left="1440" w:top="1422" w:right="1440" w:bottom="1440" w:gutter="0" w:footer="0" w:header="0"/>
        </w:sectPr>
      </w:pPr>
    </w:p>
    <w:bookmarkStart w:id="194" w:name="page195"/>
    <w:bookmarkEnd w:id="194"/>
    <w:p>
      <w:pPr>
        <w:ind w:left="2120"/>
        <w:spacing w:after="0"/>
        <w:rPr>
          <w:sz w:val="20"/>
          <w:szCs w:val="20"/>
          <w:color w:val="auto"/>
        </w:rPr>
      </w:pPr>
      <w:r>
        <w:rPr>
          <w:rFonts w:ascii="Arial" w:cs="Arial" w:eastAsia="Arial" w:hAnsi="Arial"/>
          <w:sz w:val="21"/>
          <w:szCs w:val="21"/>
          <w:b w:val="1"/>
          <w:bCs w:val="1"/>
          <w:color w:val="auto"/>
        </w:rPr>
        <w:t>CO-SYNDICATION AGENT AND LENDER:</w:t>
      </w:r>
    </w:p>
    <w:p>
      <w:pPr>
        <w:spacing w:after="0" w:line="258"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BANK OF AMERICA, N.A.</w:t>
      </w:r>
    </w:p>
    <w:p>
      <w:pPr>
        <w:spacing w:after="0" w:line="26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Blackman</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Scott Blackman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BANK OF AMERICA, N.A.</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(CANADA BRANCH), as Lender</w:t>
      </w:r>
    </w:p>
    <w:p>
      <w:pPr>
        <w:spacing w:after="0" w:line="229"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Medina Sales de Andrade</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Medina Sales de Andrade</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9019"/>
          </w:cols>
          <w:pgMar w:left="1440" w:top="1422" w:right="1440" w:bottom="1440" w:gutter="0" w:footer="0" w:header="0"/>
        </w:sectPr>
      </w:pPr>
    </w:p>
    <w:bookmarkStart w:id="195" w:name="page196"/>
    <w:bookmarkEnd w:id="195"/>
    <w:p>
      <w:pPr>
        <w:ind w:left="2120"/>
        <w:spacing w:after="0"/>
        <w:rPr>
          <w:sz w:val="20"/>
          <w:szCs w:val="20"/>
          <w:color w:val="auto"/>
        </w:rPr>
      </w:pPr>
      <w:r>
        <w:rPr>
          <w:rFonts w:ascii="Arial" w:cs="Arial" w:eastAsia="Arial" w:hAnsi="Arial"/>
          <w:sz w:val="22"/>
          <w:szCs w:val="22"/>
          <w:b w:val="1"/>
          <w:bCs w:val="1"/>
          <w:color w:val="auto"/>
        </w:rPr>
        <w:t>CO-DOCUMENTATION AGENT AND</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LENDER:</w:t>
      </w:r>
    </w:p>
    <w:p>
      <w:pPr>
        <w:spacing w:after="0" w:line="223" w:lineRule="exact"/>
        <w:rPr>
          <w:sz w:val="20"/>
          <w:szCs w:val="20"/>
          <w:color w:val="auto"/>
        </w:rPr>
      </w:pPr>
    </w:p>
    <w:p>
      <w:pPr>
        <w:ind w:left="2120"/>
        <w:spacing w:after="0"/>
        <w:rPr>
          <w:sz w:val="20"/>
          <w:szCs w:val="20"/>
          <w:color w:val="auto"/>
        </w:rPr>
      </w:pPr>
      <w:r>
        <w:rPr>
          <w:rFonts w:ascii="Arial" w:cs="Arial" w:eastAsia="Arial" w:hAnsi="Arial"/>
          <w:sz w:val="21"/>
          <w:szCs w:val="21"/>
          <w:b w:val="1"/>
          <w:bCs w:val="1"/>
          <w:color w:val="auto"/>
        </w:rPr>
        <w:t>BOKF, N.A. dba BANK OF OKLAHOMA</w:t>
      </w:r>
    </w:p>
    <w:p>
      <w:pPr>
        <w:spacing w:after="0" w:line="27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Johnson</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Paul Johnson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9019"/>
          </w:cols>
          <w:pgMar w:left="1440" w:top="1422" w:right="1440" w:bottom="1440" w:gutter="0" w:footer="0" w:header="0"/>
        </w:sectPr>
      </w:pPr>
    </w:p>
    <w:bookmarkStart w:id="196" w:name="page197"/>
    <w:bookmarkEnd w:id="196"/>
    <w:p>
      <w:pPr>
        <w:ind w:left="2120"/>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COMMERCE BANK</w:t>
      </w:r>
    </w:p>
    <w:p>
      <w:pPr>
        <w:spacing w:after="0" w:line="26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Stephen Elias</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Stephen Elias</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149</w:t>
      </w:r>
    </w:p>
    <w:p>
      <w:pPr>
        <w:sectPr>
          <w:pgSz w:w="11900" w:h="16838" w:orient="portrait"/>
          <w:cols w:equalWidth="0" w:num="1">
            <w:col w:w="9019"/>
          </w:cols>
          <w:pgMar w:left="1440" w:top="1422"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5, 2020</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5, 2020</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2020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5, 2020</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2020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5, 2020</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2020:</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of Legal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Actions</w:t>
            </w: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104(d)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110(b)(2)</w:t>
            </w: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5"/>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107(a)</w:t>
            </w: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2"/>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Number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S&amp;S Citations</w:t>
            </w:r>
            <w:r>
              <w:rPr>
                <w:rFonts w:ascii="Arial" w:cs="Arial" w:eastAsia="Arial" w:hAnsi="Arial"/>
                <w:sz w:val="7"/>
                <w:szCs w:val="7"/>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Orders</w:t>
            </w:r>
            <w:r>
              <w:rPr>
                <w:rFonts w:ascii="Arial" w:cs="Arial" w:eastAsia="Arial" w:hAnsi="Arial"/>
                <w:sz w:val="7"/>
                <w:szCs w:val="7"/>
                <w:color w:val="auto"/>
                <w:w w:val="85"/>
              </w:rPr>
              <w:t>(2)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Violations</w:t>
            </w:r>
            <w:r>
              <w:rPr>
                <w:rFonts w:ascii="Arial" w:cs="Arial" w:eastAsia="Arial" w:hAnsi="Arial"/>
                <w:sz w:val="7"/>
                <w:szCs w:val="7"/>
                <w:color w:val="auto"/>
                <w:w w:val="92"/>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Castle Mountain</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Gold Mine,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Equinox Gold 04-</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04918</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160" w:hanging="252"/>
        <w:spacing w:after="0" w:line="273" w:lineRule="auto"/>
        <w:tabs>
          <w:tab w:leader="none" w:pos="22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19" w:lineRule="exact"/>
        <w:rPr>
          <w:rFonts w:ascii="Arial" w:cs="Arial" w:eastAsia="Arial" w:hAnsi="Arial"/>
          <w:sz w:val="14"/>
          <w:szCs w:val="14"/>
          <w:color w:val="auto"/>
        </w:rPr>
      </w:pPr>
    </w:p>
    <w:p>
      <w:pPr>
        <w:ind w:left="220" w:hanging="212"/>
        <w:spacing w:after="0"/>
        <w:tabs>
          <w:tab w:leader="none" w:pos="22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174" w:lineRule="exact"/>
        <w:rPr>
          <w:rFonts w:ascii="Arial" w:cs="Arial" w:eastAsia="Arial" w:hAnsi="Arial"/>
          <w:sz w:val="13"/>
          <w:szCs w:val="13"/>
          <w:color w:val="auto"/>
        </w:rPr>
      </w:pPr>
    </w:p>
    <w:p>
      <w:pPr>
        <w:ind w:left="220" w:hanging="212"/>
        <w:spacing w:after="0"/>
        <w:tabs>
          <w:tab w:leader="none" w:pos="2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1)"/>
      <w:numFmt w:val="decimal"/>
      <w:start w:val="1"/>
    </w:lvl>
  </w:abstractNum>
  <w:abstractNum w:abstractNumId="4">
    <w:nsid w:val="488AC1A"/>
    <w:multiLevelType w:val="hybridMultilevel"/>
    <w:lvl w:ilvl="0">
      <w:lvlJc w:val="left"/>
      <w:lvlText w:val="(%1)"/>
      <w:numFmt w:val="decimal"/>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6FC75AF8"/>
    <w:multiLevelType w:val="hybridMultilevel"/>
    <w:lvl w:ilvl="0">
      <w:lvlJc w:val="left"/>
      <w:lvlText w:val="%1"/>
      <w:numFmt w:val="decimal"/>
      <w:start w:val="882"/>
    </w:lvl>
  </w:abstractNum>
  <w:abstractNum w:abstractNumId="9">
    <w:nsid w:val="6A5F7029"/>
    <w:multiLevelType w:val="hybridMultilevel"/>
    <w:lvl w:ilvl="0">
      <w:lvlJc w:val="left"/>
      <w:lvlText w:val="%1"/>
      <w:numFmt w:val="decimal"/>
      <w:start w:val="936"/>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1)"/>
      <w:numFmt w:val="decimal"/>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lvl w:ilvl="1">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1)"/>
      <w:numFmt w:val="upperLetter"/>
      <w:start w:val="1"/>
    </w:lvl>
  </w:abstractNum>
  <w:abstractNum w:abstractNumId="32">
    <w:nsid w:val="415E286C"/>
    <w:multiLevelType w:val="hybridMultilevel"/>
    <w:lvl w:ilvl="0">
      <w:lvlJc w:val="left"/>
      <w:lvlText w:val="(%1)"/>
      <w:numFmt w:val="lowerLetter"/>
      <w:start w:val="3"/>
    </w:lvl>
  </w:abstractNum>
  <w:abstractNum w:abstractNumId="33">
    <w:nsid w:val="7C58FD05"/>
    <w:multiLevelType w:val="hybridMultilevel"/>
    <w:lvl w:ilvl="0">
      <w:lvlJc w:val="left"/>
      <w:lvlText w:val="(%1)"/>
      <w:numFmt w:val="decimal"/>
      <w:start w:val="1"/>
    </w:lvl>
  </w:abstractNum>
  <w:abstractNum w:abstractNumId="34">
    <w:nsid w:val="23D86AAC"/>
    <w:multiLevelType w:val="hybridMultilevel"/>
    <w:lvl w:ilvl="0">
      <w:lvlJc w:val="left"/>
      <w:lvlText w:val="(%1)"/>
      <w:numFmt w:val="decimal"/>
      <w:start w:val="1"/>
    </w:lvl>
    <w:lvl w:ilvl="1">
      <w:lvlJc w:val="left"/>
      <w:lvlText w:val="%2."/>
      <w:numFmt w:val="lowerLetter"/>
      <w:start w:val="1"/>
    </w:lvl>
  </w:abstractNum>
  <w:abstractNum w:abstractNumId="35">
    <w:nsid w:val="45E6D486"/>
    <w:multiLevelType w:val="hybridMultilevel"/>
    <w:lvl w:ilvl="0">
      <w:lvlJc w:val="left"/>
      <w:lvlText w:val="%1"/>
      <w:numFmt w:val="lowerLetter"/>
      <w:start w:val="1"/>
    </w:lvl>
    <w:lvl w:ilvl="1">
      <w:lvlJc w:val="left"/>
      <w:lvlText w:val="(%2)"/>
      <w:numFmt w:val="decimal"/>
      <w:start w:val="3"/>
    </w:lvl>
  </w:abstractNum>
  <w:abstractNum w:abstractNumId="36">
    <w:nsid w:val="5C10FE21"/>
    <w:multiLevelType w:val="hybridMultilevel"/>
    <w:lvl w:ilvl="0">
      <w:lvlJc w:val="left"/>
      <w:lvlText w:val="(%1)"/>
      <w:numFmt w:val="lowerLetter"/>
      <w:start w:val="1"/>
    </w:lvl>
    <w:lvl w:ilvl="1">
      <w:lvlJc w:val="left"/>
      <w:lvlText w:val="(%2)"/>
      <w:numFmt w:val="decimal"/>
      <w:start w:val="4"/>
    </w:lvl>
  </w:abstractNum>
  <w:abstractNum w:abstractNumId="37">
    <w:nsid w:val="E7FFA2B"/>
    <w:multiLevelType w:val="hybridMultilevel"/>
    <w:lvl w:ilvl="0">
      <w:lvlJc w:val="left"/>
      <w:lvlText w:val="(%1)"/>
      <w:numFmt w:val="decimal"/>
      <w:start w:val="1"/>
    </w:lvl>
  </w:abstractNum>
  <w:abstractNum w:abstractNumId="38">
    <w:nsid w:val="3C5991AA"/>
    <w:multiLevelType w:val="hybridMultilevel"/>
    <w:lvl w:ilvl="0">
      <w:lvlJc w:val="left"/>
      <w:lvlText w:val="(%1)"/>
      <w:numFmt w:val="lowerLetter"/>
      <w:start w:val="2"/>
    </w:lvl>
  </w:abstractNum>
  <w:abstractNum w:abstractNumId="39">
    <w:nsid w:val="4BD8591A"/>
    <w:multiLevelType w:val="hybridMultilevel"/>
    <w:lvl w:ilvl="0">
      <w:lvlJc w:val="left"/>
      <w:lvlText w:val="(%1)"/>
      <w:numFmt w:val="lowerRoman"/>
      <w:start w:val="1"/>
    </w:lvl>
  </w:abstractNum>
  <w:abstractNum w:abstractNumId="40">
    <w:nsid w:val="78DF6A55"/>
    <w:multiLevelType w:val="hybridMultilevel"/>
    <w:lvl w:ilvl="0">
      <w:lvlJc w:val="left"/>
      <w:lvlText w:val="(%1)"/>
      <w:numFmt w:val="lowerRoman"/>
      <w:start w:val="1"/>
    </w:lvl>
  </w:abstractNum>
  <w:abstractNum w:abstractNumId="41">
    <w:nsid w:val="39B7AAA2"/>
    <w:multiLevelType w:val="hybridMultilevel"/>
    <w:lvl w:ilvl="0">
      <w:lvlJc w:val="left"/>
      <w:lvlText w:val="(%1)"/>
      <w:numFmt w:val="lowerLetter"/>
      <w:start w:val="1"/>
    </w:lvl>
    <w:lvl w:ilvl="1">
      <w:lvlJc w:val="left"/>
      <w:lvlText w:val="(%2)"/>
      <w:numFmt w:val="decimal"/>
      <w:start w:val="1"/>
    </w:lvl>
  </w:abstractNum>
  <w:abstractNum w:abstractNumId="42">
    <w:nsid w:val="2B0D8DBE"/>
    <w:multiLevelType w:val="hybridMultilevel"/>
    <w:lvl w:ilvl="0">
      <w:lvlJc w:val="left"/>
      <w:lvlText w:val="(%1)"/>
      <w:numFmt w:val="lowerLetter"/>
      <w:start w:val="2"/>
    </w:lvl>
  </w:abstractNum>
  <w:abstractNum w:abstractNumId="43">
    <w:nsid w:val="6C80EC70"/>
    <w:multiLevelType w:val="hybridMultilevel"/>
    <w:lvl w:ilvl="0">
      <w:lvlJc w:val="left"/>
      <w:lvlText w:val="(%1)"/>
      <w:numFmt w:val="lowerLetter"/>
      <w:start w:val="1"/>
    </w:lvl>
  </w:abstractNum>
  <w:abstractNum w:abstractNumId="44">
    <w:nsid w:val="379E21B5"/>
    <w:multiLevelType w:val="hybridMultilevel"/>
    <w:lvl w:ilvl="0">
      <w:lvlJc w:val="left"/>
      <w:lvlText w:val="(%1)"/>
      <w:numFmt w:val="lowerLetter"/>
      <w:start w:val="2"/>
    </w:lvl>
  </w:abstractNum>
  <w:abstractNum w:abstractNumId="45">
    <w:nsid w:val="69E373"/>
    <w:multiLevelType w:val="hybridMultilevel"/>
    <w:lvl w:ilvl="0">
      <w:lvlJc w:val="left"/>
      <w:lvlText w:val="(%1)"/>
      <w:numFmt w:val="lowerLetter"/>
      <w:start w:val="1"/>
    </w:lvl>
  </w:abstractNum>
  <w:abstractNum w:abstractNumId="46">
    <w:nsid w:val="2C27173B"/>
    <w:multiLevelType w:val="hybridMultilevel"/>
    <w:lvl w:ilvl="0">
      <w:lvlJc w:val="left"/>
      <w:lvlText w:val="(%1)"/>
      <w:numFmt w:val="lowerLetter"/>
      <w:start w:val="1"/>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1"/>
    </w:lvl>
  </w:abstractNum>
  <w:abstractNum w:abstractNumId="49">
    <w:nsid w:val="1DF029D3"/>
    <w:multiLevelType w:val="hybridMultilevel"/>
    <w:lvl w:ilvl="0">
      <w:lvlJc w:val="left"/>
      <w:lvlText w:val="(%1)"/>
      <w:numFmt w:val="lowerLetter"/>
      <w:start w:val="2"/>
    </w:lvl>
    <w:lvl w:ilvl="1">
      <w:lvlJc w:val="left"/>
      <w:lvlText w:val="(%2)"/>
      <w:numFmt w:val="lowerRoman"/>
      <w:start w:val="1"/>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lowerRoman"/>
      <w:start w:val="1"/>
    </w:lvl>
  </w:abstractNum>
  <w:abstractNum w:abstractNumId="52">
    <w:nsid w:val="3DB012B3"/>
    <w:multiLevelType w:val="hybridMultilevel"/>
    <w:lvl w:ilvl="0">
      <w:lvlJc w:val="left"/>
      <w:lvlText w:val="(%1)"/>
      <w:numFmt w:val="lowerLetter"/>
      <w:start w:val="1"/>
    </w:lvl>
  </w:abstractNum>
  <w:abstractNum w:abstractNumId="53">
    <w:nsid w:val="2708C9AF"/>
    <w:multiLevelType w:val="hybridMultilevel"/>
    <w:lvl w:ilvl="0">
      <w:lvlJc w:val="left"/>
      <w:lvlText w:val="(%1)"/>
      <w:numFmt w:val="lowerLetter"/>
      <w:start w:val="2"/>
    </w:lvl>
  </w:abstractNum>
  <w:abstractNum w:abstractNumId="54">
    <w:nsid w:val="5B25ACE2"/>
    <w:multiLevelType w:val="hybridMultilevel"/>
    <w:lvl w:ilvl="0">
      <w:lvlJc w:val="left"/>
      <w:lvlText w:val="(%1)"/>
      <w:numFmt w:val="lowerLetter"/>
      <w:start w:val="1"/>
    </w:lvl>
  </w:abstractNum>
  <w:abstractNum w:abstractNumId="55">
    <w:nsid w:val="175DFCF0"/>
    <w:multiLevelType w:val="hybridMultilevel"/>
    <w:lvl w:ilvl="0">
      <w:lvlJc w:val="left"/>
      <w:lvlText w:val="(%1)"/>
      <w:numFmt w:val="lowerLetter"/>
      <w:start w:val="2"/>
    </w:lvl>
  </w:abstractNum>
  <w:abstractNum w:abstractNumId="56">
    <w:nsid w:val="4F97E3E4"/>
    <w:multiLevelType w:val="hybridMultilevel"/>
    <w:lvl w:ilvl="0">
      <w:lvlJc w:val="left"/>
      <w:lvlText w:val="(%1)"/>
      <w:numFmt w:val="lowerLetter"/>
      <w:start w:val="1"/>
    </w:lvl>
  </w:abstractNum>
  <w:abstractNum w:abstractNumId="57">
    <w:nsid w:val="53B0A9E"/>
    <w:multiLevelType w:val="hybridMultilevel"/>
    <w:lvl w:ilvl="0">
      <w:lvlJc w:val="left"/>
      <w:lvlText w:val="(%1)"/>
      <w:numFmt w:val="lowerLetter"/>
      <w:start w:val="9"/>
    </w:lvl>
    <w:lvl w:ilvl="1">
      <w:lvlJc w:val="left"/>
      <w:lvlText w:val="(%2)"/>
      <w:numFmt w:val="lowerLetter"/>
      <w:start w:val="3"/>
    </w:lvl>
  </w:abstractNum>
  <w:abstractNum w:abstractNumId="58">
    <w:nsid w:val="34FD6B4F"/>
    <w:multiLevelType w:val="hybridMultilevel"/>
    <w:lvl w:ilvl="0">
      <w:lvlJc w:val="left"/>
      <w:lvlText w:val="(%1)"/>
      <w:numFmt w:val="lowerLetter"/>
      <w:start w:val="5"/>
    </w:lvl>
  </w:abstractNum>
  <w:abstractNum w:abstractNumId="59">
    <w:nsid w:val="5915FF32"/>
    <w:multiLevelType w:val="hybridMultilevel"/>
    <w:lvl w:ilvl="0">
      <w:lvlJc w:val="left"/>
      <w:lvlText w:val="(%1)"/>
      <w:numFmt w:val="lowerLetter"/>
      <w:start w:val="6"/>
    </w:lvl>
  </w:abstractNum>
  <w:abstractNum w:abstractNumId="60">
    <w:nsid w:val="56438D15"/>
    <w:multiLevelType w:val="hybridMultilevel"/>
    <w:lvl w:ilvl="0">
      <w:lvlJc w:val="left"/>
      <w:lvlText w:val="(%1)"/>
      <w:numFmt w:val="lowerLetter"/>
      <w:start w:val="8"/>
    </w:lvl>
  </w:abstractNum>
  <w:abstractNum w:abstractNumId="61">
    <w:nsid w:val="519E3149"/>
    <w:multiLevelType w:val="hybridMultilevel"/>
    <w:lvl w:ilvl="0">
      <w:lvlJc w:val="left"/>
      <w:lvlText w:val="(%1)"/>
      <w:numFmt w:val="lowerLetter"/>
      <w:start w:val="12"/>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Letter"/>
      <w:start w:val="1"/>
    </w:lvl>
    <w:lvl w:ilvl="1">
      <w:lvlJc w:val="left"/>
      <w:lvlText w:val="(%2)"/>
      <w:numFmt w:val="lowerLetter"/>
      <w:start w:val="2"/>
    </w:lvl>
  </w:abstractNum>
  <w:abstractNum w:abstractNumId="64">
    <w:nsid w:val="4DF72E4E"/>
    <w:multiLevelType w:val="hybridMultilevel"/>
    <w:lvl w:ilvl="0">
      <w:lvlJc w:val="left"/>
      <w:lvlText w:val="(%1)"/>
      <w:numFmt w:val="lowerLetter"/>
      <w:start w:val="1"/>
    </w:lvl>
    <w:lvl w:ilvl="1">
      <w:lvlJc w:val="left"/>
      <w:lvlText w:val="%2"/>
      <w:numFmt w:val="lowerLetter"/>
      <w:start w:val="1"/>
    </w:lvl>
  </w:abstractNum>
  <w:abstractNum w:abstractNumId="65">
    <w:nsid w:val="5046B5A9"/>
    <w:multiLevelType w:val="hybridMultilevel"/>
    <w:lvl w:ilvl="0">
      <w:lvlJc w:val="left"/>
      <w:lvlText w:val="(%1)"/>
      <w:numFmt w:val="lowerLetter"/>
      <w:start w:val="1"/>
    </w:lvl>
  </w:abstractNum>
  <w:abstractNum w:abstractNumId="66">
    <w:nsid w:val="5D888A08"/>
    <w:multiLevelType w:val="hybridMultilevel"/>
    <w:lvl w:ilvl="0">
      <w:lvlJc w:val="left"/>
      <w:lvlText w:val="(%1)"/>
      <w:numFmt w:val="lowerLetter"/>
      <w:start w:val="3"/>
    </w:lvl>
    <w:lvl w:ilvl="1">
      <w:lvlJc w:val="left"/>
      <w:lvlText w:val="(%2)"/>
      <w:numFmt w:val="lowerRoman"/>
      <w:start w:val="1"/>
    </w:lvl>
  </w:abstractNum>
  <w:abstractNum w:abstractNumId="67">
    <w:nsid w:val="2A082C70"/>
    <w:multiLevelType w:val="hybridMultilevel"/>
    <w:lvl w:ilvl="0">
      <w:lvlJc w:val="left"/>
      <w:lvlText w:val="(%1)"/>
      <w:numFmt w:val="lowerLetter"/>
      <w:start w:val="4"/>
    </w:lvl>
  </w:abstractNum>
  <w:abstractNum w:abstractNumId="68">
    <w:nsid w:val="5EC6AFD4"/>
    <w:multiLevelType w:val="hybridMultilevel"/>
    <w:lvl w:ilvl="0">
      <w:lvlJc w:val="left"/>
      <w:lvlText w:val="(%1)"/>
      <w:numFmt w:val="lowerLetter"/>
      <w:start w:val="1"/>
    </w:lvl>
  </w:abstractNum>
  <w:abstractNum w:abstractNumId="69">
    <w:nsid w:val="19E21BB2"/>
    <w:multiLevelType w:val="hybridMultilevel"/>
    <w:lvl w:ilvl="0">
      <w:lvlJc w:val="left"/>
      <w:lvlText w:val="(%1)"/>
      <w:numFmt w:val="lowerLetter"/>
      <w:start w:val="1"/>
    </w:lvl>
  </w:abstractNum>
  <w:abstractNum w:abstractNumId="70">
    <w:nsid w:val="75E0858A"/>
    <w:multiLevelType w:val="hybridMultilevel"/>
    <w:lvl w:ilvl="0">
      <w:lvlJc w:val="left"/>
      <w:lvlText w:val="(%1)"/>
      <w:numFmt w:val="lowerLetter"/>
      <w:start w:val="3"/>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lowerLetter"/>
      <w:start w:val="2"/>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3"/>
    </w:lvl>
  </w:abstractNum>
  <w:abstractNum w:abstractNumId="75">
    <w:nsid w:val="B37E80A"/>
    <w:multiLevelType w:val="hybridMultilevel"/>
    <w:lvl w:ilvl="0">
      <w:lvlJc w:val="left"/>
      <w:lvlText w:val="(%1)"/>
      <w:numFmt w:val="lowerLetter"/>
      <w:start w:val="1"/>
    </w:lvl>
  </w:abstractNum>
  <w:abstractNum w:abstractNumId="76">
    <w:nsid w:val="2157F6BC"/>
    <w:multiLevelType w:val="hybridMultilevel"/>
    <w:lvl w:ilvl="0">
      <w:lvlJc w:val="left"/>
      <w:lvlText w:val="%1"/>
      <w:numFmt w:val="lowerLetter"/>
      <w:start w:val="1"/>
    </w:lvl>
    <w:lvl w:ilvl="1">
      <w:lvlJc w:val="left"/>
      <w:lvlText w:val="(%2)"/>
      <w:numFmt w:val="lowerLetter"/>
      <w:start w:val="3"/>
    </w:lvl>
  </w:abstractNum>
  <w:abstractNum w:abstractNumId="77">
    <w:nsid w:val="704E1DD5"/>
    <w:multiLevelType w:val="hybridMultilevel"/>
    <w:lvl w:ilvl="0">
      <w:lvlJc w:val="left"/>
      <w:lvlText w:val="(%1)"/>
      <w:numFmt w:val="lowerLetter"/>
      <w:start w:val="1"/>
    </w:lvl>
    <w:lvl w:ilvl="1">
      <w:lvlJc w:val="left"/>
      <w:lvlText w:val="(%2)"/>
      <w:numFmt w:val="lowerLetter"/>
      <w:start w:val="6"/>
    </w:lvl>
  </w:abstractNum>
  <w:abstractNum w:abstractNumId="78">
    <w:nsid w:val="57D2F10E"/>
    <w:multiLevelType w:val="hybridMultilevel"/>
    <w:lvl w:ilvl="0">
      <w:lvlJc w:val="left"/>
      <w:lvlText w:val="(%1)"/>
      <w:numFmt w:val="lowerLetter"/>
      <w:start w:val="8"/>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2"/>
    </w:lvl>
    <w:lvl w:ilvl="1">
      <w:lvlJc w:val="left"/>
      <w:lvlText w:val="(%2)"/>
      <w:numFmt w:val="lowerRoman"/>
      <w:start w:val="1"/>
    </w:lvl>
  </w:abstractNum>
  <w:abstractNum w:abstractNumId="81">
    <w:nsid w:val="2E48F044"/>
    <w:multiLevelType w:val="hybridMultilevel"/>
    <w:lvl w:ilvl="0">
      <w:lvlJc w:val="left"/>
      <w:lvlText w:val="(%1)"/>
      <w:numFmt w:val="upperLetter"/>
      <w:start w:val="2"/>
    </w:lvl>
    <w:lvl w:ilvl="1">
      <w:lvlJc w:val="left"/>
      <w:lvlText w:val="(%2)"/>
      <w:numFmt w:val="lowerLetter"/>
      <w:start w:val="3"/>
    </w:lvl>
  </w:abstractNum>
  <w:abstractNum w:abstractNumId="82">
    <w:nsid w:val="49D0FEAC"/>
    <w:multiLevelType w:val="hybridMultilevel"/>
    <w:lvl w:ilvl="0">
      <w:lvlJc w:val="left"/>
      <w:lvlText w:val="(%1)"/>
      <w:numFmt w:val="lowerLetter"/>
      <w:start w:val="5"/>
    </w:lvl>
  </w:abstractNum>
  <w:abstractNum w:abstractNumId="83">
    <w:nsid w:val="4BEE5A5B"/>
    <w:multiLevelType w:val="hybridMultilevel"/>
    <w:lvl w:ilvl="0">
      <w:lvlJc w:val="left"/>
      <w:lvlText w:val="(%1)"/>
      <w:numFmt w:val="lowerLetter"/>
      <w:start w:val="1"/>
    </w:lvl>
    <w:lvl w:ilvl="1">
      <w:lvlJc w:val="left"/>
      <w:lvlText w:val="(%2)"/>
      <w:numFmt w:val="lowerRoman"/>
      <w:start w:val="1"/>
    </w:lvl>
  </w:abstractNum>
  <w:abstractNum w:abstractNumId="84">
    <w:nsid w:val="5551B9F3"/>
    <w:multiLevelType w:val="hybridMultilevel"/>
    <w:lvl w:ilvl="0">
      <w:lvlJc w:val="left"/>
      <w:lvlText w:val="(%1)"/>
      <w:numFmt w:val="lowerLetter"/>
      <w:start w:val="4"/>
    </w:lvl>
    <w:lvl w:ilvl="1">
      <w:lvlJc w:val="left"/>
      <w:lvlText w:val="%2"/>
      <w:numFmt w:val="lowerRoman"/>
      <w:start w:val="1"/>
    </w:lvl>
  </w:abstractNum>
  <w:abstractNum w:abstractNumId="85">
    <w:nsid w:val="24F6AB8E"/>
    <w:multiLevelType w:val="hybridMultilevel"/>
    <w:lvl w:ilvl="0">
      <w:lvlJc w:val="left"/>
      <w:lvlText w:val="(%1)"/>
      <w:numFmt w:val="lowerLetter"/>
      <w:start w:val="2"/>
    </w:lvl>
  </w:abstractNum>
  <w:abstractNum w:abstractNumId="86">
    <w:nsid w:val="634C574C"/>
    <w:multiLevelType w:val="hybridMultilevel"/>
    <w:lvl w:ilvl="0">
      <w:lvlJc w:val="left"/>
      <w:lvlText w:val="(%1)"/>
      <w:numFmt w:val="lowerLetter"/>
      <w:start w:val="1"/>
    </w:lvl>
  </w:abstractNum>
  <w:abstractNum w:abstractNumId="87">
    <w:nsid w:val="24E99DD7"/>
    <w:multiLevelType w:val="hybridMultilevel"/>
    <w:lvl w:ilvl="0">
      <w:lvlJc w:val="left"/>
      <w:lvlText w:val="(%1)"/>
      <w:numFmt w:val="lowerLetter"/>
      <w:start w:val="2"/>
    </w:lvl>
    <w:lvl w:ilvl="1">
      <w:lvlJc w:val="left"/>
      <w:lvlText w:val="(%2)"/>
      <w:numFmt w:val="lowerLetter"/>
      <w:start w:val="9"/>
    </w:lvl>
  </w:abstractNum>
  <w:abstractNum w:abstractNumId="88">
    <w:nsid w:val="2A31B62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89">
    <w:nsid w:val="1849C29B"/>
    <w:multiLevelType w:val="hybridMultilevel"/>
    <w:lvl w:ilvl="0">
      <w:lvlJc w:val="left"/>
      <w:lvlText w:val="%1"/>
      <w:numFmt w:val="upperLetter"/>
      <w:start w:val="1"/>
    </w:lvl>
    <w:lvl w:ilvl="1">
      <w:lvlJc w:val="left"/>
      <w:lvlText w:val="(%2)"/>
      <w:numFmt w:val="decimal"/>
      <w:start w:val="4"/>
    </w:lvl>
  </w:abstractNum>
  <w:abstractNum w:abstractNumId="90">
    <w:nsid w:val="7DFF9D09"/>
    <w:multiLevelType w:val="hybridMultilevel"/>
    <w:lvl w:ilvl="0">
      <w:lvlJc w:val="left"/>
      <w:lvlText w:val="(%1)"/>
      <w:numFmt w:val="upperLetter"/>
      <w:start w:val="3"/>
    </w:lvl>
    <w:lvl w:ilvl="1">
      <w:lvlJc w:val="left"/>
      <w:lvlText w:val="%2"/>
      <w:numFmt w:val="decimal"/>
      <w:start w:val="1"/>
    </w:lvl>
  </w:abstractNum>
  <w:abstractNum w:abstractNumId="91">
    <w:nsid w:val="754342"/>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92">
    <w:nsid w:val="69E7F3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3">
    <w:nsid w:val="2A6DE806"/>
    <w:multiLevelType w:val="hybridMultilevel"/>
    <w:lvl w:ilvl="0">
      <w:lvlJc w:val="left"/>
      <w:lvlText w:val="(%1)"/>
      <w:numFmt w:val="decimal"/>
      <w:start w:val="2"/>
    </w:lvl>
  </w:abstractNum>
  <w:abstractNum w:abstractNumId="94">
    <w:nsid w:val="1816F8C4"/>
    <w:multiLevelType w:val="hybridMultilevel"/>
    <w:lvl w:ilvl="0">
      <w:lvlJc w:val="left"/>
      <w:lvlText w:val="%1"/>
      <w:numFmt w:val="lowerLetter"/>
      <w:start w:val="1"/>
    </w:lvl>
    <w:lvl w:ilvl="1">
      <w:lvlJc w:val="left"/>
      <w:lvlText w:val="(%2)"/>
      <w:numFmt w:val="lowerRoman"/>
      <w:start w:val="4"/>
    </w:lvl>
  </w:abstractNum>
  <w:abstractNum w:abstractNumId="95">
    <w:nsid w:val="37DF2233"/>
    <w:multiLevelType w:val="hybridMultilevel"/>
    <w:lvl w:ilvl="0">
      <w:lvlJc w:val="left"/>
      <w:lvlText w:val="(%1)"/>
      <w:numFmt w:val="lowerLetter"/>
      <w:start w:val="8"/>
    </w:lvl>
    <w:lvl w:ilvl="1">
      <w:lvlJc w:val="left"/>
      <w:lvlText w:val="%2"/>
      <w:numFmt w:val="lowerRoman"/>
      <w:start w:val="1"/>
    </w:lvl>
  </w:abstractNum>
  <w:abstractNum w:abstractNumId="96">
    <w:nsid w:val="7AB49DAF"/>
    <w:multiLevelType w:val="hybridMultilevel"/>
    <w:lvl w:ilvl="0">
      <w:lvlJc w:val="left"/>
      <w:lvlText w:val="(%1)"/>
      <w:numFmt w:val="lowerLetter"/>
      <w:start w:val="9"/>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lowerLetter"/>
      <w:start w:val="3"/>
    </w:lvl>
  </w:abstractNum>
  <w:abstractNum w:abstractNumId="99">
    <w:nsid w:val="597B4D84"/>
    <w:multiLevelType w:val="hybridMultilevel"/>
    <w:lvl w:ilvl="0">
      <w:lvlJc w:val="left"/>
      <w:lvlText w:val="(%1)"/>
      <w:numFmt w:val="lowerLetter"/>
      <w:start w:val="6"/>
    </w:lvl>
  </w:abstractNum>
  <w:abstractNum w:abstractNumId="100">
    <w:nsid w:val="F819E7F"/>
    <w:multiLevelType w:val="hybridMultilevel"/>
    <w:lvl w:ilvl="0">
      <w:lvlJc w:val="left"/>
      <w:lvlText w:val="(%1)"/>
      <w:numFmt w:val="lowerLetter"/>
      <w:start w:val="1"/>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lowerLetter"/>
      <w:start w:val="3"/>
    </w:lvl>
    <w:lvl w:ilvl="1">
      <w:lvlJc w:val="left"/>
      <w:lvlText w:val="(%2)"/>
      <w:numFmt w:val="lowerRoman"/>
      <w:start w:val="1"/>
    </w:lvl>
  </w:abstractNum>
  <w:abstractNum w:abstractNumId="103">
    <w:nsid w:val="631B64D4"/>
    <w:multiLevelType w:val="hybridMultilevel"/>
    <w:lvl w:ilvl="0">
      <w:lvlJc w:val="left"/>
      <w:lvlText w:val="(%1)"/>
      <w:numFmt w:val="lowerLetter"/>
      <w:start w:val="25"/>
    </w:lvl>
    <w:lvl w:ilvl="1">
      <w:lvlJc w:val="left"/>
      <w:lvlText w:val="(%2)"/>
      <w:numFmt w:val="lowerRoman"/>
      <w:start w:val="3"/>
    </w:lvl>
  </w:abstractNum>
  <w:abstractNum w:abstractNumId="104">
    <w:nsid w:val="78B5E776"/>
    <w:multiLevelType w:val="hybridMultilevel"/>
    <w:lvl w:ilvl="0">
      <w:lvlJc w:val="left"/>
      <w:lvlText w:val="(%1)"/>
      <w:numFmt w:val="lowerLetter"/>
      <w:start w:val="35"/>
    </w:lvl>
    <w:lvl w:ilvl="1">
      <w:lvlJc w:val="left"/>
      <w:lvlText w:val="%2"/>
      <w:numFmt w:val="lowerRoman"/>
      <w:start w:val="1"/>
    </w:lvl>
  </w:abstractNum>
  <w:abstractNum w:abstractNumId="105">
    <w:nsid w:val="75486E47"/>
    <w:multiLevelType w:val="hybridMultilevel"/>
    <w:lvl w:ilvl="0">
      <w:lvlJc w:val="left"/>
      <w:lvlText w:val="%1"/>
      <w:numFmt w:val="lowerRoman"/>
      <w:start w:val="1"/>
    </w:lvl>
    <w:lvl w:ilvl="1">
      <w:lvlJc w:val="left"/>
      <w:lvlText w:val="(%2)"/>
      <w:numFmt w:val="lowerRoman"/>
      <w:start w:val="4"/>
    </w:lvl>
  </w:abstractNum>
  <w:abstractNum w:abstractNumId="106">
    <w:nsid w:val="6E534CDE"/>
    <w:multiLevelType w:val="hybridMultilevel"/>
    <w:lvl w:ilvl="0">
      <w:lvlJc w:val="left"/>
      <w:lvlText w:val="(%1)"/>
      <w:numFmt w:val="lowerRoman"/>
      <w:start w:val="2"/>
    </w:lvl>
    <w:lvl w:ilvl="1">
      <w:lvlJc w:val="left"/>
      <w:lvlText w:val="%2"/>
      <w:numFmt w:val="lowerRoman"/>
      <w:start w:val="1"/>
    </w:lvl>
  </w:abstractNum>
  <w:abstractNum w:abstractNumId="107">
    <w:nsid w:val="1A0DDE32"/>
    <w:multiLevelType w:val="hybridMultilevel"/>
    <w:lvl w:ilvl="0">
      <w:lvlJc w:val="left"/>
      <w:lvlText w:val="(%1)"/>
      <w:numFmt w:val="lowerLetter"/>
      <w:start w:val="5"/>
    </w:lvl>
  </w:abstractNum>
  <w:abstractNum w:abstractNumId="108">
    <w:nsid w:val="65968C1C"/>
    <w:multiLevelType w:val="hybridMultilevel"/>
    <w:lvl w:ilvl="0">
      <w:lvlJc w:val="left"/>
      <w:lvlText w:val="(%1)"/>
      <w:numFmt w:val="lowerLetter"/>
      <w:start w:val="7"/>
    </w:lvl>
  </w:abstractNum>
  <w:abstractNum w:abstractNumId="109">
    <w:nsid w:val="46263DEC"/>
    <w:multiLevelType w:val="hybridMultilevel"/>
    <w:lvl w:ilvl="0">
      <w:lvlJc w:val="left"/>
      <w:lvlText w:val="(%1)"/>
      <w:numFmt w:val="lowerLetter"/>
      <w:start w:val="1"/>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Letter"/>
      <w:start w:val="1"/>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2"/>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7"/>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lowerLetter"/>
      <w:start w:val="2"/>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lowerLetter"/>
      <w:start w:val="2"/>
    </w:lvl>
  </w:abstractNum>
  <w:abstractNum w:abstractNumId="122">
    <w:nsid w:val="3F7C2FF4"/>
    <w:multiLevelType w:val="hybridMultilevel"/>
    <w:lvl w:ilvl="0">
      <w:lvlJc w:val="left"/>
      <w:lvlText w:val="(%1)"/>
      <w:numFmt w:val="lowerLetter"/>
      <w:start w:val="5"/>
    </w:lvl>
  </w:abstractNum>
  <w:abstractNum w:abstractNumId="123">
    <w:nsid w:val="25413BEC"/>
    <w:multiLevelType w:val="hybridMultilevel"/>
    <w:lvl w:ilvl="0">
      <w:lvlJc w:val="left"/>
      <w:lvlText w:val="(%1)"/>
      <w:numFmt w:val="lowerLetter"/>
      <w:start w:val="2"/>
    </w:lvl>
  </w:abstractNum>
  <w:abstractNum w:abstractNumId="124">
    <w:nsid w:val="17180B0B"/>
    <w:multiLevelType w:val="hybridMultilevel"/>
    <w:lvl w:ilvl="0">
      <w:lvlJc w:val="left"/>
      <w:lvlText w:val="%1"/>
      <w:numFmt w:val="lowerLetter"/>
      <w:start w:val="1"/>
    </w:lvl>
    <w:lvl w:ilvl="1">
      <w:lvlJc w:val="left"/>
      <w:lvlText w:val="(%2)"/>
      <w:numFmt w:val="lowerLetter"/>
      <w:start w:val="1"/>
    </w:lvl>
  </w:abstractNum>
  <w:abstractNum w:abstractNumId="125">
    <w:nsid w:val="579328B9"/>
    <w:multiLevelType w:val="hybridMultilevel"/>
    <w:lvl w:ilvl="0">
      <w:lvlJc w:val="left"/>
      <w:lvlText w:val="(%1)"/>
      <w:numFmt w:val="lowerLetter"/>
      <w:start w:val="3"/>
    </w:lvl>
    <w:lvl w:ilvl="1">
      <w:lvlJc w:val="left"/>
      <w:lvlText w:val="%2"/>
      <w:numFmt w:val="lowerLetter"/>
      <w:start w:val="1"/>
    </w:lvl>
  </w:abstractNum>
  <w:abstractNum w:abstractNumId="126">
    <w:nsid w:val="5D205E20"/>
    <w:multiLevelType w:val="hybridMultilevel"/>
    <w:lvl w:ilvl="0">
      <w:lvlJc w:val="left"/>
      <w:lvlText w:val="(%1)"/>
      <w:numFmt w:val="lowerLetter"/>
      <w:start w:val="2"/>
    </w:lvl>
  </w:abstractNum>
  <w:abstractNum w:abstractNumId="127">
    <w:nsid w:val="11CCA8BA"/>
    <w:multiLevelType w:val="hybridMultilevel"/>
    <w:lvl w:ilvl="0">
      <w:lvlJc w:val="left"/>
      <w:lvlText w:val="(%1)"/>
      <w:numFmt w:val="lowerLetter"/>
      <w:start w:val="12"/>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1)"/>
      <w:numFmt w:val="lowerLetter"/>
      <w:start w:val="4"/>
    </w:lvl>
  </w:abstractNum>
  <w:abstractNum w:abstractNumId="130">
    <w:nsid w:val="6B47F63E"/>
    <w:multiLevelType w:val="hybridMultilevel"/>
    <w:lvl w:ilvl="0">
      <w:lvlJc w:val="left"/>
      <w:lvlText w:val="(%1)"/>
      <w:numFmt w:val="lowerLetter"/>
      <w:start w:val="8"/>
    </w:lvl>
  </w:abstractNum>
  <w:abstractNum w:abstractNumId="131">
    <w:nsid w:val="5CB44A05"/>
    <w:multiLevelType w:val="hybridMultilevel"/>
    <w:lvl w:ilvl="0">
      <w:lvlJc w:val="left"/>
      <w:lvlText w:val="(%1)"/>
      <w:numFmt w:val="lowerLetter"/>
      <w:start w:val="1"/>
    </w:lvl>
  </w:abstractNum>
  <w:abstractNum w:abstractNumId="132">
    <w:nsid w:val="16CF80F1"/>
    <w:multiLevelType w:val="hybridMultilevel"/>
    <w:lvl w:ilvl="0">
      <w:lvlJc w:val="left"/>
      <w:lvlText w:val="(%1)"/>
      <w:numFmt w:val="lowerLetter"/>
      <w:start w:val="3"/>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Roman"/>
      <w:start w:val="1"/>
    </w:lvl>
    <w:lvl w:ilvl="1">
      <w:lvlJc w:val="left"/>
      <w:lvlText w:val="(%2)"/>
      <w:numFmt w:val="lowerRoman"/>
      <w:start w:val="1"/>
    </w:lvl>
  </w:abstractNum>
  <w:abstractNum w:abstractNumId="135">
    <w:nsid w:val="F856867"/>
    <w:multiLevelType w:val="hybridMultilevel"/>
    <w:lvl w:ilvl="0">
      <w:lvlJc w:val="left"/>
      <w:lvlText w:val="(%1)"/>
      <w:numFmt w:val="lowerRoman"/>
      <w:start w:val="7"/>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decimal"/>
      <w:start w:val="1"/>
    </w:lvl>
    <w:lvl w:ilvl="1">
      <w:lvlJc w:val="left"/>
      <w:lvlText w:val="(%2)"/>
      <w:numFmt w:val="lowerLetter"/>
      <w:start w:val="1"/>
    </w:lvl>
  </w:abstractNum>
  <w:abstractNum w:abstractNumId="139">
    <w:nsid w:val="77485850"/>
    <w:multiLevelType w:val="hybridMultilevel"/>
    <w:lvl w:ilvl="0">
      <w:lvlJc w:val="left"/>
      <w:lvlText w:val="(%1)"/>
      <w:numFmt w:val="decimal"/>
      <w:start w:val="3"/>
    </w:lvl>
    <w:lvl w:ilvl="1">
      <w:lvlJc w:val="left"/>
      <w:lvlText w:val="(%2)"/>
      <w:numFmt w:val="lowerLetter"/>
      <w:start w:val="3"/>
    </w:lvl>
  </w:abstractNum>
  <w:abstractNum w:abstractNumId="140">
    <w:nsid w:val="744939A3"/>
    <w:multiLevelType w:val="hybridMultilevel"/>
    <w:lvl w:ilvl="0">
      <w:lvlJc w:val="left"/>
      <w:lvlText w:val="(%1)"/>
      <w:numFmt w:val="lowerLetter"/>
      <w:start w:val="8"/>
    </w:lvl>
  </w:abstractNum>
  <w:abstractNum w:abstractNumId="141">
    <w:nsid w:val="4FA0D2E3"/>
    <w:multiLevelType w:val="hybridMultilevel"/>
    <w:lvl w:ilvl="0">
      <w:lvlJc w:val="left"/>
      <w:lvlText w:val="(%1)"/>
      <w:numFmt w:val="lowerLetter"/>
      <w:start w:val="9"/>
    </w:lvl>
  </w:abstractNum>
  <w:abstractNum w:abstractNumId="142">
    <w:nsid w:val="6B1D2C14"/>
    <w:multiLevelType w:val="hybridMultilevel"/>
    <w:lvl w:ilvl="0">
      <w:lvlJc w:val="left"/>
      <w:lvlText w:val="(%1)"/>
      <w:numFmt w:val="lowerLetter"/>
      <w:start w:val="13"/>
    </w:lvl>
  </w:abstractNum>
  <w:abstractNum w:abstractNumId="143">
    <w:nsid w:val="68B867D3"/>
    <w:multiLevelType w:val="hybridMultilevel"/>
    <w:lvl w:ilvl="0">
      <w:lvlJc w:val="left"/>
      <w:lvlText w:val="(%1)"/>
      <w:numFmt w:val="lowerLetter"/>
      <w:start w:val="1"/>
    </w:lvl>
  </w:abstractNum>
  <w:abstractNum w:abstractNumId="144">
    <w:nsid w:val="3F7F5DD9"/>
    <w:multiLevelType w:val="hybridMultilevel"/>
    <w:lvl w:ilvl="0">
      <w:lvlJc w:val="left"/>
      <w:lvlText w:val="(%1)"/>
      <w:numFmt w:val="lowerLetter"/>
      <w:start w:val="3"/>
    </w:lvl>
    <w:lvl w:ilvl="1">
      <w:lvlJc w:val="left"/>
      <w:lvlText w:val="(%2)"/>
      <w:numFmt w:val="lowerRoman"/>
      <w:start w:val="1"/>
    </w:lvl>
  </w:abstractNum>
  <w:abstractNum w:abstractNumId="145">
    <w:nsid w:val="2AE05A34"/>
    <w:multiLevelType w:val="hybridMultilevel"/>
    <w:lvl w:ilvl="0">
      <w:lvlJc w:val="left"/>
      <w:lvlText w:val="(%1)"/>
      <w:numFmt w:val="lowerLetter"/>
      <w:start w:val="4"/>
    </w:lvl>
    <w:lvl w:ilvl="1">
      <w:lvlJc w:val="left"/>
      <w:lvlText w:val="(%2)"/>
      <w:numFmt w:val="lowerRoman"/>
      <w:start w:val="1"/>
    </w:lvl>
  </w:abstractNum>
  <w:abstractNum w:abstractNumId="146">
    <w:nsid w:val="32794FF7"/>
    <w:multiLevelType w:val="hybridMultilevel"/>
    <w:lvl w:ilvl="0">
      <w:lvlJc w:val="left"/>
      <w:lvlText w:val="(%1)"/>
      <w:numFmt w:val="lowerLetter"/>
      <w:start w:val="6"/>
    </w:lvl>
  </w:abstractNum>
  <w:abstractNum w:abstractNumId="147">
    <w:nsid w:val="5454945E"/>
    <w:multiLevelType w:val="hybridMultilevel"/>
    <w:lvl w:ilvl="0">
      <w:lvlJc w:val="left"/>
      <w:lvlText w:val="(%1)"/>
      <w:numFmt w:val="lowerLetter"/>
      <w:start w:val="25"/>
    </w:lvl>
    <w:lvl w:ilvl="1">
      <w:lvlJc w:val="left"/>
      <w:lvlText w:val="(%2)"/>
      <w:numFmt w:val="lowerLetter"/>
      <w:start w:val="2"/>
    </w:lvl>
  </w:abstractNum>
  <w:abstractNum w:abstractNumId="148">
    <w:nsid w:val="4DEFDFA0"/>
    <w:multiLevelType w:val="hybridMultilevel"/>
    <w:lvl w:ilvl="0">
      <w:lvlJc w:val="left"/>
      <w:lvlText w:val="(%1)"/>
      <w:numFmt w:val="lowerLetter"/>
      <w:start w:val="3"/>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3"/>
    </w:lvl>
  </w:abstractNum>
  <w:abstractNum w:abstractNumId="151">
    <w:nsid w:val="94927A8"/>
    <w:multiLevelType w:val="hybridMultilevel"/>
    <w:lvl w:ilvl="0">
      <w:lvlJc w:val="left"/>
      <w:lvlText w:val="(%1)"/>
      <w:numFmt w:val="lowerLetter"/>
      <w:start w:val="4"/>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lowerLetter"/>
      <w:start w:val="2"/>
    </w:lvl>
  </w:abstractNum>
  <w:abstractNum w:abstractNumId="154">
    <w:nsid w:val="2E8A6394"/>
    <w:multiLevelType w:val="hybridMultilevel"/>
    <w:lvl w:ilvl="0">
      <w:lvlJc w:val="left"/>
      <w:lvlText w:val="(%1)"/>
      <w:numFmt w:val="lowerLetter"/>
      <w:start w:val="2"/>
    </w:lvl>
  </w:abstractNum>
  <w:abstractNum w:abstractNumId="155">
    <w:nsid w:val="24E60401"/>
    <w:multiLevelType w:val="hybridMultilevel"/>
    <w:lvl w:ilvl="0">
      <w:lvlJc w:val="left"/>
      <w:lvlText w:val="%1"/>
      <w:numFmt w:val="lowerLetter"/>
      <w:start w:val="1"/>
    </w:lvl>
    <w:lvl w:ilvl="1">
      <w:lvlJc w:val="left"/>
      <w:lvlText w:val="(%2)"/>
      <w:numFmt w:val="lowerRoman"/>
      <w:start w:val="1"/>
    </w:lvl>
  </w:abstractNum>
  <w:abstractNum w:abstractNumId="156">
    <w:nsid w:val="2A6AD9BE"/>
    <w:multiLevelType w:val="hybridMultilevel"/>
    <w:lvl w:ilvl="0">
      <w:lvlJc w:val="left"/>
      <w:lvlText w:val="(%1)"/>
      <w:numFmt w:val="lowerLetter"/>
      <w:start w:val="7"/>
    </w:lvl>
    <w:lvl w:ilvl="1">
      <w:lvlJc w:val="left"/>
      <w:lvlText w:val="(%2)"/>
      <w:numFmt w:val="lowerRoman"/>
      <w:start w:val="4"/>
    </w:lvl>
  </w:abstractNum>
  <w:abstractNum w:abstractNumId="157">
    <w:nsid w:val="BAAC1B4"/>
    <w:multiLevelType w:val="hybridMultilevel"/>
    <w:lvl w:ilvl="0">
      <w:lvlJc w:val="left"/>
      <w:lvlText w:val="(%1)"/>
      <w:numFmt w:val="lowerLetter"/>
      <w:start w:val="2"/>
    </w:lvl>
  </w:abstractNum>
  <w:abstractNum w:abstractNumId="158">
    <w:nsid w:val="36B2ACBC"/>
    <w:multiLevelType w:val="hybridMultilevel"/>
    <w:lvl w:ilvl="0">
      <w:lvlJc w:val="left"/>
      <w:lvlText w:val="(%1)"/>
      <w:numFmt w:val="lowerLetter"/>
      <w:start w:val="3"/>
    </w:lvl>
  </w:abstractNum>
  <w:abstractNum w:abstractNumId="159">
    <w:nsid w:val="779D8544"/>
    <w:multiLevelType w:val="hybridMultilevel"/>
    <w:lvl w:ilvl="0">
      <w:lvlJc w:val="left"/>
      <w:lvlText w:val="(%1)"/>
      <w:numFmt w:val="lowerLetter"/>
      <w:start w:val="1"/>
    </w:lvl>
    <w:lvl w:ilvl="1">
      <w:lvlJc w:val="left"/>
      <w:lvlText w:val="(%2)"/>
      <w:numFmt w:val="lowerLetter"/>
      <w:start w:val="9"/>
    </w:lvl>
  </w:abstractNum>
  <w:abstractNum w:abstractNumId="160">
    <w:nsid w:val="4AB26E78"/>
    <w:multiLevelType w:val="hybridMultilevel"/>
    <w:lvl w:ilvl="0">
      <w:lvlJc w:val="left"/>
      <w:lvlText w:val="%1"/>
      <w:numFmt w:val="decimal"/>
      <w:start w:val="1"/>
    </w:lvl>
    <w:lvl w:ilvl="1">
      <w:lvlJc w:val="left"/>
      <w:lvlText w:val="(%2)"/>
      <w:numFmt w:val="lowerRoman"/>
      <w:start w:val="2"/>
    </w:lvl>
  </w:abstractNum>
  <w:abstractNum w:abstractNumId="161">
    <w:nsid w:val="21FAA2FA"/>
    <w:multiLevelType w:val="hybridMultilevel"/>
    <w:lvl w:ilvl="0">
      <w:lvlJc w:val="left"/>
      <w:lvlText w:val="(%1)"/>
      <w:numFmt w:val="decimal"/>
      <w:start w:val="918"/>
    </w:lvl>
    <w:lvl w:ilvl="1">
      <w:lvlJc w:val="left"/>
      <w:lvlText w:val="(%2)"/>
      <w:numFmt w:val="lowerRoman"/>
      <w:start w:val="5"/>
    </w:lvl>
  </w:abstractNum>
  <w:abstractNum w:abstractNumId="162">
    <w:nsid w:val="5451CF49"/>
    <w:multiLevelType w:val="hybridMultilevel"/>
    <w:lvl w:ilvl="0">
      <w:lvlJc w:val="left"/>
      <w:lvlText w:val="(%1)"/>
      <w:numFmt w:val="lowerLetter"/>
      <w:start w:val="2"/>
    </w:lvl>
  </w:abstractNum>
  <w:abstractNum w:abstractNumId="163">
    <w:nsid w:val="6181EF69"/>
    <w:multiLevelType w:val="hybridMultilevel"/>
    <w:lvl w:ilvl="0">
      <w:lvlJc w:val="left"/>
      <w:lvlText w:val="(%1)"/>
      <w:numFmt w:val="lowerLetter"/>
      <w:start w:val="3"/>
    </w:lvl>
  </w:abstractNum>
  <w:abstractNum w:abstractNumId="164">
    <w:nsid w:val="3E6400E6"/>
    <w:multiLevelType w:val="hybridMultilevel"/>
    <w:lvl w:ilvl="0">
      <w:lvlJc w:val="left"/>
      <w:lvlText w:val="(%1)"/>
      <w:numFmt w:val="lowerLetter"/>
      <w:start w:val="1"/>
    </w:lvl>
  </w:abstractNum>
  <w:abstractNum w:abstractNumId="165">
    <w:nsid w:val="14217E23"/>
    <w:multiLevelType w:val="hybridMultilevel"/>
    <w:lvl w:ilvl="0">
      <w:lvlJc w:val="left"/>
      <w:lvlText w:val="(%1)"/>
      <w:numFmt w:val="lowerLetter"/>
      <w:start w:val="3"/>
    </w:lvl>
  </w:abstractNum>
  <w:abstractNum w:abstractNumId="166">
    <w:nsid w:val="710757D0"/>
    <w:multiLevelType w:val="hybridMultilevel"/>
    <w:lvl w:ilvl="0">
      <w:lvlJc w:val="left"/>
      <w:lvlText w:val="(%1)"/>
      <w:numFmt w:val="lowerLetter"/>
      <w:start w:val="1"/>
    </w:lvl>
  </w:abstractNum>
  <w:abstractNum w:abstractNumId="167">
    <w:nsid w:val="5015CD1A"/>
    <w:multiLevelType w:val="hybridMultilevel"/>
    <w:lvl w:ilvl="0">
      <w:lvlJc w:val="left"/>
      <w:lvlText w:val="(%1)"/>
      <w:numFmt w:val="lowerLetter"/>
      <w:start w:val="3"/>
    </w:lvl>
  </w:abstractNum>
  <w:abstractNum w:abstractNumId="168">
    <w:nsid w:val="424479DA"/>
    <w:multiLevelType w:val="hybridMultilevel"/>
    <w:lvl w:ilvl="0">
      <w:lvlJc w:val="left"/>
      <w:lvlText w:val="(%1)"/>
      <w:numFmt w:val="lowerLetter"/>
      <w:start w:val="5"/>
    </w:lvl>
  </w:abstractNum>
  <w:abstractNum w:abstractNumId="169">
    <w:nsid w:val="1A9A9E69"/>
    <w:multiLevelType w:val="hybridMultilevel"/>
    <w:lvl w:ilvl="0">
      <w:lvlJc w:val="left"/>
      <w:lvlText w:val="(%1)"/>
      <w:numFmt w:val="lowerLetter"/>
      <w:start w:val="1"/>
    </w:lvl>
  </w:abstractNum>
  <w:abstractNum w:abstractNumId="170">
    <w:nsid w:val="475E256A"/>
    <w:multiLevelType w:val="hybridMultilevel"/>
    <w:lvl w:ilvl="0">
      <w:lvlJc w:val="left"/>
      <w:lvlText w:val="(%1)"/>
      <w:numFmt w:val="upperLetter"/>
      <w:start w:val="1"/>
    </w:lvl>
  </w:abstractNum>
  <w:abstractNum w:abstractNumId="171">
    <w:nsid w:val="368DB37E"/>
    <w:multiLevelType w:val="hybridMultilevel"/>
    <w:lvl w:ilvl="0">
      <w:lvlJc w:val="left"/>
      <w:lvlText w:val="(%1)"/>
      <w:numFmt w:val="upperLetter"/>
      <w:start w:val="1"/>
    </w:lvl>
  </w:abstractNum>
  <w:abstractNum w:abstractNumId="172">
    <w:nsid w:val="6A3B714C"/>
    <w:multiLevelType w:val="hybridMultilevel"/>
    <w:lvl w:ilvl="0">
      <w:lvlJc w:val="left"/>
      <w:lvlText w:val="(%1)"/>
      <w:numFmt w:val="upperLetter"/>
      <w:start w:val="5"/>
    </w:lvl>
  </w:abstractNum>
  <w:abstractNum w:abstractNumId="173">
    <w:nsid w:val="327B517E"/>
    <w:multiLevelType w:val="hybridMultilevel"/>
    <w:lvl w:ilvl="0">
      <w:lvlJc w:val="left"/>
      <w:lvlText w:val="(%1)"/>
      <w:numFmt w:val="lowerRoman"/>
      <w:start w:val="3"/>
    </w:lvl>
  </w:abstractNum>
  <w:abstractNum w:abstractNumId="174">
    <w:nsid w:val="1F461B51"/>
    <w:multiLevelType w:val="hybridMultilevel"/>
    <w:lvl w:ilvl="0">
      <w:lvlJc w:val="left"/>
      <w:lvlText w:val="%1"/>
      <w:numFmt w:val="lowerLetter"/>
      <w:start w:val="1"/>
    </w:lvl>
    <w:lvl w:ilvl="1">
      <w:lvlJc w:val="left"/>
      <w:lvlText w:val="(%2)"/>
      <w:numFmt w:val="lowerLetter"/>
      <w:start w:val="22"/>
    </w:lvl>
  </w:abstractNum>
  <w:abstractNum w:abstractNumId="175">
    <w:nsid w:val="29BACF25"/>
    <w:multiLevelType w:val="hybridMultilevel"/>
    <w:lvl w:ilvl="0">
      <w:lvlJc w:val="left"/>
      <w:lvlText w:val="(%1)"/>
      <w:numFmt w:val="lowerLetter"/>
      <w:start w:val="3"/>
    </w:lvl>
    <w:lvl w:ilvl="1">
      <w:lvlJc w:val="left"/>
      <w:lvlText w:val="(%2)"/>
      <w:numFmt w:val="lowerLetter"/>
      <w:start w:val="35"/>
    </w:lvl>
  </w:abstractNum>
  <w:abstractNum w:abstractNumId="176">
    <w:nsid w:val="5D5BABB3"/>
    <w:multiLevelType w:val="hybridMultilevel"/>
    <w:lvl w:ilvl="0">
      <w:lvlJc w:val="left"/>
      <w:lvlText w:val="%1"/>
      <w:numFmt w:val="lowerLetter"/>
      <w:start w:val="1"/>
    </w:lvl>
    <w:lvl w:ilvl="1">
      <w:lvlJc w:val="left"/>
      <w:lvlText w:val="(%2)"/>
      <w:numFmt w:val="lowerLetter"/>
      <w:start w:val="61"/>
    </w:lvl>
  </w:abstractNum>
  <w:abstractNum w:abstractNumId="177">
    <w:nsid w:val="51BF6B48"/>
    <w:multiLevelType w:val="hybridMultilevel"/>
    <w:lvl w:ilvl="0">
      <w:lvlJc w:val="left"/>
      <w:lvlText w:val="(%1)"/>
      <w:numFmt w:val="lowerLetter"/>
      <w:start w:val="4"/>
    </w:lvl>
    <w:lvl w:ilvl="1">
      <w:lvlJc w:val="left"/>
      <w:lvlText w:val="%2"/>
      <w:numFmt w:val="lowerLetter"/>
      <w:start w:val="1"/>
    </w:lvl>
  </w:abstractNum>
  <w:abstractNum w:abstractNumId="178">
    <w:nsid w:val="7E0F6384"/>
    <w:multiLevelType w:val="hybridMultilevel"/>
    <w:lvl w:ilvl="0">
      <w:lvlJc w:val="left"/>
      <w:lvlText w:val="%1"/>
      <w:numFmt w:val="lowerLetter"/>
      <w:start w:val="1"/>
    </w:lvl>
    <w:lvl w:ilvl="1">
      <w:lvlJc w:val="left"/>
      <w:lvlText w:val="(%2)"/>
      <w:numFmt w:val="lowerLetter"/>
      <w:start w:val="1"/>
    </w:lvl>
  </w:abstractNum>
  <w:abstractNum w:abstractNumId="179">
    <w:nsid w:val="2B4B8B53"/>
    <w:multiLevelType w:val="hybridMultilevel"/>
    <w:lvl w:ilvl="0">
      <w:lvlJc w:val="left"/>
      <w:lvlText w:val="(%1)"/>
      <w:numFmt w:val="lowerLetter"/>
      <w:start w:val="26"/>
    </w:lvl>
    <w:lvl w:ilvl="1">
      <w:lvlJc w:val="left"/>
      <w:lvlText w:val="%2"/>
      <w:numFmt w:val="lowerLetter"/>
      <w:start w:val="1"/>
    </w:lvl>
  </w:abstractNum>
  <w:abstractNum w:abstractNumId="180">
    <w:nsid w:val="72E3413A"/>
    <w:multiLevelType w:val="hybridMultilevel"/>
    <w:lvl w:ilvl="0">
      <w:lvlJc w:val="left"/>
      <w:lvlText w:val="(%1)"/>
      <w:numFmt w:val="lowerLetter"/>
      <w:start w:val="1"/>
    </w:lvl>
  </w:abstractNum>
  <w:abstractNum w:abstractNumId="181">
    <w:nsid w:val="116AE494"/>
    <w:multiLevelType w:val="hybridMultilevel"/>
    <w:lvl w:ilvl="0">
      <w:lvlJc w:val="left"/>
      <w:lvlText w:val="(%1)"/>
      <w:numFmt w:val="lowerLetter"/>
      <w:start w:val="1"/>
    </w:lvl>
  </w:abstractNum>
  <w:abstractNum w:abstractNumId="182">
    <w:nsid w:val="3494B2FB"/>
    <w:multiLevelType w:val="hybridMultilevel"/>
    <w:lvl w:ilvl="0">
      <w:lvlJc w:val="left"/>
      <w:lvlText w:val="(%1)"/>
      <w:numFmt w:val="lowerLetter"/>
      <w:start w:val="2"/>
    </w:lvl>
  </w:abstractNum>
  <w:abstractNum w:abstractNumId="183">
    <w:nsid w:val="B13A31"/>
    <w:multiLevelType w:val="hybridMultilevel"/>
    <w:lvl w:ilvl="0">
      <w:lvlJc w:val="left"/>
      <w:lvlText w:val="(%1)"/>
      <w:numFmt w:val="lowerLetter"/>
      <w:start w:val="1"/>
    </w:lvl>
  </w:abstractNum>
  <w:abstractNum w:abstractNumId="184">
    <w:nsid w:val="64429599"/>
    <w:multiLevelType w:val="hybridMultilevel"/>
    <w:lvl w:ilvl="0">
      <w:lvlJc w:val="left"/>
      <w:lvlText w:val="(%1)"/>
      <w:numFmt w:val="lowerLetter"/>
      <w:start w:val="1"/>
    </w:lvl>
    <w:lvl w:ilvl="1">
      <w:lvlJc w:val="left"/>
      <w:lvlText w:val="(%2)"/>
      <w:numFmt w:val="lowerRoman"/>
      <w:start w:val="1"/>
    </w:lvl>
  </w:abstractNum>
  <w:abstractNum w:abstractNumId="185">
    <w:nsid w:val="631F1690"/>
    <w:multiLevelType w:val="hybridMultilevel"/>
    <w:lvl w:ilvl="0">
      <w:lvlJc w:val="left"/>
      <w:lvlText w:val="%1."/>
      <w:numFmt w:val="decimal"/>
      <w:start w:val="1"/>
    </w:lvl>
    <w:lvl w:ilvl="1">
      <w:lvlJc w:val="left"/>
      <w:lvlText w:val="%2."/>
      <w:numFmt w:val="lowerLetter"/>
      <w:start w:val="1"/>
    </w:lvl>
  </w:abstractNum>
  <w:abstractNum w:abstractNumId="186">
    <w:nsid w:val="25973E32"/>
    <w:multiLevelType w:val="hybridMultilevel"/>
    <w:lvl w:ilvl="0">
      <w:lvlJc w:val="left"/>
      <w:lvlText w:val="%1."/>
      <w:numFmt w:val="decimal"/>
      <w:start w:val="1"/>
    </w:lvl>
    <w:lvl w:ilvl="1">
      <w:lvlJc w:val="left"/>
      <w:lvlText w:val="%2."/>
      <w:numFmt w:val="lowerLetter"/>
      <w:start w:val="1"/>
    </w:lvl>
  </w:abstractNum>
  <w:abstractNum w:abstractNumId="187">
    <w:nsid w:val="EAD6F57"/>
    <w:multiLevelType w:val="hybridMultilevel"/>
    <w:lvl w:ilvl="0">
      <w:lvlJc w:val="left"/>
      <w:lvlText w:val="(%1)"/>
      <w:numFmt w:val="decimal"/>
      <w:start w:val="1"/>
    </w:lvl>
  </w:abstractNum>
  <w:abstractNum w:abstractNumId="188">
    <w:nsid w:val="6EC9D844"/>
    <w:multiLevelType w:val="hybridMultilevel"/>
    <w:lvl w:ilvl="0">
      <w:lvlJc w:val="left"/>
      <w:lvlText w:val="(%1)"/>
      <w:numFmt w:val="decimal"/>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1" Type="http://schemas.openxmlformats.org/officeDocument/2006/relationships/hyperlink" Target="http://www.sec.gov/Archives/edgar/data/866273/000086627320000109/exhibit1014.htm" TargetMode="External"/><Relationship Id="rId72" Type="http://schemas.openxmlformats.org/officeDocument/2006/relationships/hyperlink" Target="http://www.sec.gov/Archives/edgar/data/866273/000086627320000109/exhibit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2020-11-05T17:08:14Z</dcterms:created>
  <dcterms:modified xsi:type="dcterms:W3CDTF">2020-11-05T17:08:14Z</dcterms:modified>
</cp:coreProperties>
</file>