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1420" w:hanging="440"/>
        <w:spacing w:after="0"/>
        <w:tabs>
          <w:tab w:leader="none" w:pos="14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75" w:lineRule="exact"/>
        <w:rPr>
          <w:sz w:val="24"/>
          <w:szCs w:val="24"/>
          <w:color w:val="auto"/>
        </w:rPr>
      </w:pPr>
    </w:p>
    <w:p>
      <w:pPr>
        <w:ind w:left="1420" w:hanging="440"/>
        <w:spacing w:after="0"/>
        <w:tabs>
          <w:tab w:leader="none" w:pos="14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28"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MATRIX SERVICE COMPANY</w:t>
      </w: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120"/>
          </w:cols>
          <w:pgMar w:left="320" w:top="449" w:right="459" w:bottom="1440" w:gutter="0" w:footer="0" w:header="0"/>
        </w:sectPr>
      </w:pPr>
    </w:p>
    <w:p>
      <w:pPr>
        <w:spacing w:after="0" w:line="149" w:lineRule="exact"/>
        <w:rPr>
          <w:sz w:val="24"/>
          <w:szCs w:val="24"/>
          <w:color w:val="auto"/>
        </w:rPr>
      </w:pPr>
    </w:p>
    <w:p>
      <w:pPr>
        <w:ind w:left="29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2" w:lineRule="exact"/>
        <w:rPr>
          <w:sz w:val="24"/>
          <w:szCs w:val="24"/>
          <w:color w:val="auto"/>
        </w:rPr>
      </w:pPr>
    </w:p>
    <w:p>
      <w:pPr>
        <w:sectPr>
          <w:pgSz w:w="11900" w:h="16838" w:orient="portrait"/>
          <w:cols w:equalWidth="0" w:num="2">
            <w:col w:w="6880" w:space="720"/>
            <w:col w:w="3520"/>
          </w:cols>
          <w:pgMar w:left="320" w:top="449" w:right="459" w:bottom="1440" w:gutter="0" w:footer="0" w:header="0"/>
          <w:type w:val="continuous"/>
        </w:sectPr>
      </w:pPr>
    </w:p>
    <w:p>
      <w:pPr>
        <w:ind w:left="25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4" w:lineRule="exact"/>
        <w:rPr>
          <w:sz w:val="24"/>
          <w:szCs w:val="24"/>
          <w:color w:val="auto"/>
        </w:rPr>
      </w:pPr>
    </w:p>
    <w:p>
      <w:pPr>
        <w:sectPr>
          <w:pgSz w:w="11900" w:h="16838" w:orient="portrait"/>
          <w:cols w:equalWidth="0" w:num="2">
            <w:col w:w="6200" w:space="720"/>
            <w:col w:w="4200"/>
          </w:cols>
          <w:pgMar w:left="320" w:top="449"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80" w:type="dxa"/>
            <w:vAlign w:val="bottom"/>
          </w:tcPr>
          <w:p>
            <w:pPr>
              <w:spacing w:after="0"/>
              <w:rPr>
                <w:sz w:val="18"/>
                <w:szCs w:val="18"/>
                <w:color w:val="auto"/>
              </w:rPr>
            </w:pPr>
          </w:p>
        </w:tc>
        <w:tc>
          <w:tcPr>
            <w:tcW w:w="21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840"/>
              <w:spacing w:after="0"/>
              <w:rPr>
                <w:sz w:val="20"/>
                <w:szCs w:val="20"/>
                <w:color w:val="auto"/>
              </w:rPr>
            </w:pPr>
            <w:r>
              <w:rPr>
                <w:rFonts w:ascii="Arial" w:cs="Arial" w:eastAsia="Arial" w:hAnsi="Arial"/>
                <w:sz w:val="18"/>
                <w:szCs w:val="18"/>
                <w:color w:val="auto"/>
                <w:w w:val="89"/>
              </w:rPr>
              <w:t>Common Stock, par value $0.01 per share</w:t>
            </w:r>
          </w:p>
        </w:tc>
        <w:tc>
          <w:tcPr>
            <w:tcW w:w="2180" w:type="dxa"/>
            <w:vAlign w:val="bottom"/>
            <w:gridSpan w:val="2"/>
          </w:tcPr>
          <w:p>
            <w:pPr>
              <w:jc w:val="center"/>
              <w:ind w:right="700"/>
              <w:spacing w:after="0"/>
              <w:rPr>
                <w:sz w:val="20"/>
                <w:szCs w:val="20"/>
                <w:color w:val="auto"/>
              </w:rPr>
            </w:pPr>
            <w:r>
              <w:rPr>
                <w:rFonts w:ascii="Arial" w:cs="Arial" w:eastAsia="Arial" w:hAnsi="Arial"/>
                <w:sz w:val="18"/>
                <w:szCs w:val="18"/>
                <w:color w:val="auto"/>
              </w:rPr>
              <w:t>MTRX</w:t>
            </w: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21" w:lineRule="exact"/>
        <w:rPr>
          <w:sz w:val="24"/>
          <w:szCs w:val="24"/>
          <w:color w:val="auto"/>
        </w:rPr>
      </w:pPr>
    </w:p>
    <w:p>
      <w:pPr>
        <w:ind w:right="18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75" w:lineRule="exact"/>
        <w:rPr>
          <w:sz w:val="24"/>
          <w:szCs w:val="24"/>
          <w:color w:val="auto"/>
        </w:rPr>
      </w:pPr>
    </w:p>
    <w:p>
      <w:pPr>
        <w:ind w:right="240"/>
        <w:spacing w:after="0" w:line="26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40" w:type="dxa"/>
        <w:tblCellMar>
          <w:top w:w="0" w:type="dxa"/>
          <w:left w:w="0" w:type="dxa"/>
          <w:bottom w:w="0" w:type="dxa"/>
          <w:right w:w="0" w:type="dxa"/>
        </w:tblCellMar>
      </w:tblPr>
      <w:tr>
        <w:trPr>
          <w:trHeight w:val="310"/>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4400" w:type="dxa"/>
            <w:vAlign w:val="bottom"/>
          </w:tcPr>
          <w:p>
            <w:pPr>
              <w:ind w:left="20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4400" w:type="dxa"/>
            <w:vAlign w:val="bottom"/>
          </w:tcPr>
          <w:p>
            <w:pPr>
              <w:ind w:left="20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44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87" w:lineRule="exact"/>
        <w:rPr>
          <w:sz w:val="24"/>
          <w:szCs w:val="24"/>
          <w:color w:val="auto"/>
        </w:rPr>
      </w:pPr>
    </w:p>
    <w:p>
      <w:pPr>
        <w:ind w:right="40"/>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4"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As of May 5, 2020 there were 27,888,217 shares of the Company’s common stock, $0.01 par value per share, issued and 26,139,761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4"/>
                <w:szCs w:val="14"/>
                <w:b w:val="1"/>
                <w:bCs w:val="1"/>
                <w:color w:val="auto"/>
                <w:w w:val="90"/>
              </w:rPr>
              <w:t>PAGE</w:t>
            </w:r>
          </w:p>
        </w:tc>
      </w:tr>
      <w:tr>
        <w:trPr>
          <w:trHeight w:val="255"/>
        </w:trPr>
        <w:tc>
          <w:tcPr>
            <w:tcW w:w="10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680" w:type="dxa"/>
            <w:vAlign w:val="bottom"/>
          </w:tcPr>
          <w:p>
            <w:pPr>
              <w:spacing w:after="0"/>
              <w:rPr>
                <w:sz w:val="22"/>
                <w:szCs w:val="22"/>
                <w:color w:val="auto"/>
              </w:rPr>
            </w:pPr>
          </w:p>
        </w:tc>
        <w:tc>
          <w:tcPr>
            <w:tcW w:w="874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rPr>
              <w:t>FINANCIAL INFORMATION</w:t>
            </w:r>
          </w:p>
        </w:tc>
        <w:tc>
          <w:tcPr>
            <w:tcW w:w="520" w:type="dxa"/>
            <w:vAlign w:val="bottom"/>
          </w:tcPr>
          <w:p>
            <w:pPr>
              <w:spacing w:after="0"/>
              <w:rPr>
                <w:sz w:val="22"/>
                <w:szCs w:val="22"/>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520" w:type="dxa"/>
            <w:vAlign w:val="bottom"/>
          </w:tcPr>
          <w:p>
            <w:pPr>
              <w:spacing w:after="0"/>
              <w:rPr>
                <w:sz w:val="24"/>
                <w:szCs w:val="24"/>
                <w:color w:val="auto"/>
              </w:rPr>
            </w:pPr>
          </w:p>
        </w:tc>
      </w:tr>
      <w:tr>
        <w:trPr>
          <w:trHeight w:val="392"/>
        </w:trPr>
        <w:tc>
          <w:tcPr>
            <w:tcW w:w="1000" w:type="dxa"/>
            <w:vAlign w:val="bottom"/>
          </w:tcPr>
          <w:p>
            <w:pPr>
              <w:spacing w:after="0"/>
              <w:rPr>
                <w:sz w:val="24"/>
                <w:szCs w:val="24"/>
                <w:color w:val="auto"/>
              </w:rPr>
            </w:pPr>
          </w:p>
        </w:tc>
        <w:tc>
          <w:tcPr>
            <w:tcW w:w="942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Income for the Three and Nine Months Ended March 31, 2020 and 2019</w:t>
              </w:r>
            </w:hyperlink>
          </w:p>
        </w:tc>
        <w:tc>
          <w:tcPr>
            <w:tcW w:w="520" w:type="dxa"/>
            <w:vAlign w:val="bottom"/>
          </w:tcPr>
          <w:p>
            <w:pPr>
              <w:jc w:val="center"/>
              <w:ind w:left="51"/>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1</w:t>
              </w:r>
            </w:hyperlink>
          </w:p>
        </w:tc>
      </w:tr>
      <w:tr>
        <w:trPr>
          <w:trHeight w:val="392"/>
        </w:trPr>
        <w:tc>
          <w:tcPr>
            <w:tcW w:w="1000" w:type="dxa"/>
            <w:vAlign w:val="bottom"/>
          </w:tcPr>
          <w:p>
            <w:pPr>
              <w:spacing w:after="0"/>
              <w:rPr>
                <w:sz w:val="24"/>
                <w:szCs w:val="24"/>
                <w:color w:val="auto"/>
              </w:rPr>
            </w:pPr>
          </w:p>
        </w:tc>
        <w:tc>
          <w:tcPr>
            <w:tcW w:w="9420" w:type="dxa"/>
            <w:vAlign w:val="bottom"/>
            <w:gridSpan w:val="3"/>
          </w:tcPr>
          <w:p>
            <w:pPr>
              <w:spacing w:after="0"/>
              <w:rPr>
                <w:rFonts w:ascii="Arial" w:cs="Arial" w:eastAsia="Arial" w:hAnsi="Arial"/>
                <w:sz w:val="18"/>
                <w:szCs w:val="18"/>
                <w:u w:val="single" w:color="auto"/>
                <w:color w:val="0000FF"/>
                <w:w w:val="91"/>
              </w:rPr>
            </w:pPr>
            <w:hyperlink w:anchor="page4">
              <w:r>
                <w:rPr>
                  <w:rFonts w:ascii="Arial" w:cs="Arial" w:eastAsia="Arial" w:hAnsi="Arial"/>
                  <w:sz w:val="18"/>
                  <w:szCs w:val="18"/>
                  <w:u w:val="single" w:color="auto"/>
                  <w:color w:val="0000FF"/>
                  <w:w w:val="91"/>
                </w:rPr>
                <w:t>Condensed Consolidated Statements of Comprehensive Income for the Three and Nine Months Ended March 31, 2020 and 2019</w:t>
              </w:r>
            </w:hyperlink>
          </w:p>
        </w:tc>
        <w:tc>
          <w:tcPr>
            <w:tcW w:w="520" w:type="dxa"/>
            <w:vAlign w:val="bottom"/>
          </w:tcPr>
          <w:p>
            <w:pPr>
              <w:jc w:val="center"/>
              <w:ind w:left="51"/>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2</w:t>
              </w:r>
            </w:hyperlink>
          </w:p>
        </w:tc>
      </w:tr>
      <w:tr>
        <w:trPr>
          <w:trHeight w:val="392"/>
        </w:trPr>
        <w:tc>
          <w:tcPr>
            <w:tcW w:w="1000" w:type="dxa"/>
            <w:vAlign w:val="bottom"/>
          </w:tcPr>
          <w:p>
            <w:pPr>
              <w:spacing w:after="0"/>
              <w:rPr>
                <w:sz w:val="24"/>
                <w:szCs w:val="24"/>
                <w:color w:val="auto"/>
              </w:rPr>
            </w:pPr>
          </w:p>
        </w:tc>
        <w:tc>
          <w:tcPr>
            <w:tcW w:w="942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as of March 31, 2020 and June 30, 2019</w:t>
              </w:r>
            </w:hyperlink>
          </w:p>
        </w:tc>
        <w:tc>
          <w:tcPr>
            <w:tcW w:w="520" w:type="dxa"/>
            <w:vAlign w:val="bottom"/>
          </w:tcPr>
          <w:p>
            <w:pPr>
              <w:jc w:val="center"/>
              <w:ind w:left="51"/>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3</w:t>
              </w:r>
            </w:hyperlink>
          </w:p>
        </w:tc>
      </w:tr>
      <w:tr>
        <w:trPr>
          <w:trHeight w:val="391"/>
        </w:trPr>
        <w:tc>
          <w:tcPr>
            <w:tcW w:w="1000" w:type="dxa"/>
            <w:vAlign w:val="bottom"/>
          </w:tcPr>
          <w:p>
            <w:pPr>
              <w:spacing w:after="0"/>
              <w:rPr>
                <w:sz w:val="24"/>
                <w:szCs w:val="24"/>
                <w:color w:val="auto"/>
              </w:rPr>
            </w:pPr>
          </w:p>
        </w:tc>
        <w:tc>
          <w:tcPr>
            <w:tcW w:w="9420" w:type="dxa"/>
            <w:vAlign w:val="bottom"/>
            <w:gridSpan w:val="3"/>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for the Nine Months Ended March 31, 2020 and 2019</w:t>
              </w:r>
            </w:hyperlink>
          </w:p>
        </w:tc>
        <w:tc>
          <w:tcPr>
            <w:tcW w:w="520" w:type="dxa"/>
            <w:vAlign w:val="bottom"/>
          </w:tcPr>
          <w:p>
            <w:pPr>
              <w:jc w:val="center"/>
              <w:ind w:left="51"/>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5</w:t>
              </w:r>
            </w:hyperlink>
          </w:p>
        </w:tc>
      </w:tr>
      <w:tr>
        <w:trPr>
          <w:trHeight w:val="351"/>
        </w:trPr>
        <w:tc>
          <w:tcPr>
            <w:tcW w:w="1000" w:type="dxa"/>
            <w:vAlign w:val="bottom"/>
          </w:tcPr>
          <w:p>
            <w:pPr>
              <w:spacing w:after="0"/>
              <w:rPr>
                <w:sz w:val="24"/>
                <w:szCs w:val="24"/>
                <w:color w:val="auto"/>
              </w:rPr>
            </w:pPr>
          </w:p>
        </w:tc>
        <w:tc>
          <w:tcPr>
            <w:tcW w:w="9420" w:type="dxa"/>
            <w:vAlign w:val="bottom"/>
            <w:gridSpan w:val="3"/>
          </w:tcPr>
          <w:p>
            <w:pPr>
              <w:spacing w:after="0"/>
              <w:rPr>
                <w:rFonts w:ascii="Arial" w:cs="Arial" w:eastAsia="Arial" w:hAnsi="Arial"/>
                <w:sz w:val="18"/>
                <w:szCs w:val="18"/>
                <w:color w:val="0000FF"/>
                <w:w w:val="92"/>
              </w:rPr>
            </w:pPr>
            <w:hyperlink w:anchor="page9">
              <w:r>
                <w:rPr>
                  <w:rFonts w:ascii="Arial" w:cs="Arial" w:eastAsia="Arial" w:hAnsi="Arial"/>
                  <w:sz w:val="18"/>
                  <w:szCs w:val="18"/>
                  <w:color w:val="0000FF"/>
                  <w:w w:val="92"/>
                </w:rPr>
                <w:t>Condensed Consolidated Statements of Changes in Stockholders’ Equity for the Three and Nine Months Ended March 31, 2020</w:t>
              </w:r>
            </w:hyperlink>
          </w:p>
        </w:tc>
        <w:tc>
          <w:tcPr>
            <w:tcW w:w="5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and 2019</w:t>
              </w:r>
            </w:hyperlink>
          </w:p>
        </w:tc>
        <w:tc>
          <w:tcPr>
            <w:tcW w:w="85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center"/>
              <w:ind w:left="51"/>
              <w:spacing w:after="0" w:line="196" w:lineRule="exact"/>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7</w:t>
              </w:r>
            </w:hyperlink>
          </w:p>
        </w:tc>
      </w:tr>
      <w:tr>
        <w:trPr>
          <w:trHeight w:val="412"/>
        </w:trPr>
        <w:tc>
          <w:tcPr>
            <w:tcW w:w="1000" w:type="dxa"/>
            <w:vAlign w:val="bottom"/>
          </w:tcPr>
          <w:p>
            <w:pPr>
              <w:spacing w:after="0"/>
              <w:rPr>
                <w:sz w:val="24"/>
                <w:szCs w:val="24"/>
                <w:color w:val="auto"/>
              </w:rPr>
            </w:pPr>
          </w:p>
        </w:tc>
        <w:tc>
          <w:tcPr>
            <w:tcW w:w="9420" w:type="dxa"/>
            <w:vAlign w:val="bottom"/>
            <w:gridSpan w:val="3"/>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Condensed Consolidated Financial Statements</w:t>
              </w:r>
            </w:hyperlink>
          </w:p>
        </w:tc>
        <w:tc>
          <w:tcPr>
            <w:tcW w:w="520" w:type="dxa"/>
            <w:vAlign w:val="bottom"/>
          </w:tcPr>
          <w:p>
            <w:pPr>
              <w:jc w:val="center"/>
              <w:ind w:left="51"/>
              <w:spacing w:after="0"/>
              <w:rPr>
                <w:rFonts w:ascii="Arial" w:cs="Arial" w:eastAsia="Arial" w:hAnsi="Arial"/>
                <w:sz w:val="18"/>
                <w:szCs w:val="18"/>
                <w:u w:val="single" w:color="auto"/>
                <w:color w:val="0000EE"/>
                <w:w w:val="99"/>
              </w:rPr>
            </w:pPr>
            <w:hyperlink w:anchor="page11">
              <w:r>
                <w:rPr>
                  <w:rFonts w:ascii="Arial" w:cs="Arial" w:eastAsia="Arial" w:hAnsi="Arial"/>
                  <w:sz w:val="18"/>
                  <w:szCs w:val="18"/>
                  <w:u w:val="single" w:color="auto"/>
                  <w:color w:val="0000EE"/>
                  <w:w w:val="99"/>
                </w:rPr>
                <w:t>9</w:t>
              </w:r>
            </w:hyperlink>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3"/>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Management’s Discussion and Analysis of Financial Condition and Results of Operations</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25">
              <w:r>
                <w:rPr>
                  <w:rFonts w:ascii="Arial" w:cs="Arial" w:eastAsia="Arial" w:hAnsi="Arial"/>
                  <w:sz w:val="18"/>
                  <w:szCs w:val="18"/>
                  <w:u w:val="single" w:color="auto"/>
                  <w:color w:val="0000EE"/>
                  <w:w w:val="89"/>
                </w:rPr>
                <w:t>23</w:t>
              </w:r>
            </w:hyperlink>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3"/>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39</w:t>
              </w:r>
            </w:hyperlink>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3"/>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Controls and Procedures</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39</w:t>
              </w:r>
            </w:hyperlink>
          </w:p>
        </w:tc>
      </w:tr>
      <w:tr>
        <w:trPr>
          <w:trHeight w:val="594"/>
        </w:trPr>
        <w:tc>
          <w:tcPr>
            <w:tcW w:w="100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w:t>
              </w:r>
            </w:hyperlink>
          </w:p>
        </w:tc>
        <w:tc>
          <w:tcPr>
            <w:tcW w:w="680" w:type="dxa"/>
            <w:vAlign w:val="bottom"/>
          </w:tcPr>
          <w:p>
            <w:pPr>
              <w:spacing w:after="0"/>
              <w:rPr>
                <w:sz w:val="24"/>
                <w:szCs w:val="24"/>
                <w:color w:val="auto"/>
              </w:rPr>
            </w:pPr>
          </w:p>
        </w:tc>
        <w:tc>
          <w:tcPr>
            <w:tcW w:w="874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rPr>
              <w:t>OTHER INFORMATION</w:t>
            </w:r>
          </w:p>
        </w:tc>
        <w:tc>
          <w:tcPr>
            <w:tcW w:w="520" w:type="dxa"/>
            <w:vAlign w:val="bottom"/>
          </w:tcPr>
          <w:p>
            <w:pPr>
              <w:spacing w:after="0"/>
              <w:rPr>
                <w:sz w:val="24"/>
                <w:szCs w:val="24"/>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3"/>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Legal Proceedings</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41</w:t>
              </w:r>
            </w:hyperlink>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3"/>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41</w:t>
              </w:r>
            </w:hyperlink>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3"/>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Unregistered Sales of Equity Securities and Use of Proceeds</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42</w:t>
              </w:r>
            </w:hyperlink>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3"/>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Defaults Upon Senior Securities</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43</w:t>
              </w:r>
            </w:hyperlink>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3"/>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Mine Safety Disclosures</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43</w:t>
              </w:r>
            </w:hyperlink>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3"/>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Other Information</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43</w:t>
              </w:r>
            </w:hyperlink>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420" w:type="dxa"/>
            <w:vAlign w:val="bottom"/>
            <w:gridSpan w:val="3"/>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w:t>
              </w:r>
            </w:hyperlink>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43</w:t>
              </w:r>
            </w:hyperlink>
          </w:p>
        </w:tc>
      </w:tr>
      <w:tr>
        <w:trPr>
          <w:trHeight w:val="391"/>
        </w:trPr>
        <w:tc>
          <w:tcPr>
            <w:tcW w:w="100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Signature</w:t>
              </w:r>
            </w:hyperlink>
          </w:p>
        </w:tc>
        <w:tc>
          <w:tcPr>
            <w:tcW w:w="6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center"/>
              <w:ind w:left="51"/>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44</w:t>
              </w:r>
            </w:hyperlink>
          </w:p>
        </w:tc>
      </w:tr>
    </w:tbl>
    <w:p>
      <w:pPr>
        <w:sectPr>
          <w:pgSz w:w="11900" w:h="16838" w:orient="portrait"/>
          <w:cols w:equalWidth="0" w:num="1">
            <w:col w:w="10980"/>
          </w:cols>
          <w:pgMar w:left="320" w:top="341" w:right="5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358,887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1,017,966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227,850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321,981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822,158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929,753</w:t>
            </w: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88,213</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19,718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67,672</w:t>
            </w: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 impairments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20,541</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863</w:t>
            </w: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21,032</w:t>
            </w: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federal, state and foreign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5,862</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8,933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15,170</w:t>
            </w:r>
          </w:p>
        </w:tc>
      </w:tr>
      <w:tr>
        <w:trPr>
          <w:trHeight w:val="67"/>
        </w:trPr>
        <w:tc>
          <w:tcPr>
            <w:tcW w:w="55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5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0.56</w:t>
            </w: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26,918</w:t>
            </w: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26,478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27,417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26,781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27,587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240"/>
          </w:cols>
          <w:pgMar w:left="320" w:top="34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4"/>
              </w:rPr>
              <w:t>(5,495)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15,170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 comprehensive gain (loss), net of tax:</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Foreign currency translation gain (loss) (net of tax expense (benefit)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of ($51) and ($14) for the three and nine months ended March 31,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2020, respectively, and $97 and ($79) for the three and nine months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ended March 31, 2019,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4"/>
              </w:rPr>
              <w:t>(1,104)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4"/>
              </w:rPr>
              <w:t>(6,599)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9,149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14,718</w:t>
            </w: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240"/>
          </w:cols>
          <w:pgMar w:left="320" w:top="34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8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89,715</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Accounts receivable, less allowances (March 31, 2020—$1,821 and June 30, 2019—$923)</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209,195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218,432</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96,083</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8,017</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8,429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5,034</w:t>
            </w: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417,310</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41,179</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94,064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91,793</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52,526</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43,632</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7,619</w:t>
            </w:r>
          </w:p>
        </w:tc>
      </w:tr>
      <w:tr>
        <w:trPr>
          <w:trHeight w:val="237"/>
        </w:trPr>
        <w:tc>
          <w:tcPr>
            <w:tcW w:w="866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238,461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236,749</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(157,414)</w:t>
            </w:r>
          </w:p>
        </w:tc>
      </w:tr>
      <w:tr>
        <w:trPr>
          <w:trHeight w:val="237"/>
        </w:trPr>
        <w:tc>
          <w:tcPr>
            <w:tcW w:w="866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83,968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79,335</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60,277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93,368</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19,472</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2,683</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21,226</w:t>
            </w:r>
          </w:p>
        </w:tc>
      </w:tr>
      <w:tr>
        <w:trPr>
          <w:trHeight w:val="257"/>
        </w:trPr>
        <w:tc>
          <w:tcPr>
            <w:tcW w:w="8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567,347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633,394</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240"/>
          </w:cols>
          <w:pgMar w:left="320" w:top="341"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8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114,647</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100,566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105,626</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38,357</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9,021</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2,517</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5,331</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224,077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275,499</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22,660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secured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5,347</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255,921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281,437</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9"/>
        </w:trPr>
        <w:tc>
          <w:tcPr>
            <w:tcW w:w="8660" w:type="dxa"/>
            <w:vAlign w:val="bottom"/>
          </w:tcPr>
          <w:p>
            <w:pPr>
              <w:ind w:left="380"/>
              <w:spacing w:after="0"/>
              <w:rPr>
                <w:sz w:val="20"/>
                <w:szCs w:val="20"/>
                <w:color w:val="auto"/>
              </w:rPr>
            </w:pPr>
            <w:r>
              <w:rPr>
                <w:rFonts w:ascii="Arial" w:cs="Arial" w:eastAsia="Arial" w:hAnsi="Arial"/>
                <w:sz w:val="18"/>
                <w:szCs w:val="18"/>
                <w:color w:val="auto"/>
                <w:w w:val="92"/>
              </w:rPr>
              <w:t>Common stock—$.01 par value; 60,000,000 shares authorized; 27,888,217 shares issued as of March 31, 2020</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660" w:type="dxa"/>
            <w:vAlign w:val="bottom"/>
          </w:tcPr>
          <w:p>
            <w:pPr>
              <w:ind w:left="380"/>
              <w:spacing w:after="0"/>
              <w:rPr>
                <w:sz w:val="20"/>
                <w:szCs w:val="20"/>
                <w:color w:val="auto"/>
              </w:rPr>
            </w:pPr>
            <w:r>
              <w:rPr>
                <w:rFonts w:ascii="Arial" w:cs="Arial" w:eastAsia="Arial" w:hAnsi="Arial"/>
                <w:sz w:val="18"/>
                <w:szCs w:val="18"/>
                <w:color w:val="auto"/>
                <w:w w:val="95"/>
              </w:rPr>
              <w:t>and June 30, 2019; 26,131,355 and 26,807,203 shares outstanding as of March 31, 2020 and June 30, 2019</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137,712</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212,124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239,476</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r>
      <w:tr>
        <w:trPr>
          <w:trHeight w:val="237"/>
        </w:trPr>
        <w:tc>
          <w:tcPr>
            <w:tcW w:w="86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340,983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369,716</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Less: Treasury stock, at cost — 1,756,862 shares as of March 31, 2020, and 1,081,014 shares as of June 30, 2019</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(17,759)</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311,426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351,957</w:t>
            </w: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567,347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633,394</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240"/>
          </w:cols>
          <w:pgMar w:left="320" w:top="34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(27,352)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15,170</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Adjustments to reconcile net income (loss) to net cash provided by operating activities, net of effects from acquisitions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disposals: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14,388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13,623</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and other intangible asset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9,045</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and fixed asset impairments due to restructuring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1,562</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disposal of business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308</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Changes in operating assets and liabilities increasing (decreasing) cash, net of effects from acquisitions and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disposals: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(71,436)</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w:t>
            </w: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(3,492)</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30,092</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1,626</w:t>
            </w: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17,557</w:t>
            </w: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Proceeds from disposal of business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3,885</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(8,777)</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240"/>
          </w:cols>
          <w:pgMar w:left="320" w:top="341"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Advances under senior secured 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18,567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12,430</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Open market purchase of treasury shares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(5,190)</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Net cash used by financing activities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(4,215)</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(14,381)</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64,057</w:t>
            </w:r>
          </w:p>
        </w:tc>
      </w:tr>
      <w:tr>
        <w:trPr>
          <w:trHeight w:val="297"/>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87,503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49,676</w:t>
            </w:r>
          </w:p>
        </w:tc>
      </w:tr>
      <w:tr>
        <w:trPr>
          <w:trHeight w:val="23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0"/>
        </w:trPr>
        <w:tc>
          <w:tcPr>
            <w:tcW w:w="8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1,340</w:t>
            </w:r>
          </w:p>
        </w:tc>
      </w:tr>
      <w:tr>
        <w:trPr>
          <w:trHeight w:val="23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3"/>
        </w:trPr>
        <w:tc>
          <w:tcPr>
            <w:tcW w:w="866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1,100</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240"/>
          </w:cols>
          <w:pgMar w:left="320" w:top="341"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47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Common</w:t>
            </w:r>
          </w:p>
        </w:tc>
        <w:tc>
          <w:tcPr>
            <w:tcW w:w="1080" w:type="dxa"/>
            <w:vAlign w:val="bottom"/>
            <w:vMerge w:val="continue"/>
          </w:tcPr>
          <w:p>
            <w:pPr>
              <w:spacing w:after="0"/>
              <w:rPr>
                <w:sz w:val="12"/>
                <w:szCs w:val="12"/>
                <w:color w:val="auto"/>
              </w:rPr>
            </w:pP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Retained</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0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Earnings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Income(Loss)</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341" w:right="359" w:bottom="1145" w:gutter="0" w:footer="0" w:header="0"/>
        </w:sectPr>
      </w:pP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300" w:type="dxa"/>
            <w:vAlign w:val="bottom"/>
          </w:tcPr>
          <w:p>
            <w:pPr>
              <w:spacing w:after="0"/>
              <w:rPr>
                <w:sz w:val="20"/>
                <w:szCs w:val="20"/>
                <w:color w:val="auto"/>
              </w:rPr>
            </w:pPr>
            <w:r>
              <w:rPr>
                <w:rFonts w:ascii="Arial" w:cs="Arial" w:eastAsia="Arial" w:hAnsi="Arial"/>
                <w:sz w:val="14"/>
                <w:szCs w:val="14"/>
                <w:color w:val="auto"/>
              </w:rPr>
              <w:t>Balances, January 1, 2020</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4"/>
                <w:szCs w:val="14"/>
                <w:color w:val="auto"/>
              </w:rPr>
              <w:t>Net loss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4"/>
                <w:szCs w:val="14"/>
                <w:color w:val="auto"/>
              </w:rPr>
              <w:t>Issuance of deferred shares (4,650 shares)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4"/>
                <w:szCs w:val="14"/>
                <w:color w:val="auto"/>
                <w:w w:val="97"/>
              </w:rPr>
              <w:t>Treasury shares sold to Employee Stock Purchase Plan (3,805 shares)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4"/>
                <w:szCs w:val="14"/>
                <w:color w:val="auto"/>
              </w:rPr>
              <w:t>Open market purchases of treasury shares (547,606 shares)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color w:val="auto"/>
        </w:rPr>
        <w:t>Treasury shares purchased to satisfy tax withholding obligations (1,608 shares)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32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0"/>
                <w:szCs w:val="20"/>
                <w:color w:val="auto"/>
              </w:rPr>
            </w:pPr>
            <w:r>
              <w:rPr>
                <w:rFonts w:ascii="Arial" w:cs="Arial" w:eastAsia="Arial" w:hAnsi="Arial"/>
                <w:sz w:val="14"/>
                <w:szCs w:val="14"/>
                <w:color w:val="auto"/>
              </w:rPr>
              <w:t>Balances, March 31, 2020</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91"/>
              <w:spacing w:after="0"/>
              <w:rPr>
                <w:sz w:val="20"/>
                <w:szCs w:val="20"/>
                <w:color w:val="auto"/>
              </w:rPr>
            </w:pPr>
            <w:r>
              <w:rPr>
                <w:rFonts w:ascii="Arial" w:cs="Arial" w:eastAsia="Arial" w:hAnsi="Arial"/>
                <w:sz w:val="14"/>
                <w:szCs w:val="14"/>
                <w:color w:val="auto"/>
                <w:w w:val="76"/>
              </w:rPr>
              <w:t>279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135,057</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217,619</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(22,538)</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(7,622)</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322,795</w:t>
            </w:r>
          </w:p>
        </w:tc>
      </w:tr>
      <w:tr>
        <w:trPr>
          <w:trHeight w:val="270"/>
        </w:trPr>
        <w:tc>
          <w:tcPr>
            <w:tcW w:w="460" w:type="dxa"/>
            <w:vAlign w:val="bottom"/>
          </w:tcPr>
          <w:p>
            <w:pPr>
              <w:jc w:val="right"/>
              <w:ind w:right="211"/>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(5,495)</w:t>
            </w:r>
          </w:p>
        </w:tc>
      </w:tr>
      <w:tr>
        <w:trPr>
          <w:trHeight w:val="270"/>
        </w:trPr>
        <w:tc>
          <w:tcPr>
            <w:tcW w:w="4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(1,104)</w:t>
            </w:r>
          </w:p>
        </w:tc>
      </w:tr>
      <w:tr>
        <w:trPr>
          <w:trHeight w:val="270"/>
        </w:trPr>
        <w:tc>
          <w:tcPr>
            <w:tcW w:w="4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86</w:t>
            </w:r>
          </w:p>
        </w:tc>
      </w:tr>
      <w:tr>
        <w:trPr>
          <w:trHeight w:val="270"/>
        </w:trPr>
        <w:tc>
          <w:tcPr>
            <w:tcW w:w="4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(7,132)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(7,132)</w:t>
            </w:r>
          </w:p>
        </w:tc>
      </w:tr>
      <w:tr>
        <w:trPr>
          <w:trHeight w:val="270"/>
        </w:trPr>
        <w:tc>
          <w:tcPr>
            <w:tcW w:w="4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6"/>
        </w:trPr>
        <w:tc>
          <w:tcPr>
            <w:tcW w:w="4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2,302</w:t>
            </w:r>
          </w:p>
        </w:tc>
      </w:tr>
      <w:tr>
        <w:trPr>
          <w:trHeight w:val="236"/>
        </w:trPr>
        <w:tc>
          <w:tcPr>
            <w:tcW w:w="460" w:type="dxa"/>
            <w:vAlign w:val="bottom"/>
          </w:tcPr>
          <w:p>
            <w:pPr>
              <w:jc w:val="right"/>
              <w:ind w:right="191"/>
              <w:spacing w:after="0"/>
              <w:rPr>
                <w:sz w:val="20"/>
                <w:szCs w:val="20"/>
                <w:color w:val="auto"/>
              </w:rPr>
            </w:pPr>
            <w:r>
              <w:rPr>
                <w:rFonts w:ascii="Arial" w:cs="Arial" w:eastAsia="Arial" w:hAnsi="Arial"/>
                <w:sz w:val="14"/>
                <w:szCs w:val="14"/>
                <w:color w:val="auto"/>
                <w:w w:val="76"/>
              </w:rPr>
              <w:t>279</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137,306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212,124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(29,557)</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(8,726)</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311,426</w:t>
            </w:r>
          </w:p>
        </w:tc>
      </w:tr>
      <w:tr>
        <w:trPr>
          <w:trHeight w:val="20"/>
        </w:trPr>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-1216660</wp:posOffset>
            </wp:positionV>
            <wp:extent cx="71151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-873760</wp:posOffset>
            </wp:positionV>
            <wp:extent cx="71151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-530860</wp:posOffset>
            </wp:positionV>
            <wp:extent cx="71151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188595</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-187960</wp:posOffset>
            </wp:positionV>
            <wp:extent cx="71151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480"/>
            <w:col w:w="6020"/>
          </w:cols>
          <w:pgMar w:left="320" w:top="341" w:right="359" w:bottom="1145" w:gutter="0" w:footer="0" w:header="0"/>
          <w:type w:val="continuous"/>
        </w:sectPr>
      </w:pP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300" w:type="dxa"/>
            <w:vAlign w:val="bottom"/>
          </w:tcPr>
          <w:p>
            <w:pPr>
              <w:spacing w:after="0"/>
              <w:rPr>
                <w:sz w:val="20"/>
                <w:szCs w:val="20"/>
                <w:color w:val="auto"/>
              </w:rPr>
            </w:pPr>
            <w:r>
              <w:rPr>
                <w:rFonts w:ascii="Arial" w:cs="Arial" w:eastAsia="Arial" w:hAnsi="Arial"/>
                <w:sz w:val="14"/>
                <w:szCs w:val="14"/>
                <w:color w:val="auto"/>
              </w:rPr>
              <w:t>Balances, January 1, 2019</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4"/>
                <w:szCs w:val="14"/>
                <w:color w:val="auto"/>
              </w:rPr>
              <w:t>Issuance of deferred shares (22,133 shares)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4"/>
                <w:szCs w:val="14"/>
                <w:color w:val="auto"/>
                <w:w w:val="97"/>
              </w:rPr>
              <w:t>Treasury shares sold to Employee Stock Purchase Plan (4,584 shares)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color w:val="auto"/>
        </w:rPr>
        <w:t>Treasury shares purchased to satisfy tax withholding obligations (1,693 shares)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32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0"/>
                <w:szCs w:val="20"/>
                <w:color w:val="auto"/>
              </w:rPr>
            </w:pPr>
            <w:r>
              <w:rPr>
                <w:rFonts w:ascii="Arial" w:cs="Arial" w:eastAsia="Arial" w:hAnsi="Arial"/>
                <w:sz w:val="14"/>
                <w:szCs w:val="14"/>
                <w:color w:val="auto"/>
              </w:rPr>
              <w:t>Balances, March 31, 2019</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88"/>
              <w:spacing w:after="0"/>
              <w:rPr>
                <w:sz w:val="20"/>
                <w:szCs w:val="20"/>
                <w:color w:val="auto"/>
              </w:rPr>
            </w:pPr>
            <w:r>
              <w:rPr>
                <w:rFonts w:ascii="Arial" w:cs="Arial" w:eastAsia="Arial" w:hAnsi="Arial"/>
                <w:sz w:val="14"/>
                <w:szCs w:val="14"/>
                <w:color w:val="auto"/>
                <w:w w:val="76"/>
              </w:rPr>
              <w:t>279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131,889</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217,731</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(18,230)</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(8,079)</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323,590</w:t>
            </w:r>
          </w:p>
        </w:tc>
      </w:tr>
      <w:tr>
        <w:trPr>
          <w:trHeight w:val="270"/>
        </w:trPr>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8,933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8,933</w:t>
            </w:r>
          </w:p>
        </w:tc>
      </w:tr>
      <w:tr>
        <w:trPr>
          <w:trHeight w:val="270"/>
        </w:trPr>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216</w:t>
            </w:r>
          </w:p>
        </w:tc>
      </w:tr>
      <w:tr>
        <w:trPr>
          <w:trHeight w:val="270"/>
        </w:trPr>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82</w:t>
            </w:r>
          </w:p>
        </w:tc>
      </w:tr>
      <w:tr>
        <w:trPr>
          <w:trHeight w:val="270"/>
        </w:trPr>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6"/>
        </w:trPr>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3,307</w:t>
            </w:r>
          </w:p>
        </w:tc>
      </w:tr>
      <w:tr>
        <w:trPr>
          <w:trHeight w:val="236"/>
        </w:trPr>
        <w:tc>
          <w:tcPr>
            <w:tcW w:w="460" w:type="dxa"/>
            <w:vAlign w:val="bottom"/>
          </w:tcPr>
          <w:p>
            <w:pPr>
              <w:jc w:val="right"/>
              <w:ind w:right="188"/>
              <w:spacing w:after="0"/>
              <w:rPr>
                <w:sz w:val="20"/>
                <w:szCs w:val="20"/>
                <w:color w:val="auto"/>
              </w:rPr>
            </w:pPr>
            <w:r>
              <w:rPr>
                <w:rFonts w:ascii="Arial" w:cs="Arial" w:eastAsia="Arial" w:hAnsi="Arial"/>
                <w:sz w:val="14"/>
                <w:szCs w:val="14"/>
                <w:color w:val="auto"/>
                <w:w w:val="76"/>
              </w:rPr>
              <w:t>279</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134,836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226,664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(17,822)</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(7,863)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336,094</w:t>
            </w:r>
          </w:p>
        </w:tc>
      </w:tr>
      <w:tr>
        <w:trPr>
          <w:trHeight w:val="20"/>
        </w:trPr>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-1045210</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-702310</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-359410</wp:posOffset>
            </wp:positionV>
            <wp:extent cx="711517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360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480"/>
            <w:col w:w="6020"/>
          </w:cols>
          <w:pgMar w:left="320" w:top="341" w:right="359" w:bottom="1145" w:gutter="0" w:footer="0" w:header="0"/>
          <w:type w:val="continuous"/>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Matrix Service Company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220"/>
          </w:cols>
          <w:pgMar w:left="320" w:top="341" w:right="359" w:bottom="1145"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Income(Loss)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July 1, 2019</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137,712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239,476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(17,759)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(7,751)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351,957</w:t>
            </w:r>
          </w:p>
        </w:tc>
        <w:tc>
          <w:tcPr>
            <w:tcW w:w="0" w:type="dxa"/>
            <w:vAlign w:val="bottom"/>
          </w:tcPr>
          <w:p>
            <w:pPr>
              <w:spacing w:after="0"/>
              <w:rPr>
                <w:sz w:val="1"/>
                <w:szCs w:val="1"/>
                <w:color w:val="auto"/>
              </w:rPr>
            </w:pPr>
          </w:p>
        </w:tc>
      </w:tr>
      <w:tr>
        <w:trPr>
          <w:trHeight w:val="80"/>
        </w:trPr>
        <w:tc>
          <w:tcPr>
            <w:tcW w:w="48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(27,352)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(27,352)</w:t>
            </w:r>
          </w:p>
        </w:tc>
        <w:tc>
          <w:tcPr>
            <w:tcW w:w="0" w:type="dxa"/>
            <w:vAlign w:val="bottom"/>
          </w:tcPr>
          <w:p>
            <w:pPr>
              <w:spacing w:after="0"/>
              <w:rPr>
                <w:sz w:val="1"/>
                <w:szCs w:val="1"/>
                <w:color w:val="auto"/>
              </w:rPr>
            </w:pPr>
          </w:p>
        </w:tc>
      </w:tr>
      <w:tr>
        <w:trPr>
          <w:trHeight w:val="74"/>
        </w:trPr>
        <w:tc>
          <w:tcPr>
            <w:tcW w:w="4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80"/>
        </w:trPr>
        <w:tc>
          <w:tcPr>
            <w:tcW w:w="4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40"/>
              <w:spacing w:after="0"/>
              <w:rPr>
                <w:sz w:val="20"/>
                <w:szCs w:val="20"/>
                <w:color w:val="auto"/>
              </w:rPr>
            </w:pPr>
            <w:r>
              <w:rPr>
                <w:rFonts w:ascii="Arial" w:cs="Arial" w:eastAsia="Arial" w:hAnsi="Arial"/>
                <w:sz w:val="14"/>
                <w:szCs w:val="14"/>
                <w:color w:val="auto"/>
              </w:rPr>
              <w:t>Issuance of deferred shares (539,710 shares)</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(8,563)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8,563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shares sold to Employee Stock Purchase Plan (12,326 shares)</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80"/>
        </w:trPr>
        <w:tc>
          <w:tcPr>
            <w:tcW w:w="4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40"/>
              <w:spacing w:after="0"/>
              <w:rPr>
                <w:sz w:val="20"/>
                <w:szCs w:val="20"/>
                <w:color w:val="auto"/>
              </w:rPr>
            </w:pPr>
            <w:r>
              <w:rPr>
                <w:rFonts w:ascii="Arial" w:cs="Arial" w:eastAsia="Arial" w:hAnsi="Arial"/>
                <w:sz w:val="14"/>
                <w:szCs w:val="14"/>
                <w:color w:val="auto"/>
              </w:rPr>
              <w:t>Open market purchases of treasury shares (1,047,606 shares)</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(17,045)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(17,045)</w:t>
            </w:r>
          </w:p>
        </w:tc>
        <w:tc>
          <w:tcPr>
            <w:tcW w:w="0" w:type="dxa"/>
            <w:vAlign w:val="bottom"/>
          </w:tcPr>
          <w:p>
            <w:pPr>
              <w:spacing w:after="0"/>
              <w:rPr>
                <w:sz w:val="1"/>
                <w:szCs w:val="1"/>
                <w:color w:val="auto"/>
              </w:rPr>
            </w:pPr>
          </w:p>
        </w:tc>
      </w:tr>
      <w:tr>
        <w:trPr>
          <w:trHeight w:val="74"/>
        </w:trPr>
        <w:tc>
          <w:tcPr>
            <w:tcW w:w="4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Treasury shares purchased to satisfy tax withholding obligations (180,278 shares)</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0" w:type="dxa"/>
            <w:vAlign w:val="bottom"/>
          </w:tcPr>
          <w:p>
            <w:pPr>
              <w:spacing w:after="0"/>
              <w:rPr>
                <w:sz w:val="1"/>
                <w:szCs w:val="1"/>
                <w:color w:val="auto"/>
              </w:rPr>
            </w:pPr>
          </w:p>
        </w:tc>
      </w:tr>
      <w:tr>
        <w:trPr>
          <w:trHeight w:val="80"/>
        </w:trPr>
        <w:tc>
          <w:tcPr>
            <w:tcW w:w="4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8,115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8,115</w:t>
            </w:r>
          </w:p>
        </w:tc>
        <w:tc>
          <w:tcPr>
            <w:tcW w:w="0" w:type="dxa"/>
            <w:vAlign w:val="bottom"/>
          </w:tcPr>
          <w:p>
            <w:pPr>
              <w:spacing w:after="0"/>
              <w:rPr>
                <w:sz w:val="1"/>
                <w:szCs w:val="1"/>
                <w:color w:val="auto"/>
              </w:rPr>
            </w:pPr>
          </w:p>
        </w:tc>
      </w:tr>
      <w:tr>
        <w:trPr>
          <w:trHeight w:val="74"/>
        </w:trPr>
        <w:tc>
          <w:tcPr>
            <w:tcW w:w="4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March 31, 2020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137,306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212,124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(29,557)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(8,726)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311,426</w:t>
            </w:r>
          </w:p>
        </w:tc>
        <w:tc>
          <w:tcPr>
            <w:tcW w:w="0" w:type="dxa"/>
            <w:vAlign w:val="bottom"/>
          </w:tcPr>
          <w:p>
            <w:pPr>
              <w:spacing w:after="0"/>
              <w:rPr>
                <w:sz w:val="1"/>
                <w:szCs w:val="1"/>
                <w:color w:val="auto"/>
              </w:rPr>
            </w:pPr>
          </w:p>
        </w:tc>
      </w:tr>
      <w:tr>
        <w:trPr>
          <w:trHeight w:val="60"/>
        </w:trPr>
        <w:tc>
          <w:tcPr>
            <w:tcW w:w="48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July 1, 2018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132,198</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211,494</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(17,717)</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(7,411)</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318,843</w:t>
            </w:r>
          </w:p>
        </w:tc>
        <w:tc>
          <w:tcPr>
            <w:tcW w:w="0" w:type="dxa"/>
            <w:vAlign w:val="bottom"/>
          </w:tcPr>
          <w:p>
            <w:pPr>
              <w:spacing w:after="0"/>
              <w:rPr>
                <w:sz w:val="1"/>
                <w:szCs w:val="1"/>
                <w:color w:val="auto"/>
              </w:rPr>
            </w:pPr>
          </w:p>
        </w:tc>
      </w:tr>
      <w:tr>
        <w:trPr>
          <w:trHeight w:val="80"/>
        </w:trPr>
        <w:tc>
          <w:tcPr>
            <w:tcW w:w="48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15,170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15,170</w:t>
            </w:r>
          </w:p>
        </w:tc>
        <w:tc>
          <w:tcPr>
            <w:tcW w:w="0" w:type="dxa"/>
            <w:vAlign w:val="bottom"/>
          </w:tcPr>
          <w:p>
            <w:pPr>
              <w:spacing w:after="0"/>
              <w:rPr>
                <w:sz w:val="1"/>
                <w:szCs w:val="1"/>
                <w:color w:val="auto"/>
              </w:rPr>
            </w:pPr>
          </w:p>
        </w:tc>
      </w:tr>
      <w:tr>
        <w:trPr>
          <w:trHeight w:val="73"/>
        </w:trPr>
        <w:tc>
          <w:tcPr>
            <w:tcW w:w="4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79"/>
        </w:trPr>
        <w:tc>
          <w:tcPr>
            <w:tcW w:w="4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40" w:type="dxa"/>
            <w:vAlign w:val="bottom"/>
          </w:tcPr>
          <w:p>
            <w:pPr>
              <w:ind w:left="40"/>
              <w:spacing w:after="0"/>
              <w:rPr>
                <w:sz w:val="20"/>
                <w:szCs w:val="20"/>
                <w:color w:val="auto"/>
              </w:rPr>
            </w:pPr>
            <w:r>
              <w:rPr>
                <w:rFonts w:ascii="Arial" w:cs="Arial" w:eastAsia="Arial" w:hAnsi="Arial"/>
                <w:sz w:val="14"/>
                <w:szCs w:val="14"/>
                <w:color w:val="auto"/>
              </w:rPr>
              <w:t>Exercise of stock options (12,500 shares)</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73"/>
        </w:trPr>
        <w:tc>
          <w:tcPr>
            <w:tcW w:w="4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deferred shares (314,711 shares)</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(6,306)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4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40" w:type="dxa"/>
            <w:vAlign w:val="bottom"/>
          </w:tcPr>
          <w:p>
            <w:pPr>
              <w:ind w:left="40"/>
              <w:spacing w:after="0"/>
              <w:rPr>
                <w:sz w:val="20"/>
                <w:szCs w:val="20"/>
                <w:color w:val="auto"/>
              </w:rPr>
            </w:pPr>
            <w:r>
              <w:rPr>
                <w:rFonts w:ascii="Arial" w:cs="Arial" w:eastAsia="Arial" w:hAnsi="Arial"/>
                <w:sz w:val="14"/>
                <w:szCs w:val="14"/>
                <w:color w:val="auto"/>
              </w:rPr>
              <w:t>Treasury shares sold to Employee Stock Purchase Plan (12,031 shares)</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73"/>
        </w:trPr>
        <w:tc>
          <w:tcPr>
            <w:tcW w:w="4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Open market purchase of treasury shares (310,532 shares)</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0" w:type="dxa"/>
            <w:vAlign w:val="bottom"/>
          </w:tcPr>
          <w:p>
            <w:pPr>
              <w:spacing w:after="0"/>
              <w:rPr>
                <w:sz w:val="1"/>
                <w:szCs w:val="1"/>
                <w:color w:val="auto"/>
              </w:rPr>
            </w:pPr>
          </w:p>
        </w:tc>
      </w:tr>
      <w:tr>
        <w:trPr>
          <w:trHeight w:val="79"/>
        </w:trPr>
        <w:tc>
          <w:tcPr>
            <w:tcW w:w="4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40" w:type="dxa"/>
            <w:vAlign w:val="bottom"/>
          </w:tcPr>
          <w:p>
            <w:pPr>
              <w:ind w:left="40"/>
              <w:spacing w:after="0"/>
              <w:rPr>
                <w:sz w:val="20"/>
                <w:szCs w:val="20"/>
                <w:color w:val="auto"/>
              </w:rPr>
            </w:pPr>
            <w:r>
              <w:rPr>
                <w:rFonts w:ascii="Arial" w:cs="Arial" w:eastAsia="Arial" w:hAnsi="Arial"/>
                <w:sz w:val="14"/>
                <w:szCs w:val="14"/>
                <w:color w:val="auto"/>
                <w:w w:val="95"/>
              </w:rPr>
              <w:t>Treasury shares purchased to satisfy tax withholding obligations (79,111 shares)</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73"/>
        </w:trPr>
        <w:tc>
          <w:tcPr>
            <w:tcW w:w="4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9,045</w:t>
            </w:r>
          </w:p>
        </w:tc>
        <w:tc>
          <w:tcPr>
            <w:tcW w:w="0" w:type="dxa"/>
            <w:vAlign w:val="bottom"/>
          </w:tcPr>
          <w:p>
            <w:pPr>
              <w:spacing w:after="0"/>
              <w:rPr>
                <w:sz w:val="1"/>
                <w:szCs w:val="1"/>
                <w:color w:val="auto"/>
              </w:rPr>
            </w:pPr>
          </w:p>
        </w:tc>
      </w:tr>
      <w:tr>
        <w:trPr>
          <w:trHeight w:val="80"/>
        </w:trPr>
        <w:tc>
          <w:tcPr>
            <w:tcW w:w="4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840" w:type="dxa"/>
            <w:vAlign w:val="bottom"/>
          </w:tcPr>
          <w:p>
            <w:pPr>
              <w:ind w:left="40"/>
              <w:spacing w:after="0"/>
              <w:rPr>
                <w:sz w:val="20"/>
                <w:szCs w:val="20"/>
                <w:color w:val="auto"/>
              </w:rPr>
            </w:pPr>
            <w:r>
              <w:rPr>
                <w:rFonts w:ascii="Arial" w:cs="Arial" w:eastAsia="Arial" w:hAnsi="Arial"/>
                <w:sz w:val="14"/>
                <w:szCs w:val="14"/>
                <w:color w:val="auto"/>
              </w:rPr>
              <w:t>Balances, March 31, 2019</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134,836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226,664</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(17,822)</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(7,863)</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336,094</w:t>
            </w:r>
          </w:p>
        </w:tc>
        <w:tc>
          <w:tcPr>
            <w:tcW w:w="0" w:type="dxa"/>
            <w:vAlign w:val="bottom"/>
          </w:tcPr>
          <w:p>
            <w:pPr>
              <w:spacing w:after="0"/>
              <w:rPr>
                <w:sz w:val="1"/>
                <w:szCs w:val="1"/>
                <w:color w:val="auto"/>
              </w:rPr>
            </w:pPr>
          </w:p>
        </w:tc>
      </w:tr>
      <w:tr>
        <w:trPr>
          <w:trHeight w:val="65"/>
        </w:trPr>
        <w:tc>
          <w:tcPr>
            <w:tcW w:w="484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240"/>
          </w:cols>
          <w:pgMar w:left="320" w:top="34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2019, included in the Company’s Annual Report on Form 10-K for the year then ended. The results of operations for the three and nine month periods ended March 31, 2020 may not necessarily be indicative of the results of operations for the full year ending June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updated its significant accounting policies to include its lease accounting policy as a result of adopting the Financial Accounting Standards Board ("FASB")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on July 1, 2019. The Company's other significant accounting policies are detailed in “Note 1 - Summary of Significant Accounting Policies” of our Annual Report on Form 10-K for the year ended June 30,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Leases Standard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this guidance, lessees are required to recognize virtually all leases on the balance sheet as a right-of-use asset and an associated operating lease liability or finance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operating leases or finance leases. Operating lease liabilities and right-of-use assets are adjusted to result in a single straight-line lease expense over the life of the lease. Finance lease liabilities and right-of-use assets, which contain provisions similar to capital leases under the prior accounting standards, result in the recognition of interest expense on the lease liability and amortization expense on the right-of-use asset over the term of the lease.</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2019, the Company adopted the standard using the modified retrospective method. The modified retrospective method permits the Company to record right-of-use assets and lease liabilities for existing leases as of the date of adoption rather than at the beginning of the earliest period presented. The Company recorded operating lease right-of-use assets of $24.6 million and operating lease liabilities of $25.8 million as of July 1, 2019. The adoption of the standard did not have a material impact on the Company’s retained earnings, Condensed Consolidated Statements of Income or Condensed Consolidated Statements of Cash Flows. Financial results reported in prior periods are unchanged and reflect the prior lease accounting standards in place at the time.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the package of practical expedients permitted under the transition guidance for the new standard, which among other things, allowed the Company to carry forward the historical lease classification of its existing leases. All of the Company's existing leases were classified as operating leases prior to adoption and have retained this classification after adoption. In addition, the Company elected not to utilize the hindsight practical expedient to determine the lease term for existing leases at adoption.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240"/>
          </w:cols>
          <w:pgMar w:left="320" w:top="34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Policy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or equipment for a period of time in exchange for consideration. If certain criteria are satisfied, the lease is classified as a financing lease. If none of these criteria are satisfied, the lease is considered an operating lease. All of the Company's leases are classified as operating leases.</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Operating lease right-of-use assets are recognized as the present value of future lease payments over the lease term as of the commencement date, plus any lease payments made prior to commencement, and less any lease incentives received. Operating right-of-use assets are presented as noncurrent in the Condensed Consolidated Balance Sheets. Operating lease liabilities are recognized as the present value of the future lease payments over the lease term as of the commencement date and are presented as current and noncurrent in the Condensed Consolidated Balance Sheets. The Company has elected not to recognize right-of-use assets and lease liabilities for short-term leases with an initial term of 12 months or less.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term used to measure the right-of-use assets and lease liabilities is generally the non-cancelable lease term for real estate leases and information technology equipment. Construction equipment is typically rented on a "month-to-month" basis and the lease term is estimated based on the expected duration of the rental. An option to renew or terminate a lease is included in the lease term when it is reasonably certain that the Company will exercise the option. Renewal options for real estate leases are typically for five years or less.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lease payments are discounted based on the Company's estimate of its incremental borrowing rate at lease commencement. The incremental borrowing rate is the rate of interest that the Company would have to pay to borrow on a collateralized basis over a similar term an amount equal to the lease payments.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Determinations with respect to lease term, including any renewals, incremental borrowing rate,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the commencement date, operating lease expense is recognized based on the undiscounted future lease payments over the remaining lease term on a straight-line basis. Lease expense related to short-term leases is recognized on a straight-line basis over the lease term. Lease expense is included in cost of revenue and in selling, general and administrative expenses in the Condensed Consolidated Statements of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 Note 3 - Leases for the required periodic disclosures about the Company's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credit losses, including those related to its trade accounts receivable.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amendments in this update broaden the information the Company may consider in developing its expected credit loss estimate to include forecasted information. The Company will adopt these amendments on July 1, 2020. The Company must apply the amendments in this update through a cumulative-effect adjustment to retained earnings as of the beginning of the first reporting period in which the guidance is effective. At this time, the Company does not expect this update will have a material impact on its estimate of the allowance for uncollectible accounts.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$536.7 million of remaining performance obligations yet to be satisfied as of March 31, 2020. The Company expects to recognize $431.2 million of its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56,859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96,083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(39,224)</w:t>
            </w: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(105,626)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difference between the beginning and ending balances of the Company's CIE and BIE primarily results from the timing of revenue recognized relative to its billings. The amount of revenue recognized during the nine months ended March 31, 2020 that was included in the June 30, 2019 BIE balance was $102.6 million. This revenue consists primarily of work performed during the period on contracts with customers that had advance billings.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Progress billings in accounts receivable at March 31, 2020 and June 30, 2019 included retentions to be collected within one year of $39.8 million and $21.9 million, respectively. Contract retentions collectible beyond one year are included in other assets in the Condensed Consolidated Balance Sheet and totaled $5.7 million as of March 31, 2020 and $17.7 million as of June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series of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232,606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345,953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838,371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985,603</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Canada</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12,633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10,691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58,506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27,486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2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8,224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36"/>
        </w:trPr>
        <w:tc>
          <w:tcPr>
            <w:tcW w:w="34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5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248,327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358,887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905,101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1,017,966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560" w:type="dxa"/>
            <w:vAlign w:val="bottom"/>
            <w:vMerge w:val="restart"/>
          </w:tcPr>
          <w:p>
            <w:pPr>
              <w:jc w:val="right"/>
              <w:ind w:right="90"/>
              <w:spacing w:after="0"/>
              <w:rPr>
                <w:sz w:val="20"/>
                <w:szCs w:val="20"/>
                <w:color w:val="auto"/>
              </w:rPr>
            </w:pPr>
            <w:r>
              <w:rPr>
                <w:rFonts w:ascii="Arial" w:cs="Arial" w:eastAsia="Arial" w:hAnsi="Arial"/>
                <w:sz w:val="18"/>
                <w:szCs w:val="18"/>
                <w:color w:val="auto"/>
              </w:rPr>
              <w:t>- 11-</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Contract Type Disaggregation: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r>
      <w:tr>
        <w:trPr>
          <w:trHeight w:val="250"/>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Fixed-price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182,282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183,899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533,375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545,832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Time and materials and other cost reimbursable contracts</w:t>
            </w:r>
          </w:p>
        </w:tc>
        <w:tc>
          <w:tcPr>
            <w:tcW w:w="2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66,045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174,988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371,726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472,134</w:t>
            </w:r>
          </w:p>
        </w:tc>
      </w:tr>
      <w:tr>
        <w:trPr>
          <w:trHeight w:val="27"/>
        </w:trPr>
        <w:tc>
          <w:tcPr>
            <w:tcW w:w="5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248,327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358,887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905,101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1,017,966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the Company assumes more risk with fixed-price contracts since increases in cost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mix of revenue by contract type shifted significantly during the third quarter of fiscal 2020 due to the Company's strategic initiative to exit the domestic iron and steel industry, which was comprised primarily of time and materials and other cost reimbursable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lease arrangements for real estate, construction equipment and information technology equipment in the normal course of business. Real estate leases accounted for approximately 86% of all right-of-use assets as of March 31, 2020. Most real estate and information technology equipment leases generally have fixed payments that follow an agreed upon payment schedule and have remaining lease terms ranging from less than a year to 16 years. Construction equipment leases generally have "month-to-month" lease terms that automatically renew as long as the equipment remains in use.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incurred $2.2 million of impairments to right-of-use assets related to leased office space that was closed in connection with a restructuring plan, see Note 10 </w:t>
      </w:r>
      <w:r>
        <w:rPr>
          <w:rFonts w:ascii="Arial" w:cs="Arial" w:eastAsia="Arial" w:hAnsi="Arial"/>
          <w:sz w:val="18"/>
          <w:szCs w:val="18"/>
          <w:b w:val="1"/>
          <w:bCs w:val="1"/>
          <w:color w:val="auto"/>
        </w:rPr>
        <w:t>–</w:t>
      </w:r>
      <w:r>
        <w:rPr>
          <w:rFonts w:ascii="Arial" w:cs="Arial" w:eastAsia="Arial" w:hAnsi="Arial"/>
          <w:sz w:val="18"/>
          <w:szCs w:val="18"/>
          <w:color w:val="auto"/>
        </w:rPr>
        <w:t xml:space="preserve"> Restructuring Costs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Nine Months Ended</w:t>
            </w:r>
          </w:p>
        </w:tc>
      </w:tr>
      <w:tr>
        <w:trPr>
          <w:trHeight w:val="275"/>
        </w:trPr>
        <w:tc>
          <w:tcPr>
            <w:tcW w:w="2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March 31, 2020</w:t>
            </w:r>
          </w:p>
        </w:tc>
      </w:tr>
      <w:tr>
        <w:trPr>
          <w:trHeight w:val="250"/>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Lease expense</w:t>
            </w:r>
          </w:p>
        </w:tc>
        <w:tc>
          <w:tcPr>
            <w:tcW w:w="120" w:type="dxa"/>
            <w:vAlign w:val="bottom"/>
            <w:tcBorders>
              <w:bottom w:val="single" w:sz="8" w:color="CCEEFF"/>
            </w:tcBorders>
          </w:tcPr>
          <w:p>
            <w:pPr>
              <w:spacing w:after="0"/>
              <w:rPr>
                <w:sz w:val="21"/>
                <w:szCs w:val="21"/>
                <w:color w:val="auto"/>
              </w:rPr>
            </w:pPr>
          </w:p>
        </w:tc>
        <w:tc>
          <w:tcPr>
            <w:tcW w:w="47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Location of Expense in Statements of Income</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3"/>
          </w:tcPr>
          <w:p>
            <w:pPr>
              <w:jc w:val="right"/>
              <w:ind w:right="1317"/>
              <w:spacing w:after="0"/>
              <w:rPr>
                <w:sz w:val="20"/>
                <w:szCs w:val="20"/>
                <w:color w:val="auto"/>
              </w:rPr>
            </w:pPr>
            <w:r>
              <w:rPr>
                <w:rFonts w:ascii="Arial" w:cs="Arial" w:eastAsia="Arial" w:hAnsi="Arial"/>
                <w:sz w:val="14"/>
                <w:szCs w:val="14"/>
                <w:color w:val="auto"/>
              </w:rPr>
              <w:t>(in thousands)</w:t>
            </w:r>
          </w:p>
        </w:tc>
      </w:tr>
      <w:tr>
        <w:trPr>
          <w:trHeight w:val="228"/>
        </w:trPr>
        <w:tc>
          <w:tcPr>
            <w:tcW w:w="2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 and selling, general and administrative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7"/>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3,229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9,601</w:t>
            </w:r>
          </w:p>
        </w:tc>
      </w:tr>
      <w:tr>
        <w:trPr>
          <w:trHeight w:val="270"/>
        </w:trPr>
        <w:tc>
          <w:tcPr>
            <w:tcW w:w="25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5"/>
                <w:szCs w:val="25"/>
                <w:color w:val="auto"/>
                <w:vertAlign w:val="superscript"/>
              </w:rPr>
              <w:t>(1)</w:t>
            </w:r>
          </w:p>
        </w:tc>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9,808</w:t>
            </w:r>
          </w:p>
        </w:tc>
        <w:tc>
          <w:tcPr>
            <w:tcW w:w="2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30,423</w:t>
            </w:r>
          </w:p>
        </w:tc>
      </w:tr>
      <w:tr>
        <w:trPr>
          <w:trHeight w:val="257"/>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expense</w:t>
            </w:r>
          </w:p>
        </w:tc>
        <w:tc>
          <w:tcPr>
            <w:tcW w:w="4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13,037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40,024</w:t>
            </w: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00" w:lineRule="exact"/>
        <w:rPr>
          <w:rFonts w:ascii="Arial" w:cs="Arial" w:eastAsia="Arial" w:hAnsi="Arial"/>
          <w:sz w:val="14"/>
          <w:szCs w:val="14"/>
          <w:color w:val="auto"/>
        </w:rPr>
      </w:pPr>
    </w:p>
    <w:p>
      <w:pPr>
        <w:spacing w:after="0" w:line="237" w:lineRule="exact"/>
        <w:rPr>
          <w:rFonts w:ascii="Arial" w:cs="Arial" w:eastAsia="Arial" w:hAnsi="Arial"/>
          <w:sz w:val="14"/>
          <w:szCs w:val="14"/>
          <w:color w:val="auto"/>
        </w:rPr>
      </w:pPr>
    </w:p>
    <w:p>
      <w:pPr>
        <w:ind w:left="5560" w:hanging="108"/>
        <w:spacing w:after="0"/>
        <w:tabs>
          <w:tab w:leader="none" w:pos="5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-507365</wp:posOffset>
            </wp:positionV>
            <wp:extent cx="788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the Company's Condensed Consolidated Balance Sheets,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March 31, 2020</w:t>
            </w:r>
          </w:p>
        </w:tc>
      </w:tr>
      <w:tr>
        <w:trPr>
          <w:trHeight w:val="250"/>
        </w:trPr>
        <w:tc>
          <w:tcPr>
            <w:tcW w:w="9440" w:type="dxa"/>
            <w:vAlign w:val="bottom"/>
          </w:tcPr>
          <w:p>
            <w:pPr>
              <w:ind w:left="40"/>
              <w:spacing w:after="0"/>
              <w:rPr>
                <w:sz w:val="20"/>
                <w:szCs w:val="20"/>
                <w:color w:val="auto"/>
              </w:rPr>
            </w:pPr>
            <w:r>
              <w:rPr>
                <w:rFonts w:ascii="Arial" w:cs="Arial" w:eastAsia="Arial" w:hAnsi="Arial"/>
                <w:sz w:val="18"/>
                <w:szCs w:val="18"/>
                <w:b w:val="1"/>
                <w:bCs w:val="1"/>
                <w:color w:val="auto"/>
              </w:rPr>
              <w:t>Maturity Analysis:</w:t>
            </w:r>
          </w:p>
        </w:tc>
        <w:tc>
          <w:tcPr>
            <w:tcW w:w="280" w:type="dxa"/>
            <w:vAlign w:val="bottom"/>
          </w:tcPr>
          <w:p>
            <w:pPr>
              <w:spacing w:after="0"/>
              <w:rPr>
                <w:sz w:val="21"/>
                <w:szCs w:val="21"/>
                <w:color w:val="auto"/>
              </w:rPr>
            </w:pPr>
          </w:p>
        </w:tc>
        <w:tc>
          <w:tcPr>
            <w:tcW w:w="1520" w:type="dxa"/>
            <w:vAlign w:val="bottom"/>
          </w:tcPr>
          <w:p>
            <w:pPr>
              <w:jc w:val="right"/>
              <w:ind w:right="393"/>
              <w:spacing w:after="0"/>
              <w:rPr>
                <w:sz w:val="20"/>
                <w:szCs w:val="20"/>
                <w:color w:val="auto"/>
              </w:rPr>
            </w:pPr>
            <w:r>
              <w:rPr>
                <w:rFonts w:ascii="Arial" w:cs="Arial" w:eastAsia="Arial" w:hAnsi="Arial"/>
                <w:sz w:val="14"/>
                <w:szCs w:val="14"/>
                <w:color w:val="auto"/>
              </w:rPr>
              <w:t>(in thousands)</w:t>
            </w:r>
          </w:p>
        </w:tc>
      </w:tr>
      <w:tr>
        <w:trPr>
          <w:trHeight w:val="256"/>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2,892</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8,767</w:t>
            </w:r>
          </w:p>
        </w:tc>
      </w:tr>
      <w:tr>
        <w:trPr>
          <w:trHeight w:val="27"/>
        </w:trPr>
        <w:tc>
          <w:tcPr>
            <w:tcW w:w="9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6,209</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4,572</w:t>
            </w:r>
          </w:p>
        </w:tc>
      </w:tr>
      <w:tr>
        <w:trPr>
          <w:trHeight w:val="27"/>
        </w:trPr>
        <w:tc>
          <w:tcPr>
            <w:tcW w:w="9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2,992</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11,922</w:t>
            </w:r>
          </w:p>
        </w:tc>
      </w:tr>
      <w:tr>
        <w:trPr>
          <w:trHeight w:val="27"/>
        </w:trPr>
        <w:tc>
          <w:tcPr>
            <w:tcW w:w="9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operating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37,354</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(6,055)</w:t>
            </w:r>
          </w:p>
        </w:tc>
      </w:tr>
      <w:tr>
        <w:trPr>
          <w:trHeight w:val="27"/>
        </w:trPr>
        <w:tc>
          <w:tcPr>
            <w:tcW w:w="9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present value of future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31,299</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Less: current portion of operating lease liabilities</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8,639</w:t>
            </w:r>
          </w:p>
        </w:tc>
      </w:tr>
      <w:tr>
        <w:trPr>
          <w:trHeight w:val="27"/>
        </w:trPr>
        <w:tc>
          <w:tcPr>
            <w:tcW w:w="9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22,660</w:t>
            </w:r>
          </w:p>
        </w:tc>
      </w:tr>
      <w:tr>
        <w:trPr>
          <w:trHeight w:val="20"/>
        </w:trPr>
        <w:tc>
          <w:tcPr>
            <w:tcW w:w="9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weighted average remaining operating lease term and weighted average discount rate as of March 31, 2020:</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6.1 years</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05"/>
        </w:trPr>
        <w:tc>
          <w:tcPr>
            <w:tcW w:w="944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3"/>
        </w:trPr>
        <w:tc>
          <w:tcPr>
            <w:tcW w:w="9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Nine Months Ended</w:t>
            </w:r>
          </w:p>
        </w:tc>
      </w:tr>
      <w:tr>
        <w:trPr>
          <w:trHeight w:val="276"/>
        </w:trPr>
        <w:tc>
          <w:tcPr>
            <w:tcW w:w="9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March 31, 2020</w:t>
            </w:r>
          </w:p>
        </w:tc>
      </w:tr>
      <w:tr>
        <w:trPr>
          <w:trHeight w:val="250"/>
        </w:trPr>
        <w:tc>
          <w:tcPr>
            <w:tcW w:w="9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center"/>
              <w:ind w:right="98"/>
              <w:spacing w:after="0"/>
              <w:rPr>
                <w:sz w:val="20"/>
                <w:szCs w:val="20"/>
                <w:color w:val="auto"/>
              </w:rPr>
            </w:pPr>
            <w:r>
              <w:rPr>
                <w:rFonts w:ascii="Arial" w:cs="Arial" w:eastAsia="Arial" w:hAnsi="Arial"/>
                <w:sz w:val="14"/>
                <w:szCs w:val="14"/>
                <w:color w:val="auto"/>
                <w:w w:val="92"/>
              </w:rPr>
              <w:t>(in thousands)</w:t>
            </w:r>
          </w:p>
        </w:tc>
      </w:tr>
      <w:tr>
        <w:trPr>
          <w:trHeight w:val="256"/>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9440" w:type="dxa"/>
            <w:vAlign w:val="bottom"/>
          </w:tcPr>
          <w:p>
            <w:pPr>
              <w:ind w:left="38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9,773</w:t>
            </w:r>
          </w:p>
        </w:tc>
      </w:tr>
      <w:tr>
        <w:trPr>
          <w:trHeight w:val="27"/>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44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36,564</w:t>
            </w: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the Company received leasehold improvements of $2.4 million from a lessor as a tenant incentive. This incentive is considered to be a non-cash investing activity.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Storage</w:t>
            </w: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24,830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30,829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16,736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93,368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(32,881)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Net balance at March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30,829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16,489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12,959</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60,277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line="273"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-228600</wp:posOffset>
            </wp:positionV>
            <wp:extent cx="788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tests its goodwill for impairment annually in May. However, during the third quarter the Company concluded that goodwill impairment indicators existed based on the uncertainties caused by the COVID-19 pandemic and the significant decline in the price of crude oil. These uncertainties have resulted in lowered revenue expectations for the remainder of fiscal 2020 and fiscal 2021 and led to significant volatility in the Company's stock price. Accordingly, the Company performed an interim test as of March 31, 2020, which did not result in any impairments. While near-term revenue expectations were reduced, the Company also projected significant reductions in its cost structure. As of March 31, 2020, there were three reporting units with goodwill totaling $14.1 million that had low headroom, which we define as the percentage difference between the fair value of a reporting unit and its carrying value.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projections were based on the current assessment of our markets. Our markets are at historically volatile levels and future developments are difficult to predict. If the markets that impact our business continue to deteriorate, particularly in the reporting units mentioned above, the Company could recognize a significant goodwill impairment.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the Company concluded that a goodwill impairment indicator existed in the Electrical Infrastructure segment based on the recent history of depressed gross margins and the second quarter’s downward acceleration of revenue and gross margin. Accordingly, the Company performed an interim impairment test as of December 31, 2019, reflecting updated revenue and gross margin assumptions, and concluded that the reporting unit's $24.9 million of goodwill was fully impaired.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in December 2019, the Company concluded that a goodwill impairment indicator existed for an Industrial segment reporting unit based on several second quarter events. These events included the deterioration of the relationship with a significant customer in the iron and steel industry in the second quarter. As a result, the customer canceled other previously awarded work and the Company is expecting little to no business from this customer in the foreseeable future. Accordingly, the Company performed an interim impairment test as of December 31, 2019 and concluded that the reporting unit's $8.0 million of goodwill was fully impaired. The remaining goodwill in the Industrial segment is related to a separate reporting unit that serves a broader customer base beyond iron and steel.</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each reporting unit was derived primarily by utilizing a discounted cash flow analysis. The key assumptions used are described in Part II, Item 8. Financial Statements and Supplementary Data, Note 1 - Summary of Significant Accounting Policies, Goodwill in our fiscal 2019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in connection with the factors disclosed for the Industrial segment goodwill impairment above, the Company fully impaired a customer relationship with a net book value of $5.6 million and a remaining useful life of 9 years. This intangible asset had a gross carrying amount of $9.4 million and accumulated amortization of $3.8 million. The impairment is included within the goodwill and other intangible asset impairment caption in the condensed consolidated statements of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At March 31, 2020</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4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 thousands)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28,861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10,447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32,893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11,114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At June 30, 2019</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4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 thousands)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38,572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18,657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42,604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$0.8 million and $2.7 million during the three and nine months ended March 31, 2020 and $0.8 million and $2.5 million for the three and nine months ended March 31,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March 31, 2020 amortizing intangible assets will be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Pr>
          <w:p>
            <w:pPr>
              <w:ind w:left="40"/>
              <w:spacing w:after="0"/>
              <w:rPr>
                <w:sz w:val="20"/>
                <w:szCs w:val="20"/>
                <w:color w:val="auto"/>
              </w:rPr>
            </w:pPr>
            <w:r>
              <w:rPr>
                <w:rFonts w:ascii="Arial" w:cs="Arial" w:eastAsia="Arial" w:hAnsi="Arial"/>
                <w:sz w:val="18"/>
                <w:szCs w:val="18"/>
                <w:b w:val="1"/>
                <w:bCs w:val="1"/>
                <w:color w:val="auto"/>
              </w:rPr>
              <w:t>Period ending:</w:t>
            </w: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9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7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3,085</w:t>
            </w:r>
          </w:p>
        </w:tc>
      </w:tr>
      <w:tr>
        <w:trPr>
          <w:trHeight w:val="27"/>
        </w:trPr>
        <w:tc>
          <w:tcPr>
            <w:tcW w:w="9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7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1,819</w:t>
            </w:r>
          </w:p>
        </w:tc>
      </w:tr>
      <w:tr>
        <w:trPr>
          <w:trHeight w:val="27"/>
        </w:trPr>
        <w:tc>
          <w:tcPr>
            <w:tcW w:w="9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Fiscal 2025</w:t>
            </w:r>
          </w:p>
        </w:tc>
        <w:tc>
          <w:tcPr>
            <w:tcW w:w="7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1,111</w:t>
            </w:r>
          </w:p>
        </w:tc>
      </w:tr>
      <w:tr>
        <w:trPr>
          <w:trHeight w:val="27"/>
        </w:trPr>
        <w:tc>
          <w:tcPr>
            <w:tcW w:w="9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r>
      <w:tr>
        <w:trPr>
          <w:trHeight w:val="257"/>
        </w:trPr>
        <w:tc>
          <w:tcPr>
            <w:tcW w:w="9340" w:type="dxa"/>
            <w:vAlign w:val="bottom"/>
          </w:tcPr>
          <w:p>
            <w:pPr>
              <w:ind w:left="40"/>
              <w:spacing w:after="0"/>
              <w:rPr>
                <w:sz w:val="20"/>
                <w:szCs w:val="20"/>
                <w:color w:val="auto"/>
              </w:rPr>
            </w:pPr>
            <w:r>
              <w:rPr>
                <w:rFonts w:ascii="Arial" w:cs="Arial" w:eastAsia="Arial" w:hAnsi="Arial"/>
                <w:sz w:val="18"/>
                <w:szCs w:val="18"/>
                <w:color w:val="auto"/>
              </w:rPr>
              <w:t>Total estimated remaining amortization expense at March 31, 2020</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11,114</w:t>
            </w:r>
          </w:p>
        </w:tc>
      </w:tr>
      <w:tr>
        <w:trPr>
          <w:trHeight w:val="20"/>
        </w:trPr>
        <w:tc>
          <w:tcPr>
            <w:tcW w:w="9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100" w:hanging="48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360" w:hanging="482"/>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30" w:lineRule="exact"/>
        <w:rPr>
          <w:sz w:val="20"/>
          <w:szCs w:val="20"/>
          <w:color w:val="auto"/>
        </w:rPr>
      </w:pPr>
    </w:p>
    <w:p>
      <w:pPr>
        <w:jc w:val="both"/>
        <w:ind w:left="60"/>
        <w:spacing w:after="0" w:line="263"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 The credit facility also includes a $200.0 million sublimit for total letters of credit.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March 31, 2020, Covenant EBITDA was $64.4 million. Consolidated Funded Indebtedness at March 31, 2020 was $64.2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March 31, 2020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7"/>
                <w:szCs w:val="17"/>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300,000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106,929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94,323</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193,071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205,677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55,342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48,147</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8,888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5,347</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128,841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152,183</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the Company was in compliance with all affirmative, negative, and financial covenants under the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Aid, Relief, and Economic Security Act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(the "CARES Act") was signed into law. The purpose of the CARES Act was to provide $2.2 trillion in funding to fight the COVID-19 pandemic and provide economic relief in the form of tax relief, government loans and grants. The CARES Act contains the following key provisions which affect income taxes:</w:t>
      </w:r>
    </w:p>
    <w:p>
      <w:pPr>
        <w:spacing w:after="0" w:line="13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Eliminates the 80% of taxable income limitations by allowing corporations to fully utilize net operating loss carryforwards to offset taxable income in 2018, 2019, or 2020 and reinstating it for tax years after 2020;</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Allows net operating losses generated in 2018, 2019 or 2020 to be carried back five years;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the net interest expense deduction limit to 50% of adjusted taxable income from 30% for the 2019 and 2020 tax years;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Allows taxpayers with alternative minimum tax credits to claim a refund for the entire amount of the credit instead of recovering the credit through refunds over a period of years, as required by the 2017 Tax Cuts and Jobs Act;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Allows entities to deduct more of their charitable cash contributions made during calendar year 2020 by increasing the taxable income limitation to 25% from 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provisions in the CARES Act have not had a material impact on the Company as of March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effective tax rates for the three and nine months ended March 31, 2020 were 16.9% and 5.9%, respectively. The tax benefit for the three months ended March 31, 2020 was negatively impacted by higher than normal non-deductible expenses. The tax benefit for the nine months ended March 31, 2020 was negatively impacted by a $2.5 million valuation allowance placed on a deferred tax asset that was created by net operating loss carryforwards and other tax credits in Canada and by the non-deductible portion of the goodwill impairments booked in the second quarter of fiscal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$10.8 million at March 31, 2020 and $10.1 million at June 30, 2019.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quarter, the Company commenced litigation in an effort to collect $16.5 million in accounts receivable from an iron and steel customer following the deterioration of the relationship in the second quarter. Based on the terms of the contract with this customer, the Company is entitled to collect the full amount owed under the contract. However, the timing of collection is uncertain.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other known legal actions, including a contract dispute with a customer involving the construction of a crude terminal, will have a material impact on the Company’s financial position, results of operations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181"/>
        </w:trPr>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5"/>
          </w:tcPr>
          <w:p>
            <w:pPr>
              <w:ind w:left="260"/>
              <w:spacing w:after="0"/>
              <w:rPr>
                <w:sz w:val="20"/>
                <w:szCs w:val="20"/>
                <w:color w:val="auto"/>
              </w:rPr>
            </w:pPr>
            <w:r>
              <w:rPr>
                <w:rFonts w:ascii="Arial" w:cs="Arial" w:eastAsia="Arial" w:hAnsi="Arial"/>
                <w:sz w:val="13"/>
                <w:szCs w:val="13"/>
                <w:color w:val="auto"/>
              </w:rPr>
              <w:t>(In thousands, except per share data)</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8"/>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30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8,933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15,170</w:t>
            </w:r>
          </w:p>
        </w:tc>
      </w:tr>
      <w:tr>
        <w:trPr>
          <w:trHeight w:val="251"/>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26,788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26,918</w:t>
            </w: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0"/>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0.56</w:t>
            </w: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26,478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26,788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26,781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26,918</w:t>
            </w: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641</w:t>
            </w: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26,478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27,417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27,587</w:t>
            </w: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55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0.55</w:t>
            </w: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46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520" w:type="dxa"/>
            <w:vAlign w:val="bottom"/>
          </w:tcPr>
          <w:p>
            <w:pPr>
              <w:spacing w:after="0"/>
              <w:rPr>
                <w:sz w:val="13"/>
                <w:szCs w:val="13"/>
                <w:color w:val="auto"/>
              </w:rPr>
            </w:pPr>
          </w:p>
        </w:tc>
        <w:tc>
          <w:tcPr>
            <w:tcW w:w="148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March 31,</w:t>
            </w:r>
          </w:p>
        </w:tc>
        <w:tc>
          <w:tcPr>
            <w:tcW w:w="98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9"/>
              </w:rPr>
              <w:t>March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March 31,</w:t>
            </w:r>
          </w:p>
        </w:tc>
        <w:tc>
          <w:tcPr>
            <w:tcW w:w="134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2019</w:t>
            </w:r>
          </w:p>
        </w:tc>
      </w:tr>
      <w:tr>
        <w:trPr>
          <w:trHeight w:val="196"/>
        </w:trPr>
        <w:tc>
          <w:tcPr>
            <w:tcW w:w="55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(In thousands)</w:t>
            </w:r>
          </w:p>
        </w:tc>
        <w:tc>
          <w:tcPr>
            <w:tcW w:w="1340" w:type="dxa"/>
            <w:vAlign w:val="bottom"/>
            <w:tcBorders>
              <w:top w:val="single" w:sz="8" w:color="auto"/>
            </w:tcBorders>
          </w:tcPr>
          <w:p>
            <w:pPr>
              <w:spacing w:after="0"/>
              <w:rPr>
                <w:sz w:val="17"/>
                <w:szCs w:val="17"/>
                <w:color w:val="auto"/>
              </w:rPr>
            </w:pPr>
          </w:p>
        </w:tc>
      </w:tr>
      <w:tr>
        <w:trPr>
          <w:trHeight w:val="256"/>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Nonvested deferred shares</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35"/>
              <w:spacing w:after="0"/>
              <w:rPr>
                <w:sz w:val="20"/>
                <w:szCs w:val="20"/>
                <w:color w:val="auto"/>
              </w:rPr>
            </w:pPr>
            <w:r>
              <w:rPr>
                <w:rFonts w:ascii="Arial" w:cs="Arial" w:eastAsia="Arial" w:hAnsi="Arial"/>
                <w:sz w:val="18"/>
                <w:szCs w:val="18"/>
                <w:color w:val="auto"/>
                <w:w w:val="79"/>
              </w:rPr>
              <w:t>188</w:t>
            </w:r>
          </w:p>
        </w:tc>
        <w:tc>
          <w:tcPr>
            <w:tcW w:w="1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152</w:t>
            </w:r>
          </w:p>
        </w:tc>
      </w:tr>
      <w:tr>
        <w:trPr>
          <w:trHeight w:val="27"/>
        </w:trPr>
        <w:tc>
          <w:tcPr>
            <w:tcW w:w="5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1,041</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188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6340" w:type="dxa"/>
            <w:vAlign w:val="bottom"/>
            <w:gridSpan w:val="2"/>
          </w:tcPr>
          <w:p>
            <w:pPr>
              <w:jc w:val="right"/>
              <w:ind w:right="468"/>
              <w:spacing w:after="0"/>
              <w:rPr>
                <w:sz w:val="20"/>
                <w:szCs w:val="20"/>
                <w:color w:val="auto"/>
              </w:rPr>
            </w:pPr>
            <w:r>
              <w:rPr>
                <w:rFonts w:ascii="Arial" w:cs="Arial" w:eastAsia="Arial" w:hAnsi="Arial"/>
                <w:sz w:val="18"/>
                <w:szCs w:val="18"/>
                <w:color w:val="auto"/>
              </w:rPr>
              <w:t>- 18-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Industrial segment consists of work for various industries, including major mining and minerals companies engaged primarily in the extraction of non-ferrous metals, aerospace and defense, cement, agriculture, and various industrial facilities.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2019 and in Note 1 of this Quarterly Report on Form 10-Q. Intersegment sales and transfers are recorded at cost; therefore, no intersegment profit or loss is recognized.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operating lease right-of-use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28,411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60,669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89,973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163,543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246,497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144,460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134,822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439,246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374,787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213,596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237,225</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250,452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360,188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910,636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1,022,052</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163,543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52,313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82,544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244,322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372,876</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23,857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81,283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212,711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237,225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248,327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358,887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905,101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1,017,966</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 (loss)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25,518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35,275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14,265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20,477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36,906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82,943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88,213</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Intangible asset impairments and restructuring costs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intangible asset impairments and restructuring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20,541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0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97,747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155,880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86,194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91,959</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228,717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188,912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90,336</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123,830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106,307</w:t>
            </w:r>
          </w:p>
        </w:tc>
      </w:tr>
      <w:tr>
        <w:trPr>
          <w:trHeight w:val="257"/>
        </w:trPr>
        <w:tc>
          <w:tcPr>
            <w:tcW w:w="84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567,347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633,394</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Restructuring Costs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2020, the Company announced a business improvement plan related to its strategic initiatives to exit the domestic iron and steel industry and to implement business improvements in the Electrical Infrastructure segment. Planned activities under the business improvement plan have been expanded due to lower revenue expectations for the remainder of fiscal 2020 and fiscal 2021 following the uncertainties caused by the COVID-19 pandemic and the significant decline in the price of crude oil, both of which began during the third quarter.</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improvement plan consists of discretionary cost reductions, workforce reductions and closures of certain offices in order to increase the utilization of the Company's staff and bring the cost structure of the business in line with the near-term expectation of lower revenue. The restructuring costs are primarily comprised of severance and personnel-related costs related to reductions in workforce and impairments of operating lease right-of-use assets and other fixed assets related to the closure of certain office spaces. The Company incurred $6.6 million of restructuring costs during the three months ended March 31, 2020 and expects to incur an additional $4.0 to $6.0 million of restructuring costs related to activities planned during the fourth quarter of fiscal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incurred are classified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 March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9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91"/>
              </w:rPr>
              <w:t>31, 2020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center"/>
              <w:ind w:right="272"/>
              <w:spacing w:after="0"/>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Electrical Infrastructure</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Severance costs and other benefits</w:t>
            </w: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costs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0" w:type="dxa"/>
            <w:vAlign w:val="bottom"/>
          </w:tcPr>
          <w:p>
            <w:pPr>
              <w:ind w:left="280"/>
              <w:spacing w:after="0"/>
              <w:rPr>
                <w:sz w:val="20"/>
                <w:szCs w:val="20"/>
                <w:color w:val="auto"/>
              </w:rPr>
            </w:pPr>
            <w:r>
              <w:rPr>
                <w:rFonts w:ascii="Arial" w:cs="Arial" w:eastAsia="Arial" w:hAnsi="Arial"/>
                <w:sz w:val="18"/>
                <w:szCs w:val="18"/>
                <w:color w:val="auto"/>
              </w:rPr>
              <w:t>Total Electrical Infrastructure</w:t>
            </w:r>
          </w:p>
        </w:tc>
        <w:tc>
          <w:tcPr>
            <w:tcW w:w="3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Oil Gas &amp; Chemical</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Severance costs and other benefits</w:t>
            </w: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costs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0" w:type="dxa"/>
            <w:vAlign w:val="bottom"/>
          </w:tcPr>
          <w:p>
            <w:pPr>
              <w:ind w:left="280"/>
              <w:spacing w:after="0"/>
              <w:rPr>
                <w:sz w:val="20"/>
                <w:szCs w:val="20"/>
                <w:color w:val="auto"/>
              </w:rPr>
            </w:pPr>
            <w:r>
              <w:rPr>
                <w:rFonts w:ascii="Arial" w:cs="Arial" w:eastAsia="Arial" w:hAnsi="Arial"/>
                <w:sz w:val="18"/>
                <w:szCs w:val="18"/>
                <w:color w:val="auto"/>
              </w:rPr>
              <w:t>Total Oil Gas &amp; Chemical</w:t>
            </w:r>
          </w:p>
        </w:tc>
        <w:tc>
          <w:tcPr>
            <w:tcW w:w="3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Storage Solutions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Severance costs and other benefits</w:t>
            </w: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costs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0" w:type="dxa"/>
            <w:vAlign w:val="bottom"/>
          </w:tcPr>
          <w:p>
            <w:pPr>
              <w:ind w:left="280"/>
              <w:spacing w:after="0"/>
              <w:rPr>
                <w:sz w:val="20"/>
                <w:szCs w:val="20"/>
                <w:color w:val="auto"/>
              </w:rPr>
            </w:pPr>
            <w:r>
              <w:rPr>
                <w:rFonts w:ascii="Arial" w:cs="Arial" w:eastAsia="Arial" w:hAnsi="Arial"/>
                <w:sz w:val="18"/>
                <w:szCs w:val="18"/>
                <w:color w:val="auto"/>
              </w:rPr>
              <w:t>Total Storage Solutions</w:t>
            </w:r>
          </w:p>
        </w:tc>
        <w:tc>
          <w:tcPr>
            <w:tcW w:w="3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Industrial</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Severance costs and other benefits</w:t>
            </w: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costs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0" w:type="dxa"/>
            <w:vAlign w:val="bottom"/>
          </w:tcPr>
          <w:p>
            <w:pPr>
              <w:ind w:left="280"/>
              <w:spacing w:after="0"/>
              <w:rPr>
                <w:sz w:val="20"/>
                <w:szCs w:val="20"/>
                <w:color w:val="auto"/>
              </w:rPr>
            </w:pPr>
            <w:r>
              <w:rPr>
                <w:rFonts w:ascii="Arial" w:cs="Arial" w:eastAsia="Arial" w:hAnsi="Arial"/>
                <w:sz w:val="18"/>
                <w:szCs w:val="18"/>
                <w:color w:val="auto"/>
              </w:rPr>
              <w:t>Total Industrial</w:t>
            </w:r>
          </w:p>
        </w:tc>
        <w:tc>
          <w:tcPr>
            <w:tcW w:w="3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restructuring costs</w:t>
            </w:r>
          </w:p>
        </w:tc>
        <w:tc>
          <w:tcPr>
            <w:tcW w:w="360" w:type="dxa"/>
            <w:vAlign w:val="bottom"/>
            <w:tcBorders>
              <w:bottom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Costs by Type:</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Total severance costs and other benefits</w:t>
            </w: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3,901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facility costs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200" w:type="dxa"/>
            <w:vAlign w:val="bottom"/>
          </w:tcPr>
          <w:p>
            <w:pPr>
              <w:ind w:left="280"/>
              <w:spacing w:after="0"/>
              <w:rPr>
                <w:sz w:val="20"/>
                <w:szCs w:val="20"/>
                <w:color w:val="auto"/>
              </w:rPr>
            </w:pPr>
            <w:r>
              <w:rPr>
                <w:rFonts w:ascii="Arial" w:cs="Arial" w:eastAsia="Arial" w:hAnsi="Arial"/>
                <w:sz w:val="18"/>
                <w:szCs w:val="18"/>
                <w:color w:val="auto"/>
              </w:rPr>
              <w:t>Total restructuring costs</w:t>
            </w:r>
          </w:p>
        </w:tc>
        <w:tc>
          <w:tcPr>
            <w:tcW w:w="360" w:type="dxa"/>
            <w:vAlign w:val="bottom"/>
            <w:tcBorders>
              <w:top w:val="single" w:sz="8" w:color="auto"/>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The table below is a reconciliation of the beginning and ending restructuring reserve balance (in thousands):</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9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Restructuring costs incurred</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Non-cash restructuring costs</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Non-cash restructuring costs consisted of impairments of operating lease right-of-use assets and other fixed asset impairments related to the closure of certain leased office spaces.</w:t>
      </w:r>
    </w:p>
    <w:p>
      <w:pPr>
        <w:spacing w:after="0" w:line="394" w:lineRule="exact"/>
        <w:rPr>
          <w:rFonts w:ascii="Arial" w:cs="Arial" w:eastAsia="Arial" w:hAnsi="Arial"/>
          <w:sz w:val="13"/>
          <w:szCs w:val="13"/>
          <w:color w:val="auto"/>
        </w:rPr>
      </w:pPr>
    </w:p>
    <w:p>
      <w:pPr>
        <w:ind w:left="5560" w:hanging="108"/>
        <w:spacing w:after="0"/>
        <w:tabs>
          <w:tab w:leader="none" w:pos="5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886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820"/>
        <w:spacing w:after="0" w:line="37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CRITICAL ACCOUNTING POLICIES</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the new accounting policy for leases described below, there have been no material changes in our critical accounting policies from those reported in our fiscal 2019 Annual Report on Form 10-K filed with the SEC. For more information on our critical accounting policies, see Part II, Item 7 of our fiscal 2019 Annual Report on Form 10-K. The following section provides certain information with respect to our critical accounting policies as of the close of our most recent quarterly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240"/>
          </w:cols>
          <w:pgMar w:left="320" w:top="34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Unpriced Change Orders and Claims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$10.8 million at March 31, 2020 and $10.1 million at June 30, 2019. The amounts ultimately realized may be significantly different than the recorded amounts resulting in a material adjustment to future earnings.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240"/>
          </w:cols>
          <w:pgMar w:left="320" w:top="34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third quarter, the Company concluded that goodwill impairment indicators existed based on the uncertainties caused by the COVID-19 pandemic and the significant decline in the price of crude oil. These uncertainties have resulted in lowered revenue expectations for the remainder of fiscal 2020 and fiscal 2021 and led to significant volatility in the Company's stock price. Accordingly, the Company performed an interim test as of March 31, 2020, which did not result in any impairments. While near-term revenue expectations were reduced, the Company also projected significant reductions in its cost structure. As of March 31, 2020, there were three reporting units with goodwill totaling $14.1 million that had low headroom, which we define as the percentage difference between the fair value of a reporting unit and its carrying value.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projections were based on the current assessment of our markets. Our markets are at historically volatile levels and future developments are difficult to predict. If the markets that impact our business continue to deteriorate, particularly in the reporting units mentioned above, the Company could recognize a significant goodwill impairment.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the Company concluded that a goodwill impairment indicator existed in the Electrical Infrastructure segment based on the recent history of depressed gross margins and the second quarter’s downward acceleration of revenue and gross margin. Accordingly, the Company performed an interim impairment test as of December 31, 2019, reflecting updated revenue and gross margin assumptions, and concluded that the reporting unit's $24.9 million of goodwill was fully impaired.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in December 2019, the Company concluded that a goodwill impairment indicator existed for an Industrial segment reporting unit based on several second quarter events. These events included the deterioration of the relationship with a significant customer in the iron and steel industry in the second quarter. As a result, the customer canceled other previously awarded work and the Company is expecting little to no business from this customer in the foreseeable future. Accordingly, the Company performed an interim impairment test as of December 31, 2019 and concluded that the reporting unit's $8.0 million of goodwill was fully impaired. The remaining goodwill in the Industrial segment is related to a separate reporting unit that serves a broader customer base beyond iron and steel.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240"/>
          </w:cols>
          <w:pgMar w:left="320" w:top="34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assumptions, including revenue growth rates, gross margins, discount rate and other factors may change in light of changes in the economic and competitive environment in which we operate. Assuming that all other components of our fair value estimate remain unchanged, a change in the following assumptions would have the following effect on headroom:</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0"/>
              </w:rPr>
              <w:t>Headroom Sensitivity Analysis</w:t>
            </w:r>
          </w:p>
        </w:tc>
        <w:tc>
          <w:tcPr>
            <w:tcW w:w="156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Headroom if Revenue</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Headroom if Gross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4"/>
              </w:rPr>
              <w:t>Headroom if</w:t>
            </w:r>
          </w:p>
        </w:tc>
      </w:tr>
      <w:tr>
        <w:trPr>
          <w:trHeight w:val="203"/>
        </w:trPr>
        <w:tc>
          <w:tcPr>
            <w:tcW w:w="2960" w:type="dxa"/>
            <w:vAlign w:val="bottom"/>
          </w:tcPr>
          <w:p>
            <w:pPr>
              <w:spacing w:after="0"/>
              <w:rPr>
                <w:sz w:val="17"/>
                <w:szCs w:val="17"/>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Goodwill as of March</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Growth Rate</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Margin</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Discount Rate</w:t>
            </w:r>
          </w:p>
        </w:tc>
      </w:tr>
      <w:tr>
        <w:trPr>
          <w:trHeight w:val="203"/>
        </w:trPr>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31, 2020 (in</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Declines by 100 Basis</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Declines by 100 Basis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8"/>
              </w:rPr>
              <w:t>Increases by 100</w:t>
            </w:r>
          </w:p>
        </w:tc>
      </w:tr>
      <w:tr>
        <w:trPr>
          <w:trHeight w:val="210"/>
        </w:trPr>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thousands)</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Baseline Headroom</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Points</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Points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7"/>
              </w:rPr>
              <w:t>Basis Points</w:t>
            </w:r>
          </w:p>
        </w:tc>
      </w:tr>
      <w:tr>
        <w:trPr>
          <w:trHeight w:val="33"/>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Reporting Unit 1</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-9%</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Reporting Unit 2</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3,902</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17%</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-26%</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Reporting Unit 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All other reporting units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46,135</w:t>
            </w:r>
          </w:p>
        </w:tc>
        <w:tc>
          <w:tcPr>
            <w:tcW w:w="120" w:type="dxa"/>
            <w:vAlign w:val="bottom"/>
          </w:tcPr>
          <w:p>
            <w:pPr>
              <w:spacing w:after="0"/>
              <w:rPr>
                <w:sz w:val="21"/>
                <w:szCs w:val="21"/>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34% to 234%</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27% to 220%</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19% to 182%</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20% to 199%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240"/>
          </w:cols>
          <w:pgMar w:left="320" w:top="34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amendments in this update broaden the information the Company may consider in developing its expected credit loss estimate to include forecasted information. The amendments in this update are effective for the Company on July 1, 2020.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Industrial segment consists of work for various industries, including major mining and minerals companies engaged primarily in the extraction of non-ferrous metals, aerospace and defense, cement, agriculture, and various industrial facilities.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COVID-19 pandemic persists, the Company's top priority has been to maintain a safe working environment for all employees, customers and business partners. We transitioned the majority of our 1,000 administrative and engineering team members to remote working conditions in March. Our project teams in coordination with our clients created work processes to integrate the guidance from governmental agencies and leading health organizations to protect the health and safety of everyone on our job sites while maintaining productivity.</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is significant uncertainty regarding the near- and intermediate-term economic impacts from the COVID-19 pandemic and the significant supply/demand dislocation in crude oil during the quarter, which has resulted in lowered revenue expectations for the remainder of fiscal 2020 and for fiscal 2021. As a result, the Company is expanding its previously announced business improvement plan, which consists of discretionary cost reductions, workforce reductions and closures of certain offices in order to increase the utilization of the Company's staff and bring the cost structure of the business in line with the near-term expectation of lower revenue. The Company incurred $6.6 million of restructuring costs during the three months ended March 31, 2020 and expects to incur an additional $4.0 to $6.0 million of restructuring costs related to activities planned during the fourth quarter of fiscal 2020. The Company expects to save approximately $40.0 million in annual operating costs at the conclusion of the plan. Approximately $12.0 million of the reductions are related to SG&amp;A and approximately $28.0 million are related to construction overhead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240"/>
          </w:cols>
          <w:pgMar w:left="320" w:top="34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order to more clearly depict the core profitability of the Company, the following table presents our net income (loss) and earnings (loss) per fully diluted share for the three and nine months ended March 31, 2020 after adjusting for expense items related to restructuring initiatives and impairments: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Adjusted Net Income (Loss) and Diluted Earnings (Loss) per Common Share</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2"/>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Income Tax</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Income</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(Loss) Per</w:t>
            </w:r>
          </w:p>
        </w:tc>
        <w:tc>
          <w:tcPr>
            <w:tcW w:w="12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Income</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(Loss) Per</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Effect of</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Diluted</w:t>
            </w: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Charge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Charge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(Loss)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69"/>
        </w:trPr>
        <w:tc>
          <w:tcPr>
            <w:tcW w:w="5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and diluted loss per common share, as reported</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64"/>
        </w:trPr>
        <w:tc>
          <w:tcPr>
            <w:tcW w:w="5860" w:type="dxa"/>
            <w:vAlign w:val="bottom"/>
          </w:tcPr>
          <w:p>
            <w:pPr>
              <w:ind w:left="280"/>
              <w:spacing w:after="0"/>
              <w:rPr>
                <w:sz w:val="20"/>
                <w:szCs w:val="20"/>
                <w:color w:val="auto"/>
              </w:rPr>
            </w:pPr>
            <w:r>
              <w:rPr>
                <w:rFonts w:ascii="Arial" w:cs="Arial" w:eastAsia="Arial" w:hAnsi="Arial"/>
                <w:sz w:val="14"/>
                <w:szCs w:val="14"/>
                <w:color w:val="auto"/>
              </w:rPr>
              <w:t>Restructuring costs incurred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6,559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5,097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5,097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76"/>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Electrical Infrastructure segment goodwill impairment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64"/>
        </w:trPr>
        <w:tc>
          <w:tcPr>
            <w:tcW w:w="5860" w:type="dxa"/>
            <w:vAlign w:val="bottom"/>
          </w:tcPr>
          <w:p>
            <w:pPr>
              <w:ind w:left="280"/>
              <w:spacing w:after="0"/>
              <w:rPr>
                <w:sz w:val="20"/>
                <w:szCs w:val="20"/>
                <w:color w:val="auto"/>
              </w:rPr>
            </w:pPr>
            <w:r>
              <w:rPr>
                <w:rFonts w:ascii="Arial" w:cs="Arial" w:eastAsia="Arial" w:hAnsi="Arial"/>
                <w:sz w:val="14"/>
                <w:szCs w:val="14"/>
                <w:color w:val="auto"/>
              </w:rPr>
              <w:t>Industrial segment goodwill and other intangible asset impairment</w:t>
            </w: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13,615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10,812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Valuation allowance placed on a deferred tax asset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83"/>
        </w:trPr>
        <w:tc>
          <w:tcPr>
            <w:tcW w:w="5860" w:type="dxa"/>
            <w:vAlign w:val="bottom"/>
          </w:tcPr>
          <w:p>
            <w:pPr>
              <w:ind w:left="40"/>
              <w:spacing w:after="0"/>
              <w:rPr>
                <w:sz w:val="20"/>
                <w:szCs w:val="20"/>
                <w:color w:val="auto"/>
              </w:rPr>
            </w:pPr>
            <w:r>
              <w:rPr>
                <w:rFonts w:ascii="Arial" w:cs="Arial" w:eastAsia="Arial" w:hAnsi="Arial"/>
                <w:sz w:val="14"/>
                <w:szCs w:val="14"/>
                <w:color w:val="auto"/>
              </w:rPr>
              <w:t>Adjusted net income (loss) and diluted earnings (loss) per common share</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(0.02)</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10,985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50"/>
        </w:trPr>
        <w:tc>
          <w:tcPr>
            <w:tcW w:w="5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 - diluted:</w:t>
            </w:r>
          </w:p>
        </w:tc>
        <w:tc>
          <w:tcPr>
            <w:tcW w:w="14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860" w:type="dxa"/>
            <w:vAlign w:val="bottom"/>
          </w:tcPr>
          <w:p>
            <w:pPr>
              <w:ind w:left="28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26,478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26,781</w:t>
            </w: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Previously anti-dilutive common shares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4"/>
                <w:szCs w:val="14"/>
                <w:color w:val="auto"/>
              </w:rPr>
              <w:t>Adjusted weighted average common shares outstanding - diluted</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27,298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540" w:hanging="316"/>
        <w:spacing w:after="0" w:line="247"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table presents non-GAAP financial measures of our adjusted net income (loss) and adjusted diluted earnings (loss) per common share for the three and nine months ended March 31, 2020. The most directly comparable financial measures are net income (loss) and diluted earnings (loss) per common share, respectively, presented in the Condensed Consolidated Statements of Income. We have presented these financial measures because we believe they more clearly depict the core operating results of the Company during the periods presented and provide a more comparable measure of the Company's operating results to other companies considered to be in similar businesses. Since adjusted net income (loss) and adjusted diluted earnings (loss) per common share are not measures of performance calculated in accordance with GAAP, they should be considered in addition to, rather than as a substitute for,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82" w:lineRule="exact"/>
        <w:rPr>
          <w:sz w:val="20"/>
          <w:szCs w:val="20"/>
          <w:color w:val="auto"/>
        </w:rPr>
      </w:pPr>
    </w:p>
    <w:p>
      <w:pPr>
        <w:ind w:right="4100"/>
        <w:spacing w:after="0" w:line="440" w:lineRule="auto"/>
        <w:rPr>
          <w:sz w:val="20"/>
          <w:szCs w:val="20"/>
          <w:color w:val="auto"/>
        </w:rPr>
      </w:pPr>
      <w:r>
        <w:rPr>
          <w:rFonts w:ascii="Arial" w:cs="Arial" w:eastAsia="Arial" w:hAnsi="Arial"/>
          <w:sz w:val="18"/>
          <w:szCs w:val="18"/>
          <w:b w:val="1"/>
          <w:bCs w:val="1"/>
          <w:color w:val="auto"/>
        </w:rPr>
        <w:t xml:space="preserve">Three Months Ended March 31, 2020 Compared to the Three Months Ended March 31, 2019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revenue was $248.3 million for the three months ended March 31, 2020, compared to $358.9 million in the same period in the prior fiscal year. On a segment basis, revenue decreased for the Industrial, Electrical Infrastructure, and Oil Gas &amp; Chemical segments by $57.4 million, $32.3 million, and $30.2 million, respectively. These decreases were partially offset by an increase in the Storage Solutions segment of $9.3 million.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decreased to $20.5 million in the three months ended March 31, 2020 compared to $36.9 million in the same period in the prior fiscal year. Gross margin decreased to 8.2% in the three months ended March 31, 2020 compared to 10.3% in the same period in the prior fiscal year. Gross margins in Fiscal 2020 are the result of strong project execution, offset by the under recovery of construction overhead costs due to lower than anticipated revenue volumes.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$19.7 million in the three months ended March 31, 2020 compared to $24.1 million in the same period a year earlier.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decrease is primarily attributable to cost reduction initiatives and lower incentive compensation due to weaker operating results in the current year.</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recorded $6.6 million of restructuring costs due to actions taken under our business improvement plan. See Operational Update in this Results of Operations section and Item 1. Financial Statements, Note 10 - Restructuring Costs, for more information about the restructuring costs.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$0.4 million in the three months ended March 31, 2020 compared to $0.3 million in the same period a year ago. The increase was due to a higher average debt balance during the three months ended March 31, 2020. Interest income was $0.4 million in the three months ended March 31, 2020 compared to $0.3 million in the same period a year ago due to an increase in our average cash balance.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- 28-</w:t>
      </w:r>
    </w:p>
    <w:p>
      <w:pPr>
        <w:sectPr>
          <w:pgSz w:w="11900" w:h="16838" w:orient="portrait"/>
          <w:cols w:equalWidth="0" w:num="1">
            <w:col w:w="11240"/>
          </w:cols>
          <w:pgMar w:left="320" w:top="341"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three months ended March 31, 2020 was 16.9% compared to 30.5% for the same period a year ago. The tax benefit for the three months ended March 31, 2020 was negatively impacted by higher than normal non-deductible expenses. The effective tax rate in fiscal 2019 was negatively impacted by a valuation allowance of $0.6 million placed on foreign tax credits generated by our operations in Canada, which we believe will not be utilized prior to their expiration.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2020, we had a net loss of $5.5 million, or $0.21 per fully diluted share, compared to net income of $8.9 million, or $0.33 per fully diluted share, in the three months ended March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Electrical Infrastructure segment was $28.4 million in the three months ended March 31, 2020 compared to $60.7 million in the same period a year earlier. The decrease is primarily due to a lower volume of power delivery and power generation work. The segment gross margin was 2.6% in fiscal 2020 and 10.2% in fiscal 2019. Fiscal 2020 project execution met our expectations, but segment gross margin was negatively impacted by lower volumes, which lead to the under recovery of construction overhead costs. The fiscal 2019 segment gross margin was positively impacted by strong project execution on power generation work.</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second quarter of fiscal 2020, the Company announced a business improvement plan for this segment. The plan included significant changes to the operations and management of the business, including changes to leadership and mid-level operational personnel, modifications to operational processes, and increased business development resources. During the quarter, we partially completed the planned personnel changes and strengthened business processes, which has led to improved project execution. However, it is still too early to assess the long-term effectiveness of the business improvement plan. Furthermore, an improvement in the operating performance of this segment will be dependent upon the effectiveness and execution of the improvement plan, the markets we serve, the spending volumes of our existing clients and other external factors.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geographic footprint of most work in this segment is concentrated in the Mid-Atlantic and Northeastern U.S., which has been severely affected by the COVID-19 pandemic. As a result, we have experienced suspensions of work at certain job sites and client proposal activity has slowed as they manage other pandemic-related challenges. We will continue to assess conditions in the areas we serve and resume normal operations based on the needs of our clients and safety guidelines to ensure the protection of our employees and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Oil Gas &amp; Chemical segment was $52.3 million in the three months ended March 31, 2020 compared to $82.5 million in the same period a year earlier. The decrease of $30.2 million is primarily due to lower volumes of turnaround work. The segment gross margin was 5.6% for the three months ended March 31, 2020 compared to 13.0% in the same period last year. Fiscal 2020 segment gross margin was negatively impacted by lower volumes, which led to under recovery of construction overhead costs, and a lower than previously expected margin on a capital project due to purchased equipment that was found to be under performing during start-up and commissioning. The fiscal 2019 segment gross margin benefited from improved recovery of construction overhead costs and strong execution on capital projects.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short-term impact to the Company's refinery turnaround and maintenance operations as a result of direct and indirect conditions created by the global pandemic has been considerable. There have been project cancellations, delays and temporary suspensions of planned seasonal work, however, in most cases the revenue volumes are moving out in time from a few weeks to quarters, but not eliminated. The updated start dates on many of the delayed activities is uncertain and will depend on the needs of our clients, safety guidelines, and the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Storage Solutions segment was $143.7 million in the three months ended March 31, 2020 compared to $134.4 million in the same period a year earlier. The increase in segment revenue is primarily a result of increased tank and terminal construction work and higher levels of work in Canada. The segment gross margin was 12.5% in the three months ended March 31, 2020 compared to 10.8% in the three months ended March 31, 2019. The fiscal 2020 segment gross margin was positively impacted by strong project execution on large capital projects.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COVID-19 pandemic, we experienced short-term suspensions of work on a limited number of projects. Work on most of these projects has resumed. In addition, some project starts have been delayed for varying durations from a few weeks to a few quarters. While some project award cycles have been extended, key opportunities, including a medium-scale LNG terminal, a crude terminal and LNG peak shaving project continue to advance.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240"/>
          </w:cols>
          <w:pgMar w:left="320" w:top="34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Industrial segment decreased $57.4 million to $23.9 million in the three months ended March 31, 2020 compared to $81.3 million in the same period a year earlier. The decrease in revenue is primarily attributable to our strategic decision to exit the domestic iron and steel industry. We no longer have a continuous presence in any domestic iron and steel facility with final wind-down of the business to occur in the fourth quarter. The segment gross margin (loss) was (5.2)% in the three months ended March 31, 2020 compared to 6.6% in the same period a year earlier. The fiscal 2020 segment gross loss was negatively impacted by the under recovery of construction overhead costs following the sharp decline in revenue from our strategic decision to exit the domestic iron and steel industry.</w:t>
      </w:r>
    </w:p>
    <w:p>
      <w:pPr>
        <w:spacing w:after="0" w:line="188" w:lineRule="exact"/>
        <w:rPr>
          <w:sz w:val="20"/>
          <w:szCs w:val="20"/>
          <w:color w:val="auto"/>
        </w:rPr>
      </w:pPr>
    </w:p>
    <w:p>
      <w:pPr>
        <w:ind w:right="4300"/>
        <w:spacing w:after="0" w:line="440" w:lineRule="auto"/>
        <w:rPr>
          <w:sz w:val="20"/>
          <w:szCs w:val="20"/>
          <w:color w:val="auto"/>
        </w:rPr>
      </w:pPr>
      <w:r>
        <w:rPr>
          <w:rFonts w:ascii="Arial" w:cs="Arial" w:eastAsia="Arial" w:hAnsi="Arial"/>
          <w:sz w:val="18"/>
          <w:szCs w:val="18"/>
          <w:b w:val="1"/>
          <w:bCs w:val="1"/>
          <w:color w:val="auto"/>
        </w:rPr>
        <w:t xml:space="preserve">Nine Months Ended March 31, 2020 Compared to the Nine Months Ended March 31, 2019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revenue was $905.1 million for the nine months ended March 31, 2020, compared to $1.018 billion in the same period in the prior fiscal year. On a segment basis, revenue decreased in the Oil Gas &amp; Chemical, Electrical Infrastructure, and Industrial segments by $78.6 million, $73.5 million, and $24.5 million, respectively. These decreases were partially offset by an increase in the Storage Solutions segment of $63.7 million.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gross profit decreased to $82.9 million in the nine months ended March 31, 2020 compared to $88.2 million in the same period in the prior fiscal year. Gross margin increased to 9.2% in the nine months ended March 31, 2020 compared to 8.7% in the same period in the prior fiscal year. Fiscal 2020 gross margin was positively impacted by strong project execution in the Storage Solutions, Oil Gas &amp; Chemical and Industrial segments, partially offset by poor project execution in the Electrical Infrastructure segment in the first and second quarters and the under-recovery of overhead costs due to the lower revenue volumes across most of the business.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$66.6 million in the nine months ended March 31, 2020 compared to $67.7 million in the same period a year earlier.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attributable to lower incentive compensation due to weaker operating results in the current year.</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non-cash goodwill and other intangible asset impairments of $38.5 million during the second quarter of Fiscal 2020. See Item 1. Financial Statements, Note 4 - Intangible Assets Including Goodwill for more information about the impairments. In addition, The Company recorded $6.6 million of restructuring costs due to actions taken under our business improvement plan. See Operational Update in this Results of Operations section and Item 1. Financial Statements, Note 10 - Restructuring Costs, for more information about the restructuring costs.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$1.2 million in the nine months ended March 31, 2020 compared to $1.0 million in the same period a year ago. The increase was due to a higher average debt balance during the nine months ended March 31, 2020. Interest income was $1.2 million in the nine months ended March 31, 2020 compared to $0.9 million in the same period a year ago due to an increase in our average cash balance.</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 for the nine months ended March 31, 2020 was 5.9% compared to 27.9% for the same period a year ago. The tax benefit for the nine months ended March 31, 2020 was negatively impacted by a $2.5 million valuation allowance placed on a deferred tax asset that was created by net operating loss carryforwards and other tax credits in Canada and by the non-deductible portion of the goodwill impairments booked in the second quarter of fiscal 2020. The effective tax rate for the nine months ended March 31, 2019 was negatively impacted by a valuation allowance of $0.6 million placed on foreign tax credits generated by our operations in Canada, which we believe will not be utilized prior to their expiration. This was partially offset by $0.3 million of excess tax benefits related to the vesting of stock-based compensation.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March 31, 2020, we had a net loss of $27.4 million, or $1.02 per fully diluted share, compared to net income of $15.2 million, or $0.55 per fully diluted share in the nine months ended March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Electrical Infrastructure segment was $90.0 million in the nine months ended March 31, 2020 compared to $163.5 million in the same period a year earlier. The decrease is primarily due to lower volumes of power delivery and power generation work. The segment gross margin (loss) was (2.2)% in fiscal 2020 and 8.0% in fiscal 2019. The fiscal 2020 segment gross loss was negatively impacted by poor execution in the first and second quarters. In addition, the lower volumes led to the under recovery of construction overhead costs.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240"/>
          </w:cols>
          <w:pgMar w:left="320" w:top="34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Oil Gas &amp; Chemical segment was $165.8 million in the nine months ended March 31, 2020 compared to $244.3 million in the same period a year earlier. The decrease of $78.5 million is primarily due to lower volumes of turnaround and refinery maintenance work. The segment gross margin was 6.5% for the nine months ended March 31, 2020 compared to 10.4% in the same period last year. The fiscal 2020 segment gross margin was negatively impacted by lower volumes, which led to the under recovery of construction overhead costs. Fiscal 2020 segment gross margin was also negatively impacted by a lower than previously expected margin on a capital project due to purchased equipment that was found to be under performing during start-up and commissioning.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Storage Solutions segment was $436.6 million in the nine months ended March 31, 2020 compared to $372.9 million in the same period a year earlier. The increase in segment revenue is primarily a result of increased tank and terminal construction work and higher levels of work in Canada. The segment gross margin was 13.5% in the nine months ended March 31, 2020 and 9.5% in the nine months ended March 31, 2019. The fiscal 2020 segment gross margin was positively impacted by strong project execution on large capital projects. For the first and second quarters of fiscal 2019, gross margin was negatively impacted by the wind down of lower margin work awarded in a highly competitive environment and lower than previously forecasted margins on a limited number of those projects.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for the Industrial segment was $212.7 million in the nine months ended March 31, 2020 compared to $237.2 million in the same period a year earlier. The decrease in revenue is primarily attributable to reduced volumes of iron and steel maintenance spending due to our decision to exit the domestic iron and steel industry, and lower volumes of thermal vacuum chamber work. The segment gross margin was 7.2% in the nine months ended March 31, 2020 compared to 6.0% in the same period a year earlier. The fiscal 2020 segment gross margin was positively impacted by good project execution on both capital and repair and maintenance projects in the first and second quarters. The fiscal 2019 segment gross margin was negatively impacted by a lower than previously forecasted margin on a thermal vacuum chamber project and a high volume of lower margin iron and steel work.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4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we conclude that the likelihood of the full project proceeding is high. For all other arrangements, we calculate backlog as the estimated contract amount less revenues recognized as of the reporting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240"/>
          </w:cols>
          <w:pgMar w:left="320" w:top="34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Storage</w:t>
            </w: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55,429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156,650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603,604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872,235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15,081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34,612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60,625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113,313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Project cancellations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(143,746)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(248,327)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March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42,099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132,278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520,483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32,196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727,056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20" w:type="dxa"/>
            <w:vAlign w:val="bottom"/>
          </w:tcPr>
          <w:p>
            <w:pPr>
              <w:ind w:left="40"/>
              <w:spacing w:after="0"/>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(2)</w:t>
            </w:r>
          </w:p>
        </w:tc>
        <w:tc>
          <w:tcPr>
            <w:tcW w:w="160" w:type="dxa"/>
            <w:vAlign w:val="bottom"/>
          </w:tcPr>
          <w:p>
            <w:pPr>
              <w:spacing w:after="0"/>
              <w:rPr>
                <w:sz w:val="24"/>
                <w:szCs w:val="24"/>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40" w:hanging="316"/>
        <w:spacing w:after="0" w:line="247"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Cancellations in the Industrial segment were due to transferring $3.5 million of our remaining iron and steel work to another contractor following the final wind-down of our domestic iron and steel maintenance business. Cancellations totaling $6.7 million in the Oil, Gas and Chemical segment consist of turnaround work transferred to a local contractor as a result of COVID-19 precautions.</w:t>
      </w: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886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nine months ended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Storage</w:t>
            </w: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73,883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134,563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641,295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248,608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1,098,349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58,189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170,221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315,770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88,103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632,283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Project cancellations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(436,582)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(212,711)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(905,101)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March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42,099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132,278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520,483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727,056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20" w:type="dxa"/>
            <w:vAlign w:val="bottom"/>
          </w:tcPr>
          <w:p>
            <w:pPr>
              <w:ind w:left="40"/>
              <w:spacing w:after="0"/>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(2)</w:t>
            </w:r>
          </w:p>
        </w:tc>
        <w:tc>
          <w:tcPr>
            <w:tcW w:w="160" w:type="dxa"/>
            <w:vAlign w:val="bottom"/>
          </w:tcPr>
          <w:p>
            <w:pPr>
              <w:spacing w:after="0"/>
              <w:rPr>
                <w:sz w:val="24"/>
                <w:szCs w:val="24"/>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40" w:hanging="316"/>
        <w:spacing w:after="0" w:line="245"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related to the deterioration of our relationship with a key customer in the iron and steel industry and the subsequent cancellations of work and the cancellation of a coke battery project in Canada during the second quarter totaling $88.3 million. Subsequent cancellations in the third quarter were due to transferring $3.5 million of our remaining iron and steel work to another contractor following the final wind-down of our domestic iron and steel maintenance business. Cancellations in the Oil, Gas and Chemical segment consist of $6.7 million of turnaround work transferred to a local contractor as a result of COVID-19 precautions.</w:t>
      </w:r>
    </w:p>
    <w:p>
      <w:pPr>
        <w:spacing w:after="0" w:line="2"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impact of the COVID-19 pandemic and the resulting reduction in the price of crude oil, our customers have become cautious with their spending levels. Therefore, we have seen deferrals in award dates across the business and lengthening award cycles. In the Oil Gas &amp; Chemical segment, we saw a shift in the timing of turnarounds. The updated start dates on many of the delayed activities is uncertain and will depend on the needs of our clients, safety guidelines, and the market. Key opportunities, including a medium-scale LNG terminal, a crude terminal and LNG peak shaving project continue to advance.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240"/>
          </w:cols>
          <w:pgMar w:left="320" w:top="34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impacting operating results in all segments come from decreased work volumes during holidays,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presented Adjusted EBITDA, which we define as net income (loss) before impairment of goodwill and other intangible assets, restructuring costs,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income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income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66" w:lineRule="exact"/>
        <w:rPr>
          <w:sz w:val="20"/>
          <w:szCs w:val="20"/>
          <w:color w:val="auto"/>
        </w:rPr>
      </w:pPr>
    </w:p>
    <w:p>
      <w:pPr>
        <w:ind w:left="980" w:right="1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include impairments to goodwill and other intangible assets. While impairments to intangible assets are non-cash expenses in the period recognized, cash or other consideration was still transferred in exchange for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13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include restructuring costs. Restructuring costs represent material costs that were incurred by the company and are oftentimes cash expenses. Therefore, any measure that excludes restructuring costs has material limitations.</w:t>
      </w:r>
    </w:p>
    <w:p>
      <w:pPr>
        <w:spacing w:after="0" w:line="116" w:lineRule="exact"/>
        <w:rPr>
          <w:rFonts w:ascii="Arial" w:cs="Arial" w:eastAsia="Arial" w:hAnsi="Arial"/>
          <w:sz w:val="18"/>
          <w:szCs w:val="18"/>
          <w:color w:val="auto"/>
        </w:rPr>
      </w:pPr>
    </w:p>
    <w:p>
      <w:pPr>
        <w:ind w:left="980" w:right="80" w:hanging="324"/>
        <w:spacing w:after="0" w:line="31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94"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16"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83" w:lineRule="exact"/>
        <w:rPr>
          <w:rFonts w:ascii="Arial" w:cs="Arial" w:eastAsia="Arial" w:hAnsi="Arial"/>
          <w:sz w:val="18"/>
          <w:szCs w:val="18"/>
          <w:color w:val="auto"/>
        </w:rPr>
      </w:pPr>
    </w:p>
    <w:p>
      <w:pPr>
        <w:ind w:left="5560" w:hanging="108"/>
        <w:spacing w:after="0"/>
        <w:tabs>
          <w:tab w:leader="none" w:pos="5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240"/>
          </w:cols>
          <w:pgMar w:left="320" w:top="34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income (loss)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196"/>
        </w:trPr>
        <w:tc>
          <w:tcPr>
            <w:tcW w:w="5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15,170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Goodwill and other intangible asset impairment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38,515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954</w:t>
            </w: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4,686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13,623</w:t>
            </w: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17,656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31,636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35,609</w:t>
            </w: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as of March 31, 2020 were cash and cash equivalents on hand, capacity under our senior secured revolving credit facility and cash and cash equivalents generated from operations before consideration of changes in working capital. Cash and cash equivalents on hand at March 31, 2020 totaled $87.5 million and availability under the senior secured revolving credit facility totaled $128.8 million resulting in available liquidity of $216.3 million as of March 31, 2020.</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significant uncertainty regarding the near and intermediate-term business impacts from the COVID-19 pandemic and the significant decline in the price of crude oil during the quarter. These uncertainties have resulted in lowered revenue expectations for the remainder of fiscal 2020 and fiscal 2021. However, the Company entered this environment with a strong balance sheet and liquidity, which it expects to be sufficient to support its near- to intermediate-term needs. The Company is taking appropriate steps to preserve its financial position by:</w:t>
      </w:r>
    </w:p>
    <w:p>
      <w:pPr>
        <w:spacing w:after="0" w:line="13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the business to right-size the cost structure to the lower revenue volumes expected in the near to intermediate-term;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eliminating all non-critical capital expenditures for at least the remainder of fiscal 2020 and early fiscal 2021;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suspending share repurchases until further notice.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expects to save approximately $40.0 million in annual operating costs as a result of these actions. Approximately $12.0 million of the reductions are related to SG&amp;A and approximately $28.0 million are related to construction overhead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March 31,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December 31, 2019</w:t>
            </w:r>
          </w:p>
        </w:tc>
        <w:tc>
          <w:tcPr>
            <w:tcW w:w="5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276,498</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(22,992)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credit facility capacity constraint</w:t>
            </w:r>
          </w:p>
        </w:tc>
        <w:tc>
          <w:tcPr>
            <w:tcW w:w="4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Decrease in net borrowings on credit facility</w:t>
            </w:r>
          </w:p>
        </w:tc>
        <w:tc>
          <w:tcPr>
            <w:tcW w:w="4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letters of credit outstanding</w:t>
            </w:r>
          </w:p>
        </w:tc>
        <w:tc>
          <w:tcPr>
            <w:tcW w:w="4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4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March 31, 2020</w:t>
            </w:r>
          </w:p>
        </w:tc>
        <w:tc>
          <w:tcPr>
            <w:tcW w:w="5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216,344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3110"/>
              <w:spacing w:after="0"/>
              <w:rPr>
                <w:sz w:val="20"/>
                <w:szCs w:val="20"/>
                <w:color w:val="auto"/>
              </w:rPr>
            </w:pPr>
            <w:r>
              <w:rPr>
                <w:rFonts w:ascii="Arial" w:cs="Arial" w:eastAsia="Arial" w:hAnsi="Arial"/>
                <w:sz w:val="18"/>
                <w:szCs w:val="18"/>
                <w:color w:val="auto"/>
              </w:rPr>
              <w:t>- 34-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4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nine months ended March 31,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June 30, 2019</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241,898</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8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7"/>
        </w:trPr>
        <w:tc>
          <w:tcPr>
            <w:tcW w:w="9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credit facility capacity constraint</w:t>
            </w: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(12,606)</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Increase in net borrowings on credit facility</w:t>
            </w:r>
          </w:p>
        </w:tc>
        <w:tc>
          <w:tcPr>
            <w:tcW w:w="8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(4,210)</w:t>
            </w:r>
          </w:p>
        </w:tc>
      </w:tr>
      <w:tr>
        <w:trPr>
          <w:trHeight w:val="27"/>
        </w:trPr>
        <w:tc>
          <w:tcPr>
            <w:tcW w:w="9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letters of credit outstanding</w:t>
            </w: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669</w:t>
            </w:r>
          </w:p>
        </w:tc>
      </w:tr>
      <w:tr>
        <w:trPr>
          <w:trHeight w:val="27"/>
        </w:trPr>
        <w:tc>
          <w:tcPr>
            <w:tcW w:w="9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as of March 31, 2020</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216,344</w:t>
            </w:r>
          </w:p>
        </w:tc>
      </w:tr>
      <w:tr>
        <w:trPr>
          <w:trHeight w:val="20"/>
        </w:trPr>
        <w:tc>
          <w:tcPr>
            <w:tcW w:w="9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detailed discussion of our credit agreement is provided under the caption "Senior Secured Revolving Credit Facility" included in the Liquidity and Capital Resources section of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30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46" w:lineRule="exact"/>
        <w:rPr>
          <w:rFonts w:ascii="Arial" w:cs="Arial" w:eastAsia="Arial" w:hAnsi="Arial"/>
          <w:sz w:val="17"/>
          <w:szCs w:val="17"/>
          <w:color w:val="auto"/>
        </w:rPr>
      </w:pPr>
    </w:p>
    <w:p>
      <w:pPr>
        <w:ind w:left="1620" w:right="780" w:hanging="316"/>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140" w:hanging="316"/>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Some fixed price customer contracts allow for significant upfront billings at the beginning of a project, which temporarily increases liquidity near term.</w:t>
      </w:r>
    </w:p>
    <w:p>
      <w:pPr>
        <w:spacing w:after="0" w:line="170" w:lineRule="exact"/>
        <w:rPr>
          <w:rFonts w:ascii="Arial" w:cs="Arial" w:eastAsia="Arial" w:hAnsi="Arial"/>
          <w:sz w:val="18"/>
          <w:szCs w:val="18"/>
          <w:color w:val="auto"/>
        </w:rPr>
      </w:pPr>
    </w:p>
    <w:p>
      <w:pPr>
        <w:ind w:left="1620" w:right="120" w:hanging="316"/>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right="240" w:hanging="316"/>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Collection issues, including those caused by weak commodity prices, economic slowdowns or other factors which can lead to credit deterioration of our customers.</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Issuances of letters of credit.</w:t>
      </w:r>
    </w:p>
    <w:p>
      <w:pPr>
        <w:spacing w:after="0" w:line="225" w:lineRule="exact"/>
        <w:rPr>
          <w:rFonts w:ascii="Arial" w:cs="Arial" w:eastAsia="Arial" w:hAnsi="Arial"/>
          <w:sz w:val="18"/>
          <w:szCs w:val="18"/>
          <w:color w:val="auto"/>
        </w:rPr>
      </w:pPr>
    </w:p>
    <w:p>
      <w:pPr>
        <w:ind w:left="5560" w:hanging="108"/>
        <w:spacing w:after="0"/>
        <w:tabs>
          <w:tab w:leader="none" w:pos="5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35-</w:t>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Nine Months Ended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for the nine months ended March 31, 2020 totaled $31.5 million. The various components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19"/>
                <w:szCs w:val="19"/>
                <w:color w:val="auto"/>
              </w:rPr>
            </w:pPr>
          </w:p>
        </w:tc>
        <w:tc>
          <w:tcPr>
            <w:tcW w:w="6580" w:type="dxa"/>
            <w:vAlign w:val="bottom"/>
            <w:gridSpan w:val="2"/>
          </w:tcPr>
          <w:p>
            <w:pPr>
              <w:jc w:val="right"/>
              <w:ind w:right="3040"/>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94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6580" w:type="dxa"/>
            <w:vAlign w:val="bottom"/>
            <w:gridSpan w:val="2"/>
          </w:tcPr>
          <w:p>
            <w:pPr>
              <w:jc w:val="right"/>
              <w:ind w:right="4160"/>
              <w:spacing w:after="0"/>
              <w:rPr>
                <w:sz w:val="20"/>
                <w:szCs w:val="20"/>
                <w:color w:val="auto"/>
              </w:rPr>
            </w:pPr>
            <w:r>
              <w:rPr>
                <w:rFonts w:ascii="Arial" w:cs="Arial" w:eastAsia="Arial" w:hAnsi="Arial"/>
                <w:sz w:val="18"/>
                <w:szCs w:val="18"/>
                <w:color w:val="auto"/>
              </w:rPr>
              <w:t>(In thousands)</w:t>
            </w:r>
          </w:p>
        </w:tc>
        <w:tc>
          <w:tcPr>
            <w:tcW w:w="940" w:type="dxa"/>
            <w:vAlign w:val="bottom"/>
          </w:tcPr>
          <w:p>
            <w:pPr>
              <w:spacing w:after="0"/>
              <w:rPr>
                <w:sz w:val="20"/>
                <w:szCs w:val="20"/>
                <w:color w:val="auto"/>
              </w:rPr>
            </w:pPr>
          </w:p>
        </w:tc>
      </w:tr>
      <w:tr>
        <w:trPr>
          <w:trHeight w:val="324"/>
        </w:trPr>
        <w:tc>
          <w:tcPr>
            <w:tcW w:w="37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6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25,919</w:t>
            </w:r>
          </w:p>
        </w:tc>
      </w:tr>
      <w:tr>
        <w:trPr>
          <w:trHeight w:val="27"/>
        </w:trPr>
        <w:tc>
          <w:tcPr>
            <w:tcW w:w="37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Goodwill and other intangible asset impairment</w:t>
            </w:r>
          </w:p>
        </w:tc>
        <w:tc>
          <w:tcPr>
            <w:tcW w:w="6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38,515</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Deferred income tax</w:t>
            </w:r>
          </w:p>
        </w:tc>
        <w:tc>
          <w:tcPr>
            <w:tcW w:w="6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(3,091)</w:t>
            </w:r>
          </w:p>
        </w:tc>
      </w:tr>
      <w:tr>
        <w:trPr>
          <w:trHeight w:val="27"/>
        </w:trPr>
        <w:tc>
          <w:tcPr>
            <w:tcW w:w="37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w:t>
            </w:r>
          </w:p>
        </w:tc>
        <w:tc>
          <w:tcPr>
            <w:tcW w:w="6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372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31,487</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 at March 31, 2020 in comparison to June 30, 2019 include the following:</w:t>
      </w:r>
    </w:p>
    <w:p>
      <w:pPr>
        <w:spacing w:after="0" w:line="225" w:lineRule="exact"/>
        <w:rPr>
          <w:sz w:val="20"/>
          <w:szCs w:val="20"/>
          <w:color w:val="auto"/>
        </w:rPr>
      </w:pPr>
    </w:p>
    <w:p>
      <w:pPr>
        <w:ind w:left="980" w:right="20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Accounts receivable, net of bad debt expense recognized during the period, decreased $7.9 million during the nine months ended March 31, 2020, which increased cash flows from operating activities. The variance is primarily attributable to the timing of billing and collections.</w:t>
      </w:r>
    </w:p>
    <w:p>
      <w:pPr>
        <w:spacing w:after="0" w:line="123" w:lineRule="exact"/>
        <w:rPr>
          <w:rFonts w:ascii="Arial" w:cs="Arial" w:eastAsia="Arial" w:hAnsi="Arial"/>
          <w:sz w:val="16"/>
          <w:szCs w:val="16"/>
          <w:color w:val="auto"/>
        </w:rPr>
      </w:pPr>
    </w:p>
    <w:p>
      <w:pPr>
        <w:ind w:left="980" w:right="60" w:hanging="324"/>
        <w:spacing w:after="0" w:line="25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$39.2 million, which increased cash flows from operating activities. The decrease in CIE is primarily attributable to the timing of billings on a specific iron and steel project. Billings on uncompleted contracts in excess of costs and estimated earnings ("BIE") decreased $5.1 million, which decreased cash flows from operating activities. CIE and BIE balances can experience significant fluctuations based on the timing of when job costs are incurred and the invoicing of those job costs to the customer.</w:t>
      </w:r>
    </w:p>
    <w:p>
      <w:pPr>
        <w:spacing w:after="0" w:line="187" w:lineRule="exact"/>
        <w:rPr>
          <w:rFonts w:ascii="Arial" w:cs="Arial" w:eastAsia="Arial" w:hAnsi="Arial"/>
          <w:sz w:val="18"/>
          <w:szCs w:val="18"/>
          <w:color w:val="auto"/>
        </w:rPr>
      </w:pPr>
    </w:p>
    <w:p>
      <w:pPr>
        <w:ind w:left="980" w:right="2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Accounts payable and accrued expenses decreased by $50.2 million during the nine months ended March 31, 2020, which decreased cash flows from operating activities. The variance is primarily attributable to lower business volumes, the timing of vendor payments, the timing of incentive payments and other related payroll accruals.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activities used $16.6 million of cash in the nine months ended March 31, 2020 primarily due to $17.7 million of capital expenditures, partially offset by $1.0 million of proceeds from other assets sales. Capital expenditures consisted of: $7.4 million for transportation equipment, $4.7 million for software and office equipment, $4.4 million for construction and fabrication equipment, and $1.2 million for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activities used $16.1 million of cash in the nine months ended March 31, 2020 primarily due to stock repurchases of $17.0 million and the repurchase of $3.5 million of Company stock for payment of withholding taxes due on equity-based compensation. These uses of cash were partially offset by net borrowings of $4.2 million under the Company's Senior Secured Revolving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left="60"/>
        <w:spacing w:after="0" w:line="279" w:lineRule="auto"/>
        <w:rPr>
          <w:sz w:val="20"/>
          <w:szCs w:val="20"/>
          <w:color w:val="auto"/>
        </w:rPr>
      </w:pPr>
      <w:r>
        <w:rPr>
          <w:rFonts w:ascii="Arial" w:cs="Arial" w:eastAsia="Arial" w:hAnsi="Arial"/>
          <w:sz w:val="17"/>
          <w:szCs w:val="17"/>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240"/>
          </w:cols>
          <w:pgMar w:left="320" w:top="34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100" w:hanging="48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360" w:hanging="482"/>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30" w:lineRule="exact"/>
        <w:rPr>
          <w:sz w:val="20"/>
          <w:szCs w:val="20"/>
          <w:color w:val="auto"/>
        </w:rPr>
      </w:pPr>
    </w:p>
    <w:p>
      <w:pPr>
        <w:jc w:val="both"/>
        <w:ind w:left="60"/>
        <w:spacing w:after="0" w:line="263"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 The credit facility also includes a $200.0 million sublimit for total letters of credit.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March 31, 2020, Covenant EBITDA was $64.4 million. Consolidated Funded Indebtedness at March 31, 2020 was $64.2 million.</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 EBITDA differs from Adjusted EBITDA, as reported under "Results of Operations - Non-GAAP Financial Measure," primarily because it permits the Company to:</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w:t>
      </w:r>
    </w:p>
    <w:p>
      <w:pPr>
        <w:spacing w:after="0" w:line="225" w:lineRule="exact"/>
        <w:rPr>
          <w:rFonts w:ascii="Arial" w:cs="Arial" w:eastAsia="Arial" w:hAnsi="Arial"/>
          <w:sz w:val="18"/>
          <w:szCs w:val="18"/>
          <w:color w:val="auto"/>
        </w:rPr>
      </w:pPr>
    </w:p>
    <w:p>
      <w:pPr>
        <w:ind w:left="5560" w:hanging="108"/>
        <w:spacing w:after="0"/>
        <w:tabs>
          <w:tab w:leader="none" w:pos="55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37-</w:t>
      </w:r>
    </w:p>
    <w:p>
      <w:pPr>
        <w:sectPr>
          <w:pgSz w:w="11900" w:h="16838" w:orient="portrait"/>
          <w:cols w:equalWidth="0" w:num="1">
            <w:col w:w="11240"/>
          </w:cols>
          <w:pgMar w:left="320" w:top="34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March 31, 2020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7"/>
                <w:szCs w:val="17"/>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300,000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106,929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94,323</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193,071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205,677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55,342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48,147</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8,888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5,347</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128,841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152,183</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0"/>
        <w:spacing w:after="0" w:line="438" w:lineRule="auto"/>
        <w:rPr>
          <w:sz w:val="20"/>
          <w:szCs w:val="20"/>
          <w:color w:val="auto"/>
        </w:rPr>
      </w:pPr>
      <w:r>
        <w:rPr>
          <w:rFonts w:ascii="Arial" w:cs="Arial" w:eastAsia="Arial" w:hAnsi="Arial"/>
          <w:sz w:val="18"/>
          <w:szCs w:val="18"/>
          <w:color w:val="auto"/>
        </w:rPr>
        <w:t xml:space="preserve">At March 31, 2020, the Company was in compliance with all affirmative, negative, and financial covenants under the Credit Agreement. </w:t>
      </w:r>
      <w:r>
        <w:rPr>
          <w:rFonts w:ascii="Arial" w:cs="Arial" w:eastAsia="Arial" w:hAnsi="Arial"/>
          <w:sz w:val="18"/>
          <w:szCs w:val="18"/>
          <w:b w:val="1"/>
          <w:bCs w:val="1"/>
          <w:color w:val="auto"/>
        </w:rPr>
        <w:t>Dividend Policy</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6, 2018, the Board of Directors approved a stock buyback program (the "November 2018 Program"), which replaced the previous program that had been in place since December 2016 and was set to expire in December 2018.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The Company repurchased 547,606 shares for $7.1 million during the three months ended March 31, 2020 and repurchased 1,047,606 shares for $17.0 million during the nine months ended March 31, 2020. There were 1,349,037 shares available for repurchase under the November 2018 Program as of March 31, 2020. In order to maintain its strong financial position in the current environment, the Company suspended all share repurchases beginning in early March 2020.</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1,756,862 treasury shares as of March 31, 2020 and intends to utilize these treasury shares in connection with equity awards under the Company’s stock incentive plans and for sales to the Employee Stock Purchase Plan.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right="1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- 38-</w:t>
      </w:r>
    </w:p>
    <w:p>
      <w:pPr>
        <w:sectPr>
          <w:pgSz w:w="11900" w:h="16838" w:orient="portrait"/>
          <w:cols w:equalWidth="0" w:num="1">
            <w:col w:w="11240"/>
          </w:cols>
          <w:pgMar w:left="320" w:top="341"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to our business of the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87" w:lineRule="exact"/>
        <w:rPr>
          <w:sz w:val="20"/>
          <w:szCs w:val="20"/>
          <w:color w:val="auto"/>
        </w:rPr>
      </w:pPr>
    </w:p>
    <w:p>
      <w:pPr>
        <w:ind w:left="980" w:right="6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2019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(including the length and severity of the current economic slowdown) and in the oil, natural gas, power, iron and steel, agricultural and mining industries in particular;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under-utilization of our work force;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COVID-19 concerns, permitting issues or other factors;</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natural gas, steel and other commodity prices to which our customers' businesses are affected;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laws or regulations, including the imposition or threatened imposition, cancellation or delay of tariffs on imported goods;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2019, filed with the Securities and Exchange Commission. For more information on market risk, see Part II, Item 7A in our fiscal 2019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w:t>
      </w:r>
    </w:p>
    <w:p>
      <w:pPr>
        <w:sectPr>
          <w:pgSz w:w="11900" w:h="16838" w:orient="portrait"/>
          <w:cols w:equalWidth="0" w:num="1">
            <w:col w:w="11240"/>
          </w:cols>
          <w:pgMar w:left="320" w:top="34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2020. Based on the foregoing, our Chief Executive Officer and Chief Financial Officer concluded that our disclosure controls and procedures were effective at the reasonable assurance level at March 31, 2020.</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COVID-19 pandemic, most of the Company's office staff transitioned to remote working environments by March 31, 2020 and remains in that environment through the date of this filing. The Company has assessed the impact of this working arrangement on its internal controls over financial reporting and has determined that, while the manner in which some controls are being performed has changed to accommodate remote work, none of the control activities have changed in substance and the controls are operating effectively. There have been no other changes in our internal controls over financial reporting that have materially affected, or are reasonably likely to materially affect our internal controls over financial reporting during the quarter ended March 31,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w:t>
      </w:r>
    </w:p>
    <w:p>
      <w:pPr>
        <w:sectPr>
          <w:pgSz w:w="11900" w:h="16838" w:orient="portrait"/>
          <w:cols w:equalWidth="0" w:num="1">
            <w:col w:w="11240"/>
          </w:cols>
          <w:pgMar w:left="320" w:top="34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identified the following Risk Factor, which should be considered along with the Risk Factors reported in Item 1A of Part I of our Annual Report on Form 10-K for the fiscal year ended June 30, 2019. Except as set forth below, there have been no material changes to the risk factors involving us from those previously disclosed in Item 1A of our Annual Report on Form 10-K for the fiscal year ended June 30, 2019.</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recent COVID-19 pandemic and related economic repercussions have had, and are expected to continue to have, a significant impact on our business, and depending on the duration of the pandemic and its effect on the oil and gas and other industries, could have a material adverse effect on our business, liquidity, results of operations and financial condition.</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COVID-19 pandemic and related economic repercussions have created significant volatility, uncertainty, and turmoil in the industries we serve. These events have directly affected our business and have exacerbated the potential negative impact from many of the risks described in our Form 10-K for the year ended June 30, 2019, including those relating to our customers’ capital spending and trends in oil and natural gas prices.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nature and significance of the events described above, we are not able to enumerate all potential risks to our business; however, we believe that in addition to the impacts described above, other potential impacts of these recent events include, but are not limited to:</w:t>
      </w:r>
    </w:p>
    <w:p>
      <w:pPr>
        <w:spacing w:after="0" w:line="1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disruption to our supply chain for raw materials essential to our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notices from customers, suppliers and other third parties arguing that their non-performance under our contracts with them is permitted as a result of force majeure or other reasons;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challenges, including impacts related to delayed customer payments and payment defaults associated with customer liquidity issues and bankruptcies;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need to preserve liquidity, which could result in a delay or change in our capital investment plan;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cybersecurity issues, as digital technologies may become more vulnerable and experience a higher rate of cyberattacks in the current environment of remote connectivity;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risk and possible loss contingencies related to COVID-19 and its impact, including with respect to commercial contracts, employee matters and insurance arrangements;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 of our workforce to adjust to market conditions, including severance payments, retention issues, and an inability to hire employees when market conditions improve;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rationalization of our portfolio of real estate facilities, including exit of leases and facility closures to align with expected activity and workforce capacity;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asset impairments, including an impairment of the carrying value of our goodwill, along with other accounting charges as demand for our services and products decreases;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infections and quarantining of our employees and the personnel of our customers, suppliers and other third parties in areas in which we operate;</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regulation of the production of hydrocarbons, such as the imposition of limitations on the production of oil and gas by states or other jurisdictions, that may result in additional limits on demand for capital projects and our maintenance services;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undertaken by national, regional and local governments and health officials to contain the virus or treat its effects; and</w:t>
      </w:r>
    </w:p>
    <w:p>
      <w:pPr>
        <w:spacing w:after="0" w:line="225" w:lineRule="exact"/>
        <w:rPr>
          <w:rFonts w:ascii="Arial" w:cs="Arial" w:eastAsia="Arial" w:hAnsi="Arial"/>
          <w:sz w:val="18"/>
          <w:szCs w:val="18"/>
          <w:color w:val="auto"/>
        </w:rPr>
      </w:pPr>
    </w:p>
    <w:p>
      <w:pPr>
        <w:ind w:left="5560" w:hanging="108"/>
        <w:spacing w:after="0"/>
        <w:tabs>
          <w:tab w:leader="none" w:pos="55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41-</w:t>
      </w:r>
    </w:p>
    <w:p>
      <w:pPr>
        <w:sectPr>
          <w:pgSz w:w="11900" w:h="16838" w:orient="portrait"/>
          <w:cols w:equalWidth="0" w:num="1">
            <w:col w:w="11240"/>
          </w:cols>
          <w:pgMar w:left="320" w:top="34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structural shift in the global economy as a result of changes in the way people work, travel and interact, or in connection with a global recession.</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dynamic nature of these events, we cannot reasonably estimate the period of time that the COVID-19 pandemic and related market conditions will persist, the full extent of the impact they will have on our business, financial condition, results of operations or cash flows or the pace or extent of any subsequent recovery.</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confluence of events described above may have a significant impact on our business, and depending on the duration of the pandemic and its effect on the industries we serve, could have, a material adverse effect on our business, liquidity, consolidated results of operations and consolidated financial condition. For more information, see “Management’s Discussion and Analysis of Financial Condition and Results of Operations - Operational Update.”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the Company of its common stock during the third quarter of fiscal year 2020.</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Plans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January 1 to January 31, 2020</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1,896,643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February 1 to February 29, 2020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 Program (A)</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247,687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1,648,956</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Employee Transactions (B)</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1 to March 31, 2020</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299,919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40" w:hanging="316"/>
        <w:spacing w:after="0" w:line="268"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described under the caption “Stock Repurchase Program and Treasury Shares” in the Liquidity and Capital Resources section of Part I, Item 2 of this Form 10-Q, on November 6, 2018, the Board of Directors approved a stock buyback program (the “November 2018 Program”), which replaced the December 2016 Program.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In order to maintain its strong financial position in the current environment, the Company suspended all share repurchases beginning in early March 2020.</w:t>
      </w:r>
    </w:p>
    <w:p>
      <w:pPr>
        <w:spacing w:after="0" w:line="399" w:lineRule="exact"/>
        <w:rPr>
          <w:rFonts w:ascii="Arial" w:cs="Arial" w:eastAsia="Arial" w:hAnsi="Arial"/>
          <w:sz w:val="17"/>
          <w:szCs w:val="17"/>
          <w:color w:val="auto"/>
        </w:rPr>
      </w:pPr>
    </w:p>
    <w:p>
      <w:pPr>
        <w:ind w:left="5560" w:hanging="108"/>
        <w:spacing w:after="0"/>
        <w:tabs>
          <w:tab w:leader="none" w:pos="55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42-</w:t>
      </w:r>
    </w:p>
    <w:p>
      <w:pPr>
        <w:sectPr>
          <w:pgSz w:w="11900" w:h="16838" w:orient="portrait"/>
          <w:cols w:equalWidth="0" w:num="1">
            <w:col w:w="11240"/>
          </w:cols>
          <w:pgMar w:left="320" w:top="34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7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72"/>
        </w:trPr>
        <w:tc>
          <w:tcPr>
            <w:tcW w:w="214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8780" w:type="dxa"/>
            <w:vAlign w:val="bottom"/>
            <w:gridSpan w:val="6"/>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Separation Agreement and Release (filed as Exhibit 10.1 to our current report on Form 8-K filed on April 3, 2020 and</w:t>
              </w:r>
            </w:hyperlink>
          </w:p>
        </w:tc>
      </w:tr>
      <w:tr>
        <w:trPr>
          <w:trHeight w:val="196"/>
        </w:trPr>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incorporated by reference herein).</w:t>
              </w:r>
            </w:hyperlink>
          </w:p>
        </w:tc>
        <w:tc>
          <w:tcPr>
            <w:tcW w:w="300" w:type="dxa"/>
            <w:vAlign w:val="bottom"/>
          </w:tcPr>
          <w:p>
            <w:pPr>
              <w:spacing w:after="0"/>
              <w:rPr>
                <w:sz w:val="17"/>
                <w:szCs w:val="17"/>
                <w:color w:val="auto"/>
              </w:rPr>
            </w:pPr>
          </w:p>
        </w:tc>
      </w:tr>
      <w:tr>
        <w:trPr>
          <w:trHeight w:val="20"/>
        </w:trPr>
        <w:tc>
          <w:tcPr>
            <w:tcW w:w="2140" w:type="dxa"/>
            <w:vAlign w:val="bottom"/>
            <w:gridSpan w:val="3"/>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72"/>
        </w:trPr>
        <w:tc>
          <w:tcPr>
            <w:tcW w:w="2140" w:type="dxa"/>
            <w:vAlign w:val="bottom"/>
            <w:gridSpan w:val="3"/>
          </w:tcPr>
          <w:p>
            <w:pPr>
              <w:spacing w:after="0"/>
              <w:rPr>
                <w:sz w:val="20"/>
                <w:szCs w:val="20"/>
                <w:color w:val="auto"/>
              </w:rPr>
            </w:pPr>
            <w:r>
              <w:rPr>
                <w:rFonts w:ascii="Arial" w:cs="Arial" w:eastAsia="Arial" w:hAnsi="Arial"/>
                <w:sz w:val="18"/>
                <w:szCs w:val="18"/>
                <w:color w:val="auto"/>
              </w:rPr>
              <w:t>Exhibit 10.2:</w:t>
            </w:r>
          </w:p>
        </w:tc>
        <w:tc>
          <w:tcPr>
            <w:tcW w:w="8260" w:type="dxa"/>
            <w:vAlign w:val="bottom"/>
            <w:tcBorders>
              <w:bottom w:val="single" w:sz="8" w:color="0000FF"/>
            </w:tcBorders>
            <w:gridSpan w:val="4"/>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Consulting Services Agreement (filed as Exhibit 10.2 to our current report on Form 8-K filed on April 3, 2020 and</w:t>
              </w:r>
            </w:hyperlink>
          </w:p>
        </w:tc>
        <w:tc>
          <w:tcPr>
            <w:tcW w:w="520" w:type="dxa"/>
            <w:vAlign w:val="bottom"/>
            <w:gridSpan w:val="2"/>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780" w:type="dxa"/>
            <w:vAlign w:val="bottom"/>
            <w:gridSpan w:val="6"/>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incorporated by reference herein).</w:t>
              </w:r>
            </w:hyperlink>
          </w:p>
        </w:tc>
      </w:tr>
      <w:tr>
        <w:trPr>
          <w:trHeight w:val="20"/>
        </w:trPr>
        <w:tc>
          <w:tcPr>
            <w:tcW w:w="2140" w:type="dxa"/>
            <w:vAlign w:val="bottom"/>
            <w:gridSpan w:val="3"/>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r>
      <w:tr>
        <w:trPr>
          <w:trHeight w:val="412"/>
        </w:trPr>
        <w:tc>
          <w:tcPr>
            <w:tcW w:w="214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8780" w:type="dxa"/>
            <w:vAlign w:val="bottom"/>
            <w:gridSpan w:val="6"/>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 Pursuant to Section 302 of Sarbanes-Oxley Act of 2002 – CEO.</w:t>
              </w:r>
            </w:hyperlink>
          </w:p>
        </w:tc>
      </w:tr>
      <w:tr>
        <w:trPr>
          <w:trHeight w:val="392"/>
        </w:trPr>
        <w:tc>
          <w:tcPr>
            <w:tcW w:w="214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8780" w:type="dxa"/>
            <w:vAlign w:val="bottom"/>
            <w:gridSpan w:val="6"/>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Pursuant to Section 302 of Sarbanes-Oxley Act of 2002 – CFO.</w:t>
              </w:r>
            </w:hyperlink>
          </w:p>
        </w:tc>
      </w:tr>
      <w:tr>
        <w:trPr>
          <w:trHeight w:val="391"/>
        </w:trPr>
        <w:tc>
          <w:tcPr>
            <w:tcW w:w="214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8780" w:type="dxa"/>
            <w:vAlign w:val="bottom"/>
            <w:gridSpan w:val="6"/>
          </w:tcPr>
          <w:p>
            <w:pPr>
              <w:spacing w:after="0"/>
              <w:rPr>
                <w:rFonts w:ascii="Arial" w:cs="Arial" w:eastAsia="Arial" w:hAnsi="Arial"/>
                <w:sz w:val="18"/>
                <w:szCs w:val="18"/>
                <w:color w:val="0000FF"/>
              </w:rPr>
            </w:pPr>
            <w:hyperlink w:anchor="page49">
              <w:r>
                <w:rPr>
                  <w:rFonts w:ascii="Arial" w:cs="Arial" w:eastAsia="Arial" w:hAnsi="Arial"/>
                  <w:sz w:val="18"/>
                  <w:szCs w:val="18"/>
                  <w:u w:val="single" w:color="auto"/>
                  <w:color w:val="0000FF"/>
                </w:rPr>
                <w:t>Certification Pursuant to 18 U.S.C. 1350 (section 906 of Sarbanes-Oxley Act of 2002) – CEO</w:t>
              </w:r>
              <w:r>
                <w:rPr>
                  <w:rFonts w:ascii="Arial" w:cs="Arial" w:eastAsia="Arial" w:hAnsi="Arial"/>
                  <w:sz w:val="18"/>
                  <w:szCs w:val="18"/>
                  <w:color w:val="0000FF"/>
                </w:rPr>
                <w:t>.</w:t>
              </w:r>
            </w:hyperlink>
          </w:p>
        </w:tc>
      </w:tr>
      <w:tr>
        <w:trPr>
          <w:trHeight w:val="392"/>
        </w:trPr>
        <w:tc>
          <w:tcPr>
            <w:tcW w:w="214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8780" w:type="dxa"/>
            <w:vAlign w:val="bottom"/>
            <w:gridSpan w:val="6"/>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Pursuant to 18 U.S.C. 1350 (section 906 of Sarbanes-Oxley Act of 2002) – CFO.</w:t>
              </w:r>
            </w:hyperlink>
          </w:p>
        </w:tc>
      </w:tr>
      <w:tr>
        <w:trPr>
          <w:trHeight w:val="391"/>
        </w:trPr>
        <w:tc>
          <w:tcPr>
            <w:tcW w:w="2140" w:type="dxa"/>
            <w:vAlign w:val="bottom"/>
            <w:gridSpan w:val="3"/>
          </w:tcPr>
          <w:p>
            <w:pPr>
              <w:spacing w:after="0"/>
              <w:rPr>
                <w:sz w:val="20"/>
                <w:szCs w:val="20"/>
                <w:color w:val="auto"/>
              </w:rPr>
            </w:pPr>
            <w:r>
              <w:rPr>
                <w:rFonts w:ascii="Arial" w:cs="Arial" w:eastAsia="Arial" w:hAnsi="Arial"/>
                <w:sz w:val="18"/>
                <w:szCs w:val="18"/>
                <w:color w:val="auto"/>
              </w:rPr>
              <w:t>Exhibit 95:</w:t>
            </w:r>
          </w:p>
        </w:tc>
        <w:tc>
          <w:tcPr>
            <w:tcW w:w="8780" w:type="dxa"/>
            <w:vAlign w:val="bottom"/>
            <w:gridSpan w:val="6"/>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Mine Safety Disclosure.</w:t>
              </w:r>
            </w:hyperlink>
          </w:p>
        </w:tc>
      </w:tr>
      <w:tr>
        <w:trPr>
          <w:trHeight w:val="377"/>
        </w:trPr>
        <w:tc>
          <w:tcPr>
            <w:tcW w:w="2140" w:type="dxa"/>
            <w:vAlign w:val="bottom"/>
            <w:gridSpan w:val="3"/>
          </w:tcPr>
          <w:p>
            <w:pPr>
              <w:spacing w:after="0"/>
              <w:rPr>
                <w:sz w:val="20"/>
                <w:szCs w:val="20"/>
                <w:color w:val="auto"/>
              </w:rPr>
            </w:pPr>
            <w:r>
              <w:rPr>
                <w:rFonts w:ascii="Arial" w:cs="Arial" w:eastAsia="Arial" w:hAnsi="Arial"/>
                <w:sz w:val="18"/>
                <w:szCs w:val="18"/>
                <w:color w:val="auto"/>
              </w:rPr>
              <w:t>Exhibit 101.INS:</w:t>
            </w:r>
          </w:p>
        </w:tc>
        <w:tc>
          <w:tcPr>
            <w:tcW w:w="8780" w:type="dxa"/>
            <w:vAlign w:val="bottom"/>
            <w:gridSpan w:val="6"/>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91"/>
        </w:trPr>
        <w:tc>
          <w:tcPr>
            <w:tcW w:w="2140" w:type="dxa"/>
            <w:vAlign w:val="bottom"/>
            <w:gridSpan w:val="3"/>
          </w:tcPr>
          <w:p>
            <w:pPr>
              <w:spacing w:after="0"/>
              <w:rPr>
                <w:sz w:val="20"/>
                <w:szCs w:val="20"/>
                <w:color w:val="auto"/>
              </w:rPr>
            </w:pPr>
            <w:r>
              <w:rPr>
                <w:rFonts w:ascii="Arial" w:cs="Arial" w:eastAsia="Arial" w:hAnsi="Arial"/>
                <w:sz w:val="18"/>
                <w:szCs w:val="18"/>
                <w:color w:val="auto"/>
              </w:rPr>
              <w:t>Exhibit 101.SCH:</w:t>
            </w:r>
          </w:p>
        </w:tc>
        <w:tc>
          <w:tcPr>
            <w:tcW w:w="8780" w:type="dxa"/>
            <w:vAlign w:val="bottom"/>
            <w:gridSpan w:val="6"/>
          </w:tcPr>
          <w:p>
            <w:pPr>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2140" w:type="dxa"/>
            <w:vAlign w:val="bottom"/>
            <w:gridSpan w:val="3"/>
          </w:tcPr>
          <w:p>
            <w:pPr>
              <w:spacing w:after="0"/>
              <w:rPr>
                <w:sz w:val="20"/>
                <w:szCs w:val="20"/>
                <w:color w:val="auto"/>
              </w:rPr>
            </w:pPr>
            <w:r>
              <w:rPr>
                <w:rFonts w:ascii="Arial" w:cs="Arial" w:eastAsia="Arial" w:hAnsi="Arial"/>
                <w:sz w:val="18"/>
                <w:szCs w:val="18"/>
                <w:color w:val="auto"/>
              </w:rPr>
              <w:t>Exhibit 101.CAL:</w:t>
            </w:r>
          </w:p>
        </w:tc>
        <w:tc>
          <w:tcPr>
            <w:tcW w:w="87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1"/>
        </w:trPr>
        <w:tc>
          <w:tcPr>
            <w:tcW w:w="2140" w:type="dxa"/>
            <w:vAlign w:val="bottom"/>
            <w:gridSpan w:val="3"/>
          </w:tcPr>
          <w:p>
            <w:pPr>
              <w:spacing w:after="0"/>
              <w:rPr>
                <w:sz w:val="20"/>
                <w:szCs w:val="20"/>
                <w:color w:val="auto"/>
              </w:rPr>
            </w:pPr>
            <w:r>
              <w:rPr>
                <w:rFonts w:ascii="Arial" w:cs="Arial" w:eastAsia="Arial" w:hAnsi="Arial"/>
                <w:sz w:val="18"/>
                <w:szCs w:val="18"/>
                <w:color w:val="auto"/>
              </w:rPr>
              <w:t>Exhibit 101.DEF:</w:t>
            </w:r>
          </w:p>
        </w:tc>
        <w:tc>
          <w:tcPr>
            <w:tcW w:w="87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1"/>
        </w:trPr>
        <w:tc>
          <w:tcPr>
            <w:tcW w:w="2140" w:type="dxa"/>
            <w:vAlign w:val="bottom"/>
            <w:gridSpan w:val="3"/>
          </w:tcPr>
          <w:p>
            <w:pPr>
              <w:spacing w:after="0"/>
              <w:rPr>
                <w:sz w:val="20"/>
                <w:szCs w:val="20"/>
                <w:color w:val="auto"/>
              </w:rPr>
            </w:pPr>
            <w:r>
              <w:rPr>
                <w:rFonts w:ascii="Arial" w:cs="Arial" w:eastAsia="Arial" w:hAnsi="Arial"/>
                <w:sz w:val="18"/>
                <w:szCs w:val="18"/>
                <w:color w:val="auto"/>
              </w:rPr>
              <w:t>Exhibit 101.LAB:</w:t>
            </w:r>
          </w:p>
        </w:tc>
        <w:tc>
          <w:tcPr>
            <w:tcW w:w="878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1"/>
        </w:trPr>
        <w:tc>
          <w:tcPr>
            <w:tcW w:w="2140" w:type="dxa"/>
            <w:vAlign w:val="bottom"/>
            <w:gridSpan w:val="3"/>
          </w:tcPr>
          <w:p>
            <w:pPr>
              <w:spacing w:after="0"/>
              <w:rPr>
                <w:sz w:val="20"/>
                <w:szCs w:val="20"/>
                <w:color w:val="auto"/>
              </w:rPr>
            </w:pPr>
            <w:r>
              <w:rPr>
                <w:rFonts w:ascii="Arial" w:cs="Arial" w:eastAsia="Arial" w:hAnsi="Arial"/>
                <w:sz w:val="18"/>
                <w:szCs w:val="18"/>
                <w:color w:val="auto"/>
              </w:rPr>
              <w:t>Exhibit 101.PRE:</w:t>
            </w:r>
          </w:p>
        </w:tc>
        <w:tc>
          <w:tcPr>
            <w:tcW w:w="87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1"/>
        </w:trPr>
        <w:tc>
          <w:tcPr>
            <w:tcW w:w="2140" w:type="dxa"/>
            <w:vAlign w:val="bottom"/>
            <w:gridSpan w:val="3"/>
          </w:tcPr>
          <w:p>
            <w:pPr>
              <w:spacing w:after="0"/>
              <w:rPr>
                <w:sz w:val="20"/>
                <w:szCs w:val="20"/>
                <w:color w:val="auto"/>
              </w:rPr>
            </w:pPr>
            <w:r>
              <w:rPr>
                <w:rFonts w:ascii="Arial" w:cs="Arial" w:eastAsia="Arial" w:hAnsi="Arial"/>
                <w:sz w:val="18"/>
                <w:szCs w:val="18"/>
                <w:color w:val="auto"/>
              </w:rPr>
              <w:t>Exhibit 104</w:t>
            </w:r>
          </w:p>
        </w:tc>
        <w:tc>
          <w:tcPr>
            <w:tcW w:w="878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59"/>
        </w:trPr>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80" w:type="dxa"/>
            <w:vAlign w:val="bottom"/>
            <w:gridSpan w:val="2"/>
          </w:tcPr>
          <w:p>
            <w:pPr>
              <w:ind w:left="3280"/>
              <w:spacing w:after="0"/>
              <w:rPr>
                <w:sz w:val="20"/>
                <w:szCs w:val="20"/>
                <w:color w:val="auto"/>
              </w:rPr>
            </w:pPr>
            <w:r>
              <w:rPr>
                <w:rFonts w:ascii="Arial" w:cs="Arial" w:eastAsia="Arial" w:hAnsi="Arial"/>
                <w:sz w:val="18"/>
                <w:szCs w:val="18"/>
                <w:color w:val="auto"/>
              </w:rPr>
              <w:t>- 43-</w:t>
            </w:r>
          </w:p>
        </w:tc>
        <w:tc>
          <w:tcPr>
            <w:tcW w:w="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57" w:lineRule="exact"/>
        <w:rPr>
          <w:sz w:val="20"/>
          <w:szCs w:val="20"/>
          <w:color w:val="auto"/>
        </w:rPr>
      </w:pPr>
    </w:p>
    <w:p>
      <w:pPr>
        <w:ind w:left="4760" w:right="30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w:t>
      </w:r>
    </w:p>
    <w:p>
      <w:pPr>
        <w:sectPr>
          <w:pgSz w:w="11900" w:h="16838" w:orient="portrait"/>
          <w:cols w:equalWidth="0" w:num="1">
            <w:col w:w="11240"/>
          </w:cols>
          <w:pgMar w:left="320" w:top="34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20" w:hanging="640"/>
        <w:spacing w:after="0" w:line="342" w:lineRule="auto"/>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7,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8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20" w:hanging="640"/>
        <w:spacing w:after="0" w:line="342" w:lineRule="auto"/>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Date:</w:t>
        <w:tab/>
        <w:t>May 7,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457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55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2020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7,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802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2020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Date:</w:t>
        <w:tab/>
        <w:t>May 7,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457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553" w:right="339" w:bottom="1440" w:gutter="0" w:footer="0" w:header="0"/>
        </w:sectPr>
      </w:pPr>
    </w:p>
    <w:bookmarkStart w:id="50" w:name="page51"/>
    <w:bookmarkEnd w:id="50"/>
    <w:p>
      <w:pPr>
        <w:jc w:val="right"/>
        <w:ind w:right="20"/>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March 31, 2020:</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2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Total Number</w:t>
            </w:r>
          </w:p>
        </w:tc>
        <w:tc>
          <w:tcPr>
            <w:tcW w:w="88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of Potential to</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of Legal</w:t>
            </w:r>
          </w:p>
        </w:tc>
        <w:tc>
          <w:tcPr>
            <w:tcW w:w="8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Actions</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Mine or Operating</w:t>
            </w:r>
          </w:p>
        </w:tc>
        <w:tc>
          <w:tcPr>
            <w:tcW w:w="9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8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Section</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Pending as of</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Legal Actions</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Name/MSHA</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Section 104 S&amp;S</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Citations and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107(a)</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4"/>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Section 104(e)</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Section 104(e)</w:t>
            </w:r>
            <w:r>
              <w:rPr>
                <w:rFonts w:ascii="Arial" w:cs="Arial" w:eastAsia="Arial" w:hAnsi="Arial"/>
                <w:sz w:val="8"/>
                <w:szCs w:val="8"/>
                <w:color w:val="auto"/>
                <w:w w:val="90"/>
              </w:rPr>
              <w:t>(7)</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Last Day of</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Resolved During</w:t>
            </w:r>
          </w:p>
        </w:tc>
        <w:tc>
          <w:tcPr>
            <w:tcW w:w="0" w:type="dxa"/>
            <w:vAlign w:val="bottom"/>
          </w:tcPr>
          <w:p>
            <w:pPr>
              <w:spacing w:after="0"/>
              <w:rPr>
                <w:sz w:val="1"/>
                <w:szCs w:val="1"/>
                <w:color w:val="auto"/>
              </w:rPr>
            </w:pPr>
          </w:p>
        </w:tc>
      </w:tr>
      <w:tr>
        <w:trPr>
          <w:trHeight w:val="136"/>
        </w:trPr>
        <w:tc>
          <w:tcPr>
            <w:tcW w:w="112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4"/>
              </w:rPr>
              <w:t>Identification Number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Citations</w:t>
            </w:r>
            <w:r>
              <w:rPr>
                <w:rFonts w:ascii="Arial" w:cs="Arial" w:eastAsia="Arial" w:hAnsi="Arial"/>
                <w:sz w:val="8"/>
                <w:szCs w:val="8"/>
                <w:color w:val="auto"/>
                <w:w w:val="91"/>
              </w:rPr>
              <w:t>(1)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Violations</w:t>
            </w:r>
            <w:r>
              <w:rPr>
                <w:rFonts w:ascii="Arial" w:cs="Arial" w:eastAsia="Arial" w:hAnsi="Arial"/>
                <w:sz w:val="8"/>
                <w:szCs w:val="8"/>
                <w:color w:val="auto"/>
                <w:w w:val="97"/>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 xml:space="preserve">(6) </w:t>
            </w:r>
            <w:r>
              <w:rPr>
                <w:rFonts w:ascii="Arial" w:cs="Arial" w:eastAsia="Arial" w:hAnsi="Arial"/>
                <w:sz w:val="10"/>
                <w:szCs w:val="10"/>
                <w:color w:val="auto"/>
              </w:rPr>
              <w:t>(yes/no)</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49"/>
        </w:trPr>
        <w:tc>
          <w:tcPr>
            <w:tcW w:w="112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Castle Mountain Gold</w:t>
            </w: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Mine, Equinox Gold</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6"/>
        </w:trPr>
        <w:tc>
          <w:tcPr>
            <w:tcW w:w="112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0"/>
              </w:rPr>
              <w:t>04-04918</w:t>
            </w: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12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2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0"/>
              </w:rPr>
              <w:t>Freeport McMoran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69"/>
        </w:trPr>
        <w:tc>
          <w:tcPr>
            <w:tcW w:w="1120" w:type="dxa"/>
            <w:vAlign w:val="bottom"/>
            <w:tcBorders>
              <w:left w:val="single" w:sz="8" w:color="auto"/>
              <w:right w:val="single" w:sz="8" w:color="auto"/>
            </w:tcBorders>
            <w:vMerge w:val="restart"/>
          </w:tcPr>
          <w:p>
            <w:pPr>
              <w:jc w:val="center"/>
              <w:ind w:left="6"/>
              <w:spacing w:after="0"/>
              <w:rPr>
                <w:sz w:val="20"/>
                <w:szCs w:val="20"/>
                <w:color w:val="auto"/>
              </w:rPr>
            </w:pPr>
            <w:r>
              <w:rPr>
                <w:rFonts w:ascii="Arial" w:cs="Arial" w:eastAsia="Arial" w:hAnsi="Arial"/>
                <w:sz w:val="11"/>
                <w:szCs w:val="11"/>
                <w:color w:val="auto"/>
                <w:w w:val="88"/>
              </w:rPr>
              <w:t>Safford Inc. 02-03131</w:t>
            </w:r>
          </w:p>
        </w:tc>
        <w:tc>
          <w:tcPr>
            <w:tcW w:w="90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2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2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180" w:hanging="252"/>
        <w:spacing w:after="0" w:line="273" w:lineRule="auto"/>
        <w:tabs>
          <w:tab w:leader="none" w:pos="221"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60"/>
      </w:cols>
      <w:pgMar w:left="320" w:top="7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lvl w:ilvl="1">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lvl w:ilvl="1">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lvl w:ilvl="1">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lvl w:ilvl="1">
      <w:lvlJc w:val="left"/>
      <w:lvlText w:val="•"/>
      <w:numFmt w:val="bullet"/>
      <w:start w:val="1"/>
    </w:lvl>
  </w:abstractNum>
  <w:abstractNum w:abstractNumId="15">
    <w:nsid w:val="6763845E"/>
    <w:multiLevelType w:val="hybridMultilevel"/>
    <w:lvl w:ilvl="0">
      <w:lvlJc w:val="left"/>
      <w:lvlText w:val="•"/>
      <w:numFmt w:val="bullet"/>
      <w:start w:val="1"/>
    </w:lvl>
    <w:lvl w:ilvl="1">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lvl w:ilvl="1">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lvl w:ilvl="1">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upperLetter"/>
      <w:start w:val="1"/>
    </w:lvl>
    <w:lvl w:ilvl="1">
      <w:lvlJc w:val="left"/>
      <w:lvlText w:val="-"/>
      <w:numFmt w:val="bullet"/>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28" Type="http://schemas.openxmlformats.org/officeDocument/2006/relationships/hyperlink" Target="http://www.sec.gov/Archives/edgar/data/866273/000086627320000009/exhibit101-separationa.htm" TargetMode="External"/><Relationship Id="rId29" Type="http://schemas.openxmlformats.org/officeDocument/2006/relationships/hyperlink" Target="http://www.sec.gov/Archives/edgar/data/866273/000086627320000009/exhibit102-consulting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2020-05-07T13:52:53Z</dcterms:created>
  <dcterms:modified xsi:type="dcterms:W3CDTF">2020-05-07T13:52:53Z</dcterms:modified>
</cp:coreProperties>
</file>