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15"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449"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449"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84" w:lineRule="exact"/>
        <w:rPr>
          <w:sz w:val="24"/>
          <w:szCs w:val="24"/>
          <w:color w:val="auto"/>
        </w:rPr>
      </w:pPr>
    </w:p>
    <w:p>
      <w:pPr>
        <w:sectPr>
          <w:pgSz w:w="11900" w:h="16838" w:orient="portrait"/>
          <w:cols w:equalWidth="0" w:num="2">
            <w:col w:w="6420" w:space="720"/>
            <w:col w:w="4240"/>
          </w:cols>
          <w:pgMar w:left="240" w:top="449"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rPr>
                <w:sz w:val="20"/>
                <w:szCs w:val="20"/>
                <w:color w:val="auto"/>
              </w:rPr>
            </w:pPr>
            <w:r>
              <w:rPr>
                <w:rFonts w:ascii="Arial" w:cs="Arial" w:eastAsia="Arial" w:hAnsi="Arial"/>
                <w:sz w:val="18"/>
                <w:szCs w:val="18"/>
                <w:color w:val="auto"/>
              </w:rPr>
              <w:t>o</w:t>
            </w:r>
          </w:p>
        </w:tc>
        <w:tc>
          <w:tcPr>
            <w:tcW w:w="496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60" w:type="dxa"/>
            <w:vAlign w:val="bottom"/>
          </w:tcPr>
          <w:p>
            <w:pPr>
              <w:ind w:left="500"/>
              <w:spacing w:after="0"/>
              <w:rPr>
                <w:sz w:val="20"/>
                <w:szCs w:val="20"/>
                <w:color w:val="auto"/>
              </w:rPr>
            </w:pPr>
            <w:r>
              <w:rPr>
                <w:rFonts w:ascii="Arial" w:cs="Arial" w:eastAsia="Arial" w:hAnsi="Arial"/>
                <w:sz w:val="18"/>
                <w:szCs w:val="18"/>
                <w:color w:val="auto"/>
              </w:rPr>
              <w:t>o</w:t>
            </w:r>
          </w:p>
        </w:tc>
        <w:tc>
          <w:tcPr>
            <w:tcW w:w="49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75" w:lineRule="exact"/>
        <w:rPr>
          <w:sz w:val="24"/>
          <w:szCs w:val="24"/>
          <w:color w:val="auto"/>
        </w:rPr>
      </w:pPr>
    </w:p>
    <w:p>
      <w:pPr>
        <w:jc w:val="both"/>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5, 2018 there were 27,888,217 shares of the Company’s common stock, $0.01 par value per share, issued and 26,817,064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rPr>
              <w:t>FINANCIAL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56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60" w:type="dxa"/>
            <w:vAlign w:val="bottom"/>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and Six Months Ended December 31, 2017 and 2016</w:t>
              </w:r>
            </w:hyperlink>
          </w:p>
        </w:tc>
        <w:tc>
          <w:tcPr>
            <w:tcW w:w="1300" w:type="dxa"/>
            <w:vAlign w:val="bottom"/>
            <w:gridSpan w:val="3"/>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 for the Three and Six Months Ended December 31, 2017 and 2016</w:t>
              </w:r>
            </w:hyperlink>
          </w:p>
        </w:tc>
        <w:tc>
          <w:tcPr>
            <w:tcW w:w="380" w:type="dxa"/>
            <w:vAlign w:val="bottom"/>
            <w:gridSpan w:val="2"/>
          </w:tcPr>
          <w:p>
            <w:pPr>
              <w:jc w:val="center"/>
              <w:ind w:left="21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40" w:type="dxa"/>
            <w:vAlign w:val="bottom"/>
            <w:gridSpan w:val="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December 31, 2017 and June 30, 2017</w:t>
              </w:r>
            </w:hyperlink>
          </w:p>
        </w:tc>
        <w:tc>
          <w:tcPr>
            <w:tcW w:w="328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60" w:type="dxa"/>
            <w:vAlign w:val="bottom"/>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and Six Months Ended December 31, 2017 and 2016</w:t>
              </w:r>
            </w:hyperlink>
          </w:p>
        </w:tc>
        <w:tc>
          <w:tcPr>
            <w:tcW w:w="1000" w:type="dxa"/>
            <w:vAlign w:val="bottom"/>
            <w:gridSpan w:val="2"/>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Stockholders’ Equity for the Three and Six Months Ended December 31, 2017</w:t>
              </w:r>
            </w:hyperlink>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60" w:type="dxa"/>
            <w:vAlign w:val="bottom"/>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and 2016</w:t>
              </w:r>
            </w:hyperlink>
          </w:p>
        </w:tc>
        <w:tc>
          <w:tcPr>
            <w:tcW w:w="380" w:type="dxa"/>
            <w:vAlign w:val="bottom"/>
            <w:gridSpan w:val="2"/>
          </w:tcPr>
          <w:p>
            <w:pPr>
              <w:jc w:val="center"/>
              <w:ind w:left="211"/>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560" w:type="dxa"/>
            <w:vAlign w:val="bottom"/>
            <w:gridSpan w:val="7"/>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2"/>
          </w:tcPr>
          <w:p>
            <w:pPr>
              <w:jc w:val="center"/>
              <w:ind w:left="111"/>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100" w:type="dxa"/>
            <w:vAlign w:val="bottom"/>
            <w:gridSpan w:val="4"/>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200" w:type="dxa"/>
            <w:vAlign w:val="bottom"/>
            <w:gridSpan w:val="6"/>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8"/>
          </w:tcPr>
          <w:p>
            <w:pPr>
              <w:jc w:val="center"/>
              <w:ind w:right="2480"/>
              <w:spacing w:after="0"/>
              <w:rPr>
                <w:sz w:val="20"/>
                <w:szCs w:val="20"/>
                <w:color w:val="auto"/>
              </w:rPr>
            </w:pPr>
            <w:r>
              <w:rPr>
                <w:rFonts w:ascii="Arial" w:cs="Arial" w:eastAsia="Arial" w:hAnsi="Arial"/>
                <w:sz w:val="18"/>
                <w:szCs w:val="18"/>
                <w:b w:val="1"/>
                <w:bCs w:val="1"/>
                <w:color w:val="auto"/>
              </w:rPr>
              <w:t>OTHER INFORMATION</w:t>
            </w: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Legal Proceedings</w:t>
              </w:r>
            </w:hyperlink>
          </w:p>
        </w:tc>
        <w:tc>
          <w:tcPr>
            <w:tcW w:w="8240" w:type="dxa"/>
            <w:vAlign w:val="bottom"/>
            <w:gridSpan w:val="11"/>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8240" w:type="dxa"/>
            <w:vAlign w:val="bottom"/>
            <w:gridSpan w:val="11"/>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Unregistered Sales of Equity Securities and Use of Proceeds</w:t>
              </w:r>
            </w:hyperlink>
          </w:p>
        </w:tc>
        <w:tc>
          <w:tcPr>
            <w:tcW w:w="5200" w:type="dxa"/>
            <w:vAlign w:val="bottom"/>
            <w:gridSpan w:val="6"/>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Defaults Upon Senior Securities</w:t>
              </w:r>
            </w:hyperlink>
          </w:p>
        </w:tc>
        <w:tc>
          <w:tcPr>
            <w:tcW w:w="5200" w:type="dxa"/>
            <w:vAlign w:val="bottom"/>
            <w:gridSpan w:val="6"/>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40" w:type="dxa"/>
            <w:vAlign w:val="bottom"/>
            <w:gridSpan w:val="9"/>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240" w:type="dxa"/>
            <w:vAlign w:val="bottom"/>
            <w:gridSpan w:val="9"/>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80" w:type="dxa"/>
            <w:vAlign w:val="bottom"/>
            <w:gridSpan w:val="10"/>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8240" w:type="dxa"/>
            <w:vAlign w:val="bottom"/>
            <w:gridSpan w:val="11"/>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654,436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256,208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284,443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497,227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593,946</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60,490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21,529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19,975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43,099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37,952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21,890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federal, state and foreign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14,592</w:t>
            </w: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78"/>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0.55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26,470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26,832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26,933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26,842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8,356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Foreign currency translation gain (loss) (net of tax of $20 and $36 for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the three and six months ended December 31, 2017, respectively, and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$69 and $106 for the three and six months ended December 31, 2016,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4,961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9,892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12,595</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(December 31, 2017— $6,342 and June 30, 2017—$9,887)</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183,451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210,953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91,180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3,737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4,913</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358,630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38,916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94,298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48,574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36,556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5,952</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219,867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224,296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(144,022)</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76,187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80,274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25,364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26,296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3,944</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557,866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586,030</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105,649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66,376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75,127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9,340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7,699</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218,976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secured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44,682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435</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264,221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December 31, 2017,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w w:val="93"/>
              </w:rPr>
              <w:t>and June 30, 2017; 26,811,676 and 26,600,562 shares outstanding as of December 31, 2017 and June 30, 2017</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128,419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231,330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222,974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w:t>
            </w: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354,056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344,348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Less: Treasury stock, at cost — 1,076,541 shares as of December 31, 2017, and 1,287,655 shares as of June 30,</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335,586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321,809</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557,866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586,030</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14,592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Adjustments to reconcile net income to net cash provided (used) by operating activities, net of effects from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9,988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3,547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increasing (decreasing) cash, net of effects from acquisitions: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(48,972)</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24,451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Other assets and liabilities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(34,276)</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4,883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operating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29,580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(30,908)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Acquisitions (Note 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(39,798)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asset sales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196</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(43,810)</w:t>
            </w:r>
          </w:p>
        </w:tc>
      </w:tr>
      <w:tr>
        <w:trPr>
          <w:trHeight w:val="27"/>
        </w:trPr>
        <w:tc>
          <w:tcPr>
            <w:tcW w:w="8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senior secured 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85,669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102,084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 of debt amendment fees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70,365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30,282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43,805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71,656</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74,087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66,230</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8,361</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64"/>
        </w:trPr>
        <w:tc>
          <w:tcPr>
            <w:tcW w:w="880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421</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Income(Loss)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128,419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222,974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321,809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8,356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8,356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Plan (12,283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(250,874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obligations (52,043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4,353</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December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128,235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231,330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(18,470)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335,586</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Balances, July 1, 2016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126,958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223,257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(26,907)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315,566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Retrospective adjustment upon adoption of ASU</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2016-09</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July 1, 2016, as adjusted</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127,058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223,157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315,566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14,592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(9,577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Exercise of stock options (21,713 shares)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(393,530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obligations (133,322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December 31,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124,659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237,749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(22,840)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(8,842)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329,829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Accounting Policies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2017, included in the Company’s Annual Report on Form 10-K for the year then ended. The results of operations for the six month period ended December 31, 2017 may not necessarily be indicative of the results of operations for the full year ending June 30,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 Early adoption is permitted on a limited basis.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currently evaluating the impact of adopting the ASU on the Company's financial position, results of operations, cash flows and related disclosures. Adoption of this ASU is expected to affect the manner in which the Company determines the unit of account for its projects (i.e., performance obligations). Under existing guidance, the Company may have multiple performance obligations for large, complex projects. Upon adoption, the Company expects that similar projects may have fewer performance obligations, possibly just one in some cases, which will result in a more constant recognition of revenue and profit over the term of the project. In addition, management expects that profit could be recognized earlier for contract amounts related to unapproved change orders and claims. The Company will adopt this standard on July 1, 2018 using the modified retrospective method of application, which may result in a cumulative effect adjustment to retained earnings as of the date of adoption.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developed its revised accounting policy for revenue recognition and continues to review its contracts in order to validate the new accounting policy and reassess its processes and internal controls. At this time, we cannot reliably estimate the amount of any potential retrospective adjustment.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ASU is effective for fiscal years beginning after December 15, 2018, including interim periods within those fiscal years. Early adoption is permitted, but we do not plan to do so at this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evaluating the ASU's expected impact on our financial statements. See Note 8 of Item 8. Financial Statements and Supplementary Data in our 2017 Form 10-K for more information about the timing and amount of future operating lease payments, which we believe is indicative of the materiality of adoption of the ASU to our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ASU 2017-09 is effective for interim and annual reporting periods beginning after December 15, 2017. Early adoption is permitted and prospective application is required. The Company does not expect the adoption of ASU 2017-09 to have a material impact on its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Houston Interests, LLC</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12, 2016, the Company completed the acquisition of Houston Interests, LLC ("Houston Interests"), a premier global solutions company that provides consulting, engineering, design, construction services and systems integration. Houston Interests brings expertise to the Company in natural gas processing; sulfur recovery, processing and handling; liquid terminals, silos and other bulk storage; process plant design; power generation environmental controls and material handling; industrial power distribution; electrical, instrumentation and controls; marine structures; material handling systems and terminals for cement, sulfur, fertilizer, coal and grain facilities; and process heaters. The business has been included in our Matrix PDM Engineering, Inc. subsidiary, and its operating results impact primarily the Oil Gas &amp; Chemical and Industrial segments.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purchased all of the equity interests of Houston Interests for $42.5 million in cash, net of working capital adjustments and cash acquired. The consideration paid is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equity interest</w:t>
            </w:r>
          </w:p>
        </w:tc>
        <w:tc>
          <w:tcPr>
            <w:tcW w:w="62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Cash paid for working capital</w:t>
            </w:r>
          </w:p>
        </w:tc>
        <w:tc>
          <w:tcPr>
            <w:tcW w:w="5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acquired</w:t>
            </w:r>
          </w:p>
        </w:tc>
        <w:tc>
          <w:tcPr>
            <w:tcW w:w="5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0" w:type="dxa"/>
            <w:vAlign w:val="bottom"/>
          </w:tcPr>
          <w:p>
            <w:pPr>
              <w:spacing w:after="0"/>
              <w:rPr>
                <w:sz w:val="1"/>
                <w:szCs w:val="1"/>
                <w:color w:val="auto"/>
              </w:rPr>
            </w:pP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54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42,506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480" w:type="dxa"/>
            <w:vAlign w:val="bottom"/>
            <w:vMerge w:val="restart"/>
          </w:tcPr>
          <w:p>
            <w:pPr>
              <w:jc w:val="right"/>
              <w:ind w:right="3430"/>
              <w:spacing w:after="0"/>
              <w:rPr>
                <w:sz w:val="20"/>
                <w:szCs w:val="20"/>
                <w:color w:val="auto"/>
              </w:rPr>
            </w:pPr>
            <w:r>
              <w:rPr>
                <w:rFonts w:ascii="Arial" w:cs="Arial" w:eastAsia="Arial" w:hAnsi="Arial"/>
                <w:sz w:val="18"/>
                <w:szCs w:val="18"/>
                <w:color w:val="auto"/>
              </w:rPr>
              <w:t>- 9-</w:t>
            </w: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8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funded the equity interest portion of the consideration paid from borrowings under the Company's senior secured revolving credit facility (See Note 5). The purchase of working capital was paid with cash on hand. Cash paid for acquisitions of $39.8 million for the six months ended December 31, 2016 does not reflect $1.0 million of working capital that was paid subsequent to December 31,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net purchase price was allocated to the major categories of assets and liabilities based on their estimated fair value at the acquisition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final net purchase price allocation (in thousands):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10,273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10,220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68,112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2,475</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Less: cash acquired</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10,331</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42,506</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goodwill recognized from the acquisition is primarily attributable to the technical expertise of the acquired workforce and the complementary nature of Houston Interests' operations, which the Company believes will enable the combined entity to expand its service offerings and enter new markets. All of the goodwill recognized is deductible for income tax purposes.</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agreed to pay the previous owners up to $2.6 million for any unused portion of acquired warranty obligations outstanding as of June 30, 2017. This agreement was settled for $1.7 million, which was paid in July 2017. This settlement was reflected as a decrease to the acquired current liabilities and an increase to the net purchase price.</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Matrix Service Company and Houston Interests for the three and six months ended December 31, 2016, on a pro forma basis, as though the companies had been combined as of July 1, 2015. The pro forma financial information presented in the table below is for informational purposes only and is not indicative of the results of operations that would have been achieved if the acquisition had taken place at July 1, 2015 nor should it be taken as indicative of future consolidated results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40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2016</w:t>
            </w:r>
          </w:p>
        </w:tc>
      </w:tr>
      <w:tr>
        <w:trPr>
          <w:trHeight w:val="243"/>
        </w:trPr>
        <w:tc>
          <w:tcPr>
            <w:tcW w:w="40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gridSpan w:val="3"/>
          </w:tcPr>
          <w:p>
            <w:pPr>
              <w:jc w:val="right"/>
              <w:ind w:right="516"/>
              <w:spacing w:after="0"/>
              <w:rPr>
                <w:sz w:val="20"/>
                <w:szCs w:val="20"/>
                <w:color w:val="auto"/>
              </w:rPr>
            </w:pPr>
            <w:r>
              <w:rPr>
                <w:rFonts w:ascii="Arial" w:cs="Arial" w:eastAsia="Arial" w:hAnsi="Arial"/>
                <w:sz w:val="18"/>
                <w:szCs w:val="18"/>
                <w:color w:val="auto"/>
              </w:rPr>
              <w:t>(In thousands, except per share data)</w:t>
            </w:r>
          </w:p>
        </w:tc>
      </w:tr>
      <w:tr>
        <w:trPr>
          <w:trHeight w:val="27"/>
        </w:trPr>
        <w:tc>
          <w:tcPr>
            <w:tcW w:w="40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329,523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690,485</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7,884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18,763</w:t>
            </w:r>
          </w:p>
        </w:tc>
      </w:tr>
      <w:tr>
        <w:trPr>
          <w:trHeight w:val="27"/>
        </w:trPr>
        <w:tc>
          <w:tcPr>
            <w:tcW w:w="40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0.71</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0.29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0.70</w:t>
            </w:r>
          </w:p>
        </w:tc>
      </w:tr>
      <w:tr>
        <w:trPr>
          <w:trHeight w:val="486"/>
        </w:trPr>
        <w:tc>
          <w:tcPr>
            <w:tcW w:w="4080" w:type="dxa"/>
            <w:vAlign w:val="bottom"/>
          </w:tcPr>
          <w:p>
            <w:pPr>
              <w:spacing w:after="0"/>
              <w:rPr>
                <w:sz w:val="24"/>
                <w:szCs w:val="24"/>
                <w:color w:val="auto"/>
              </w:rPr>
            </w:pPr>
          </w:p>
        </w:tc>
        <w:tc>
          <w:tcPr>
            <w:tcW w:w="3460" w:type="dxa"/>
            <w:vAlign w:val="bottom"/>
          </w:tcPr>
          <w:p>
            <w:pPr>
              <w:jc w:val="right"/>
              <w:ind w:right="1570"/>
              <w:spacing w:after="0"/>
              <w:rPr>
                <w:sz w:val="20"/>
                <w:szCs w:val="20"/>
                <w:color w:val="auto"/>
              </w:rPr>
            </w:pPr>
            <w:r>
              <w:rPr>
                <w:rFonts w:ascii="Arial" w:cs="Arial" w:eastAsia="Arial" w:hAnsi="Arial"/>
                <w:sz w:val="18"/>
                <w:szCs w:val="18"/>
                <w:color w:val="auto"/>
              </w:rPr>
              <w:t>- 10-</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pro forma financial information presented in the table above includes the following adjustments to the combined entities' historical financial statements:</w:t>
      </w:r>
    </w:p>
    <w:p>
      <w:pPr>
        <w:spacing w:after="0" w:line="194"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earnings were adjusted to include $0.4 million and $0.8 million of integration expenses during the three and six months ended December 31, 2016, respectively, that would have been recognized had the acquisition occurred on July 1, 2015.</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earnings were adjusted to include $0.3 million and $0.7 million of interest expense during the three and six months ended December 31, 2016, respectively. The interest was attributable to the assumption that the Company's borrowings of $46.0 million used to fund the net purchase price had been outstanding as of July 1, 2015. This interest was partially offset by the assumption that Houston Interests' former debt was extinguished as of July 1, 2015.</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earnings were adjusted to exclude $0.2 million and $0.3 million of depreciation and intangible asset amortization expense during the three and six months ended December 31, 2016, respectively. This adjustment is due to the recognition of amortizable intangible assets as part of the acquisition and the effect of fair value adjustments to acquired property, plant and equipment.</w:t>
      </w:r>
    </w:p>
    <w:p>
      <w:pPr>
        <w:spacing w:after="0" w:line="12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 forma earnings were adjusted to include income tax expense of $1.9 million and $3.3 million during the three and six months ended December 31, 2016, respectively. Houston Interests was previously an exempt entity and income taxes were not assessed in its historical financial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2,152,981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1,919,054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2,155,136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1,903,001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in balance sheet as: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64,221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66,376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Progress billings in accounts receivable at December 31, 2017 and June 30, 2017 included retentions to be collected within one year of $32.2 million and $54.3 million, respectively. Contract retentions collectible beyond one year are included in other assets in the condensed consolidated balance sheet and totaled $1.9 million as of June 30, 2017. There were no retentions collectible beyond one year as of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42,152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16,764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113,501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Translation adjustment (1)</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December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42,336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16,890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21,015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113,845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right="220" w:hanging="316"/>
        <w:spacing w:after="0" w:line="30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73" w:lineRule="exact"/>
        <w:rPr>
          <w:rFonts w:ascii="Arial" w:cs="Arial" w:eastAsia="Arial" w:hAnsi="Arial"/>
          <w:sz w:val="17"/>
          <w:szCs w:val="17"/>
          <w:color w:val="auto"/>
        </w:rPr>
      </w:pPr>
    </w:p>
    <w:p>
      <w:pPr>
        <w:ind w:left="5660" w:hanging="115"/>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performed our annual goodwill impairment test as of May 31, 2017, which resulted in no impairment. However, the aggregate difference between the fair values of our reporting units and their carrying amounts decreased significantly since the previous year's test as a result of market conditions at that time. The fair value of one reporting unit (carrying value of goodwill of $8.0 million) only exceeded its carrying amount by 9%. The valuation model for this reporting unit assumed the award of a significant project prior to the end of the second fiscal quarter, with project work to commence shortly thereafter. This project award was subsequently obtained during the first fiscal quarter of 2018. Management is not aware of any qualitative indicators of goodwill impairment as of December 31, 2017. The Company will continue to monitor for indicators of impairment and perform additional tests as needed.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At December 31, 2017</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40,339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24,247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46,001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25,364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2017</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38,207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24,664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3</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26,296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2017, the Company settled a portion of an account receivable with a customer in exchange for $50.0 million of backlog, which the Company expects to recognize as revenue over the next six years. The Company has recognized the backlog as a customer-based intangible asset with an estimated fair value of $2.0 million. The value assigned to the backlog approximated the net book value of the account receivable included in the settlement. The amortization expense will be recognized as the work is completed.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$1.4 million and $3.0 million during the three and six months ended December 31, 2017, respectively, and $1.0 million and $1.8 million during the three and six months ended December 31, 2016,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December 31, 2017 amortizing intangible assets will be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4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2018</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3,851</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3,822</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2,418</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6,553</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estimated remaining amortization expense at December 31, 2017</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25,364</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described in the paragraph below for the August 31, 2017 amendment, the Credit Agreement includes the following covenants and borrowing limitations:</w:t>
      </w:r>
    </w:p>
    <w:p>
      <w:pPr>
        <w:spacing w:after="0" w:line="116" w:lineRule="exact"/>
        <w:rPr>
          <w:sz w:val="20"/>
          <w:szCs w:val="20"/>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Agreement includes a Leverage Ratio covenant, which provides that Consolidated Funded Indebtedness, as of the end of any fiscal quarter, may not exceed 3.0 times Consolidated EBITDA, as defined in the Credit Agreement, over the previous four quarters. For the four quarters ended December 31, 2017, Consolidated EBITDA was $25.9 million. Consolidated Funded Indebtedness at December 31, 2017 was $77.9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2017, the Company entered in to an amendment to its Credit Agreement, which provided the following:</w:t>
      </w:r>
    </w:p>
    <w:p>
      <w:pPr>
        <w:spacing w:after="0" w:line="171"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maximum permitted Leverage Ratio was temporarily increased to 4.00 to 1.00 for the quarters ending September 30, 2017, and December 31, 2017. The maximum Leverage Ratio will revert back to 3.00 to 1.00 beginning with the quarter ending March 31, 2018.</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Fixed Charge Coverage Ratio will not be tested for the quarters ending September 30, 2017 and December 31, 2017, but will be in effect and tested quarterly thereafter beginning with the quarter ending March 31, 2018.</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new minimum Consolidated EBITDA covenant was added solely for the four-quarter period ending December 31, 2017. For this period, the Company is required to achieve Consolidated EBITDA of $15.0 million.</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Restricted Payments covenant was amended to restrict cash dividends and share repurchases during the period beginning August 31, 2017 and ending December 31, 2017 to an aggregate basket of $5.0 million. In addition, during such period, both cash dividends and share repurchases are prohibited unless the pro forma Leverage Ratio is less than or equal to 2.50 to 1.00. Thereafter, the restriction reverts back to limiting cash dividends to 50% of net income for each fiscal year, and limiting share repurchases to $30.0 million per calendar year.</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additional increased pricing tier was added for the "Covenant Relief Period" beginning on August 31, 2017 and ending on the date we deliver our financial statements and compliance certificate for the fiscal quarter ending December 31, 2017. If our Leverage Ratio as of any quarterly calculation date during the Covenant Relief Period exceeds 3.00 to 1.00: (1) the Applicable Margin on ABR loans will be 1.875%; (2) the Applicable Margin for Adjusted LIBO, EURIBO and CDOR will be 2.875%; (3) the Applicable Margin for Canadian Prime Rate loans will be 3.375%; and (4) the unused credit facility fee will be 0.50%.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December 31, 2017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196,484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169,092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103,516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50,908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44,682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27,026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25,582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78,401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Outstanding borrowings at December 31, 2017 under our Credit Agreement were primarily used to fund the acquisition of Houston Interests (See Note 2) and working capital needs in our Canadian business due to the timing of collections and disbursements on on a major project in the Electrical Infrastructure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 Company was in compliance with all affirmative, negative, and financial covenants under the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Cuts and Jobs Act (the "Act") was enacted on December 22, 2017. The Act makes broad and complex changes to the U.S. tax code, which have affected our current results and will affect our future results. The following are significant changes in the tax code that are effective for the Company beginning January 1, 2018:</w:t>
      </w:r>
    </w:p>
    <w:p>
      <w:pPr>
        <w:spacing w:after="0" w:line="127"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reducing the Company's U.S. federal corporate income tax rate from 35% to a blended rate of 28.06% for fiscal 2018 as stipulated by the Internal Revenue Code for companies using a June 30th fiscal year end and to 21% for fiscal years thereafter;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generally eliminating U.S. federal income tax on dividends from foreign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current inclusion in U.S. federal taxable income of certain earnings of 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allowing full expensing of certain assets placed in service from September 27, 2017 and before January 1, 2023;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restricting further deductibility of executive performance compensation in excess of $1.0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disallowing certain entertainment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significant changes in the tax code that are effective for the Company beginning July 1, 2018:</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eliminating the deduction for domestic production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the annual deduction for business interest;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taxing global intangible low-tax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allowing a deduction for domestically earned foreign intangible income;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 new base erosion and anti-abuse tax on payments between U.S. taxpayers and foreign related parties.</w:t>
      </w: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have not completed our accounting for the tax effects of the Act. However, in certain cases as described below, we have made a reasonable estimate of the effects on our existing deferred tax balances and the one-time transition tax. In other cases, we have not been able to make a reasonable estimate and continue to account for those items based on our existing accounting under ASC 740.</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One-time Transition Tax on Unrepatriated Earnings of Certain Foreign Subsidiaries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 includes a one-time transition tax based on our total post-1986 foreign earnings and profits (E&amp;P) for which we have previously deferred from U.S. income taxes. We have not completed in its entirety the calculations surrounding this tax, but based on our preliminary calculations, our foreign subsidiaries have overall negative E&amp;P. Therefore, we do not anticipate incurring tax related to this provision of the Act since any return of assets would be a return of capital, not earnings. Due to the preliminary nature of our calculations, no additional income taxes have been provided for any remaining undistributed foreign earnings not subject to the transition tax and any outside basis difference inherent in these entities as these amounts continue to be indefinitely reinvested in foreign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 Remeasurement</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remeasured our domestic deferred tax assets and liabilities based on the rates at which we expect them to reverse in the future. Section 15 of the Internal Revenue Code stipulates that our fiscal year ending June 30, 2018 will have a blended U.S. federal corporate income tax rate of 28.06%, which is based on the applicable tax rates before and after the Act and the number of days in the tax year. Therefore, domestic deferred taxes reversing prior to July 1, 2018 will be taxed based on the blended rate and reversals occurring thereafter will be taxed at the new 21% tax rate. Our domestic subsidiaries had a net deferred tax liability position as of December 31, 2017, which resulted in a $1.2 million remeasurement reduction of our domestic net deferred tax liabilities. This remeasurement adjustment was based on our best estimate of the timing of our deferred tax reversals. As a fiscal year taxpayer, the timing of the reversal of certain deferred tax assets and liabilities during this fiscal year and beyond is uncertain. Although we have made a reasonable estimate as of December 31, 2017, we will continue to analyze certain aspects of the Act and refine our calculations, which could potentially affect the measurement of our deferred tax balances.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three and six months ended December 31, 2017 was (5.8)% and 25.2% compared to 32.8% and 33.3% in the same period last year. The effective tax rates in fiscal 2018 were positively impacted by the $1.2 million deferred taxes remeasurement adjustment discussed in the previous paragraph and the use of the lower blended U.S. corporate income tax rate, which resulted in a benefit of $0.7 million, of which $0.5 million related to the remeasurement of the first quarter.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$10.5 million at December 31, 2017 and $11.0 million at June 30, 2017.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181"/>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5"/>
          </w:tcPr>
          <w:p>
            <w:pPr>
              <w:ind w:left="300"/>
              <w:spacing w:after="0"/>
              <w:rPr>
                <w:sz w:val="20"/>
                <w:szCs w:val="20"/>
                <w:color w:val="auto"/>
              </w:rPr>
            </w:pPr>
            <w:r>
              <w:rPr>
                <w:rFonts w:ascii="Arial" w:cs="Arial" w:eastAsia="Arial" w:hAnsi="Arial"/>
                <w:sz w:val="13"/>
                <w:szCs w:val="13"/>
                <w:color w:val="auto"/>
              </w:rPr>
              <w:t>(In thousands, except per share data)</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4,532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8,356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14,592</w:t>
            </w: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26,470</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0.55</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26,771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26,553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26,713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26,470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27,078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26,832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26,933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26,842</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0.54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60" w:type="dxa"/>
            <w:vAlign w:val="bottom"/>
            <w:tcBorders>
              <w:bottom w:val="single" w:sz="8" w:color="auto"/>
            </w:tcBorders>
            <w:gridSpan w:val="2"/>
          </w:tcPr>
          <w:p>
            <w:pPr>
              <w:jc w:val="right"/>
              <w:ind w:right="68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0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46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3740" w:type="dxa"/>
            <w:vAlign w:val="bottom"/>
          </w:tcPr>
          <w:p>
            <w:pPr>
              <w:spacing w:after="0"/>
              <w:rPr>
                <w:sz w:val="16"/>
                <w:szCs w:val="16"/>
                <w:color w:val="auto"/>
              </w:rPr>
            </w:pPr>
          </w:p>
        </w:tc>
        <w:tc>
          <w:tcPr>
            <w:tcW w:w="338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360" w:type="dxa"/>
            <w:vAlign w:val="bottom"/>
          </w:tcPr>
          <w:p>
            <w:pPr>
              <w:jc w:val="right"/>
              <w:ind w:right="46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1460" w:type="dxa"/>
            <w:vAlign w:val="bottom"/>
          </w:tcPr>
          <w:p>
            <w:pPr>
              <w:jc w:val="right"/>
              <w:ind w:right="564"/>
              <w:spacing w:after="0"/>
              <w:rPr>
                <w:sz w:val="20"/>
                <w:szCs w:val="20"/>
                <w:color w:val="auto"/>
              </w:rPr>
            </w:pPr>
            <w:r>
              <w:rPr>
                <w:rFonts w:ascii="Arial" w:cs="Arial" w:eastAsia="Arial" w:hAnsi="Arial"/>
                <w:sz w:val="14"/>
                <w:szCs w:val="14"/>
                <w:b w:val="1"/>
                <w:bCs w:val="1"/>
                <w:color w:val="auto"/>
              </w:rPr>
              <w:t>2017</w:t>
            </w:r>
          </w:p>
        </w:tc>
        <w:tc>
          <w:tcPr>
            <w:tcW w:w="13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2016</w:t>
            </w:r>
          </w:p>
        </w:tc>
      </w:tr>
      <w:tr>
        <w:trPr>
          <w:trHeight w:val="196"/>
        </w:trPr>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right"/>
              <w:ind w:right="1064"/>
              <w:spacing w:after="0"/>
              <w:rPr>
                <w:sz w:val="20"/>
                <w:szCs w:val="20"/>
                <w:color w:val="auto"/>
              </w:rPr>
            </w:pPr>
            <w:r>
              <w:rPr>
                <w:rFonts w:ascii="Arial" w:cs="Arial" w:eastAsia="Arial" w:hAnsi="Arial"/>
                <w:sz w:val="14"/>
                <w:szCs w:val="14"/>
                <w:color w:val="auto"/>
              </w:rPr>
              <w:t>(In thousands)</w:t>
            </w:r>
          </w:p>
        </w:tc>
        <w:tc>
          <w:tcPr>
            <w:tcW w:w="1340" w:type="dxa"/>
            <w:vAlign w:val="bottom"/>
            <w:tcBorders>
              <w:top w:val="single" w:sz="8" w:color="auto"/>
            </w:tcBorders>
          </w:tcPr>
          <w:p>
            <w:pPr>
              <w:spacing w:after="0"/>
              <w:rPr>
                <w:sz w:val="17"/>
                <w:szCs w:val="17"/>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33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342</w:t>
            </w:r>
          </w:p>
        </w:tc>
        <w:tc>
          <w:tcPr>
            <w:tcW w:w="13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8"/>
                <w:szCs w:val="18"/>
                <w:color w:val="auto"/>
              </w:rPr>
              <w:t>442</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137</w:t>
            </w:r>
          </w:p>
        </w:tc>
      </w:tr>
      <w:tr>
        <w:trPr>
          <w:trHeight w:val="459"/>
        </w:trPr>
        <w:tc>
          <w:tcPr>
            <w:tcW w:w="3740" w:type="dxa"/>
            <w:vAlign w:val="bottom"/>
          </w:tcPr>
          <w:p>
            <w:pPr>
              <w:spacing w:after="0"/>
              <w:rPr>
                <w:sz w:val="24"/>
                <w:szCs w:val="24"/>
                <w:color w:val="auto"/>
              </w:rPr>
            </w:pPr>
          </w:p>
        </w:tc>
        <w:tc>
          <w:tcPr>
            <w:tcW w:w="3380" w:type="dxa"/>
            <w:vAlign w:val="bottom"/>
            <w:gridSpan w:val="2"/>
          </w:tcPr>
          <w:p>
            <w:pPr>
              <w:jc w:val="right"/>
              <w:ind w:right="1168"/>
              <w:spacing w:after="0"/>
              <w:rPr>
                <w:sz w:val="20"/>
                <w:szCs w:val="20"/>
                <w:color w:val="auto"/>
              </w:rPr>
            </w:pPr>
            <w:r>
              <w:rPr>
                <w:rFonts w:ascii="Arial" w:cs="Arial" w:eastAsia="Arial" w:hAnsi="Arial"/>
                <w:sz w:val="18"/>
                <w:szCs w:val="18"/>
                <w:color w:val="auto"/>
              </w:rPr>
              <w:t>- 17-</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and natural gas fired power stations.</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includes turnaround activities, plant maintenance, engineering and construction in primarily the downstream and midstream petroleum industries. Our customers in these industries are engaged in refining crude oil and processing, fractionating, and marketing of natural gas and natural gas liquids. Another offering is industrial cleaning services, which include hydroblasting, hydroexcavating, chemical cleaning and vacuum services. We also perform work in the petrochemical, upstream petroleum, and sulfur extraction, recovery and processing markets.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Industrial segment primarily includes construction and maintenance work in the iron and steel, mining and minerals, and agricultural industries. Our work in the iron and steel industry is primarily for customers engaged in the production of raw steel.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2017. Intersegment sales and transfers are recorded at cost; therefore, no intersegment profit or loss is recognized.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cash and cash equivalents,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180" w:type="dxa"/>
            <w:vAlign w:val="bottom"/>
          </w:tcPr>
          <w:p>
            <w:pPr>
              <w:jc w:val="center"/>
              <w:ind w:right="13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64,852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103,158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144,823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191,183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71,233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128,927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142,805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328,577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47,753</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3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283,741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314,024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554,416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662,254</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6,485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inter-segment revenues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144,823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191,183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174,012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88,256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328,279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59,259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92,530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46,718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consolidated revenues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282,911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312,655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552,821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654,436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11,768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22,806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43,524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55,594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60,490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9,332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25,015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5,174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22,538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4"/>
                <w:szCs w:val="2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182,568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183,351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127,278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129,177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114,057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166,742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53,473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53,754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53,006</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557,866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586,030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760" w:type="dxa"/>
            <w:vAlign w:val="bottom"/>
            <w:gridSpan w:val="3"/>
            <w:vMerge w:val="restart"/>
          </w:tcPr>
          <w:p>
            <w:pPr>
              <w:jc w:val="right"/>
              <w:ind w:right="1032"/>
              <w:spacing w:after="0"/>
              <w:rPr>
                <w:sz w:val="20"/>
                <w:szCs w:val="20"/>
                <w:color w:val="auto"/>
              </w:rPr>
            </w:pPr>
            <w:r>
              <w:rPr>
                <w:rFonts w:ascii="Arial" w:cs="Arial" w:eastAsia="Arial" w:hAnsi="Arial"/>
                <w:sz w:val="18"/>
                <w:szCs w:val="18"/>
                <w:color w:val="auto"/>
              </w:rPr>
              <w:t>- 19-</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7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2017 Annual Report on Form 10-K filed with the SEC. For more information on our critical accounting policies, see Part II, Item 7 of our fiscal 2017 Annual Report on Form 10-K. The following section provides certain information with respect to our critical accounting estimates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Matrix records revenue on fixed-price contracts on a percentage-of-completion basis, primarily based on costs incurred to date compared to the total estimated cost. The Company records revenue on cost-plus and time-and-material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a provision is made through a contract write-down for the total loss anticipated. A number of our contracts contain various cost and performance incentives and penalties that impact the earnings we realize from our contracts. Adjustments related to these incentives and penalties are recorded in the period on a percentage of completion basis when estimable and probable.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or a percentage of cost incurred.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 and evaluated for accuracy throughout the year based upon actual direct labor hours and actual costs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perform our annual impairment test in the fourth quarter of each fiscal year to determine whether an impairment exists and to determine the amount of headroom. We define "headroom" as the percentage difference between the fair value of a reporting unit and its carrying value. We performed our annual goodwill impairment test as of May 31, 2017, which resulted in no impairment. However, the aggregate headroom between the fair values of our reporting units and their carrying amounts decreased significantly since the previous year's test as a result of market conditions at that time. The fair value of one reporting unit (carrying value of goodwill of $8.0 million) only exceeded its carrying amount by 9%. The valuation model for this reporting unit assumed the award of a significant project prior to the end of the second fiscal quarter, with project work to commence shortly thereafter. This project award was subsequently obtained during the first fiscal quarter of 2018, which resolved the previous contingency. The amount of headroom varies by reporting unit. Approximately 37% of our goodwill balance at May 31, 2017 was attributable to one reporting unit. This unit had headroom of 24%. The remaining goodwill was attributable to nine reporting units, with headroom of between 7% and 172%. Management is not aware of any qualitative indicators of goodwill impairment as of December 31, 2017. The Company will continue to monitor for indicators of impairment and perform additional tests as needed.</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utilizes a discounted cash flow analysis, referred to as an income approach, and market multiples of EBITDA to determine the estimated fair value of our reporting units. Significant judgments and assumptions including forecasted project awards, discount rate, anticipated revenue growth rate, gross margins, operating expenses, working capital needs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 We also compare the combined carrying values and combined estimated fair values of our reporting units to our market capitalization for reasonableness.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that have finite useful lives are amortized by the straight-line method over their useful lives ranging from 4 to 15 years. The Company evaluates intangible assets with finite lives for impairment whenever events or circumstances indicate that the carrying value may not be recoverable. The Company did not observe any events or circumstances during the six months ended December 31, 2017 that would indicate that the carrying value of its intangible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$10.5 million at December 31, 2017 and $11.0 million at June 30, 2017. The amounts ultimately realized may be significantly different than the recorded amounts resulting in a material adjustment to future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judgments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 Early adoption is permitted on a limited basis.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currently evaluating the impact of adopting the ASU on the Company's financial position, results of operations, cash flows and related disclosures. Adoption of this ASU is expected to affect the manner in which the Company determines the unit of account for its projects (i.e., performance obligations). Under existing guidance, the Company may have multiple performance obligations for large, complex projects. Upon adoption, the Company expects that similar projects may have fewer performance obligations, possibly just one in some cases, which will result in a more constant recognition of revenue and profit over the term of the project. In addition, management expects that profit could be recognized earlier for contract amounts related to unapproved change orders and claims. The Company will adopt this standard on July 1, 2018 using the modified retrospective method of application, which may result in a cumulative effect adjustment to retained earnings as of the date of adoption.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developed its revised accounting policy for revenue recognition and continues to review its contracts in order to validate the new accounting policy and reassess its processes and internal controls. At this time, we cannot reliably estimate the amount of any potential retrospective adjustment.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ASU is effective for fiscal years beginning after December 15, 2018, including interim periods within those fiscal years. Early adoption is permitted, but we do not plan to do so at this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evaluating the ASU's expected impact on our financial statements. See Note 8 of Item 8. Financial Statements and Supplementary Data in our 2017 Form 10-K for more information about the timing and amount of future operating lease payments, which we believe is indicative of the materiality of adoption of the ASU to our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ASU 2017-09 is effective for interim and annual reporting periods beginning after December 15, 2017. Early adoption is permitted and prospective application is required. The Company does not expect the adoption of ASU 2017-09 to have a material impact on its financial position, results of operations or cash flows.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and natural gas fired power stations.</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includes turnaround activities, plant maintenance, engineering and construction in primarily the downstream and midstream petroleum industries. Our customers in these industries are engaged in refining crude oil and processing, fractionating, and marketing of natural gas and natural gas liquids. Another offering is industrial cleaning services, which include hydroblasting, hydroexcavating, chemical cleaning and vacuum services. We also perform work in the petrochemical, upstream petroleum, and sulfur extraction, recovery and processing markets.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Industrial segment primarily includes construction and maintenance work in the iron and steel, mining and minerals, and agricultural industries. Our work in the iron and steel industry is primarily for customers engaged in the production of raw steel.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35" w:lineRule="exact"/>
        <w:rPr>
          <w:sz w:val="20"/>
          <w:szCs w:val="20"/>
          <w:color w:val="auto"/>
        </w:rPr>
      </w:pPr>
    </w:p>
    <w:p>
      <w:pPr>
        <w:ind w:right="3760"/>
        <w:spacing w:after="0" w:line="440" w:lineRule="auto"/>
        <w:rPr>
          <w:sz w:val="20"/>
          <w:szCs w:val="20"/>
          <w:color w:val="auto"/>
        </w:rPr>
      </w:pPr>
      <w:r>
        <w:rPr>
          <w:rFonts w:ascii="Arial" w:cs="Arial" w:eastAsia="Arial" w:hAnsi="Arial"/>
          <w:sz w:val="18"/>
          <w:szCs w:val="18"/>
          <w:b w:val="1"/>
          <w:bCs w:val="1"/>
          <w:color w:val="auto"/>
        </w:rPr>
        <w:t xml:space="preserve">Three Months Ended December 31, 2017 Compared to the Three Months Ended December 31, 2016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$282.9 million for the three months ended December 31, 2017, compared to $312.7 million in the same period in the prior fiscal year. On a segment basis, consolidated revenue decreased in the Storage Solutions and Electrical Infrastructure segments by $58.4 million and $38.3 million, respectively. These decreases were partially offset by increases in consolidated revenue for the Industrial and Oil Gas &amp; Chemical segments of $34.2 million and $32.7 million.</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gross profit decreased from $28.2 million in the three months ended December 31, 2016 to $26.7 million in the three months ended December 31, 2017. Gross margin increased to 9.4% in the three months ended December 31, 2017 compared to 9.0% in the same period in the prior fiscal year. The increase in gross margin in fiscal 2018 is primarily attributable to improved construction overhead cost recovery.</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SG&amp;A expenses were $21.5 million in the three months ended December 31, 2017 compared to $20.0 million in the same period a year earlier. The increase in fiscal 2018 is primarily attributable to overhead and amortization on intangible assets associated with the December 2016 acquisition of Houston Interests, LLC ("Houston Interests", see Item 1. Financial Statements, Note 2 - Acquisitions) that expanded the Company's engineering business.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was $0.8 million and $0.5 million in the three months ended December 31, 2017 and 2016, respectively. The higher interest expense in fiscal 2018 is primarily attributable to the higher average debt balance in the current year, which is largely attributable to the borrowings used to fund the Houston Interests acquisition, which was completed in December 2016, and borrowings due to the timing of collections and disbursements on a major project in the Electrical Infrastructure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effective tax rate for the three months ended December 31, 2017 was (5.8)% compared to 32.8% in the same period last year. The effective tax rates in fiscal 2018 were positively impacted by a $1.2 million deferred taxes remeasurement adjustment (see Item 1. Financial Statements, Note - 6 Income Taxes) and the use of the lower blended U.S. corporate income tax rate, which resulted in a benefit of $0.7 million, of which $0.5 million related to the remeasurement of the first quarter. We expect our effective tax rate to be 32% for the remainder of fiscal 2018.</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December 31, 2017, net income and the related fully diluted earnings per share were $4.5 million and $0.17, respectively, compared to net income and related fully diluted earnings per share of $5.3 million and $0.20, respectively, in the same period a year earlier.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Electrical Infrastructure segment decreased $38.3 million to $64.9 million in the three months ended December 31, 2017 compared to $103.2 million in the same period a year earlier. The decrease is due to a combination of a reduction in high voltage revenue and revenue associated with the construction of a large power generating facility in the prior year. The segment gross margin of 8.5% in fiscal 2018 was impacted by increased under recovery of construction overhead costs due to lower volumes in the current fiscal year and increased competition, which led to lower direct margins. The fiscal 2017 segment gross margin was 7.0% during the same period, which was impacted by a settlement adjustment on the power generating facility project.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Oil Gas &amp; Chemical segment was $88.4 million in the three months ended December 31, 2017 compared to $55.7 million in the same period a year earlier. The increase of $32.7 million is primarily attributable to higher turnaround, maintenance and construction volumes. The segment gross margin was 13.3% for the three months ended December 31, 2017 compared to 4.4% in the same period last year. The segment gross margin for fiscal 2018 was positively impacted by strong project execution, project closeouts, higher margin work associated with the Houston Interests acquisition, and improved recovery of construction overhead costs. Fiscal 2017 gross margin was negatively impacted by project execution issues and lower volume which led to higher under recovery of construction overhead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Storage Solutions segment was $70.4 million in the three months ended December 31, 2017 compared to $128.8 million in the same period a year earlier, a decrease of $58.4 million. The decrease in segment revenue is primarily a result of delays in project awards which have not allowed the Company to replace higher revenue experienced in the prior year in connection with work on the construction of crude gathering terminals for the Dakota Access pipeline. The segment gross margin was 7.5% in the three months ended December 31, 2017 and 13.3% in the three months ended December 31, 2016. The lower segment gross margin in fiscal 2018 is primarily attributable to higher mix of lower margin work.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Industrial segment increased $34.2 million to $59.2 million in the three months ended December 31, 2017 compared to $25.0 million in the same period a year earlier. The increase in revenue is primarily attributable to higher business volumes in the iron and steel industry. The segment gross margin was 6.9% in the three months ended December 31, 2017 compared to 5.9% in the same period a year earlier. The fiscal 2018 segment gross margin was positively impacted by higher volumes, which when combined with previously executed targeted cost reduction, led to improved recovery of construction overhead costs. Additionally, the Company recorded a $0.9 million project settlement with a customer, which reduced gross profit.</w:t>
      </w:r>
    </w:p>
    <w:p>
      <w:pPr>
        <w:spacing w:after="0" w:line="100" w:lineRule="exact"/>
        <w:rPr>
          <w:sz w:val="20"/>
          <w:szCs w:val="20"/>
          <w:color w:val="auto"/>
        </w:rPr>
      </w:pPr>
    </w:p>
    <w:p>
      <w:pPr>
        <w:ind w:right="4200"/>
        <w:spacing w:after="0" w:line="440" w:lineRule="auto"/>
        <w:rPr>
          <w:sz w:val="20"/>
          <w:szCs w:val="20"/>
          <w:color w:val="auto"/>
        </w:rPr>
      </w:pPr>
      <w:r>
        <w:rPr>
          <w:rFonts w:ascii="Arial" w:cs="Arial" w:eastAsia="Arial" w:hAnsi="Arial"/>
          <w:sz w:val="18"/>
          <w:szCs w:val="18"/>
          <w:b w:val="1"/>
          <w:bCs w:val="1"/>
          <w:color w:val="auto"/>
        </w:rPr>
        <w:t xml:space="preserve">Six Months Ended December 31, 2017 Compared to the Six Months Ended December 31, 2016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$552.8 million for the six months ended December 31, 2017, compared to $654.4 million in the same period in the prior fiscal year. On a segment basis, consolidated revenue decreased in the Storage Solutions and Electrical Infrastructure segments by $186.8 million and $46.4 million, respectively. These decreases were partially offset by increases in consolidated revenue for the Oil Gas &amp; Chemical and Industrial segments of $85.8 million and $45.8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gross profit decreased from $60.5 million in the six months ended December 31, 2016 to $55.6 million in the six months ended December 31, 2017. Gross margin increased to 10.1% in the six months ended December 31, 2017 compared to 9.2% in the same period in the prior fiscal year. The increase in gross margin in fiscal 2018 is primarily attributable to strong project execution as well as improved construction overhead cost recovery.</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SG&amp;A expenses were $43.1 million in the six months ended December 31, 2017 compared to $38.0 million in the same period a year earlier. The increase in fiscal 2018 is primarily attributable to overhead and amortization on intangible assets associated with the December 2016 acquisition of Houston Interests that expanded the Company's engineering business.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was $1.3 million and $0.7 million in the six months ended December 31, 2017 and 2016, respectively. The higher interest expense in fiscal 2018 is primarily attributable to the higher average debt balance in the current year, which is largely attributable to the borrowings used to fund the Houston Interests acquisition, which was completed in December 2016, and borrowings due to the timing of collections and disbursements on a major project in the Electrical Infrastructure segment.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six months ended December 31, 2017 was 25.2% compared to 33.3% in the same period last year. The effective tax rates in fiscal 2018 were positively impacted by a $1.2 million deferred taxes remeasurement adjustment (see Item 1. Financial Statements, Note - 6 Income Taxes) and the use of the lower blended U.S. corporate income tax rate, which resulted in a benefit of $0.7 million, of which $0.5 million related to the remeasurement of the first quarter. We expect our effective tax rate to be 32% for the remainder of fiscal 2018.</w:t>
      </w:r>
    </w:p>
    <w:p>
      <w:pPr>
        <w:spacing w:after="0" w:line="13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six months ended December 31, 2017, net income and the related fully diluted earnings per share were $8.4 million and $0.31, respectively, compared to net income and related fully diluted earnings per share of $14.6 million and $0.54, respectively, in the same period a year earlier.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Electrical Infrastructure segment decreased $46.4 million to $144.8 million in the six months ended December 31, 2017 compared to $191.2 million in the same period a year earlier. The decrease is due to a combination of a reduction in high voltage revenue and revenue associated with the construction of a large power generating facility in the prior year. The segment gross margin of 9.5% in fiscal 2018 was impacted by increased under recovery of construction overhead costs due to lower volumes in the current fiscal year and increased competition, which led to lower direct margins. The fiscal 2017 segment gross margin was 6.5% during the same period, which was impacted by a settlement adjustment on the power generating facility project.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Oil Gas &amp; Chemical segment was $174.1 million in the six months ended December 31, 2017 compared to $88.3 million in the same period a year earlier. The increase of $85.8 million is primarily attributable to higher turnaround, maintenance and construction volumes. The segment gross margin was 13.1% for the six months ended December 31, 2017 compared to 2.8% in the same period last year. The segment gross margin for fiscal 2018 was positively impacted by strong project execution, project closeouts, higher margin work associated with the Houston Interests acquisition, and improved recovery of construction overhead costs. Fiscal 2017 gross margin was negatively impacted by project execution issues and lower volume which led to higher under recovery of construction overhead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Storage Solutions segment was $141.5 million in the six months ended December 31, 2017 compared to $328.3 million in the same period a year earlier, a decrease of $186.8 million. The decrease in segment revenue is primarily a result of delays in project awards which have not allowed the Company to replace higher revenue experienced in the prior year in connection with work on the construction of crude gathering terminals for the Dakota Access pipeline. The segment gross margin was 9.1% in the six months ended December 31, 2017 and 13.3% in the six months ended December 31, 2016. The lower segment gross margin in fiscal 2018 is primarily attributable to higher mix of lower margin work.</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Industrial segment increased $45.8 million to $92.5 million in the six months ended December 31, 2017 compared to $46.7 million in the same period a year earlier. The increase in revenue is primarily attributable to higher business volumes in the iron and steel industry. The segment gross margin was 6.6% in the six months ended December 31, 2017 compared to 4.4% in the same period a year earlier. The fiscal 2018 segment gross margin was positively impacted by higher volumes, which when combined with previously executed targeted cost reduction, led to improved recovery of construction overhead costs. Additionally, the Company recorded a $0.9 million project settlement with a customer, which reduced gross profit.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long-term maintenance contracts with no minimum commitments and other established customer arrangements, we include only the amounts that we expect to recognize into revenue over the next 12 months. For all other arrangements, we calculate backlog as the estimated contract amount less revenue recognized as of the reporting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September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119,642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235,549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133,138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240,468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728,797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40,083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91,491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123,568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24,006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279,148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 as of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94,873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238,681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186,265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205,215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725,034</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162,637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287,007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141,551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91,078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682,273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77,059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125,686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186,170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206,667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595,582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(552,821)</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 as of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94,873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238,681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186,265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205,215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725,034</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volatility may increase for some segments from time to time when individual project awards are less frequent, but more significant.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backlog in the Electrical Infrastructure segment during the six months ended December 31, 2017 is mainly attributable to work related to a major power generation project partially offset by high voltage awards.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backlog in the Oil, Gas &amp; Chemical segment during the six months ended December 31, 2017 is mainly attributable to progress on previously announced awards, partially offset by new project awards.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backlog in the Storage Solutions segment during the six months ended December 31, 2017 is attributable to increased project awards, partially offset by progress on previously announced awards. We are seeing an increase in project awards in our Storage Solutions segment as our customers are beginning to respond to an increasingly favorable commodity price environment.</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backlog in the Industrial segment during the six months ended December 31, 2017 is primarily attributable to significant awards for capital projects and maintenance work in the iron and steel industry.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Market Uncertainty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prolonged decline in crude oil prices beginning in late 2014 has caused sustained uncertainty in the energy industry, which although improving, continues to negatively impact our results, particularly in the Storage Solutions segment. Since the beginning of fiscal 2018, the price of West Texas Intermediate Crude Oil has increased over 30%, which is a positive development for our customers in both the Storage Solutions and Oil Gas &amp; Chemical segments. With the increasing price of crude oil, we are seeing increased awards, particularly in the Storage Solutions segment. However, our customers' spending tends to lag the price movements of crude oil and other commodities due to budget cycles and the long-term nature of planning for capital projects, especially large capital projects.</w:t>
      </w:r>
    </w:p>
    <w:p>
      <w:pPr>
        <w:spacing w:after="0" w:line="13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the Industrial segment, our iron and steel customers have increased maintenance spending and resumed major capital projects in response to improving business conditions led by rising steel prices, stronger U.S. economy and a weaker U.S. Dollar. In the mining and minerals markets, copper prices have continued to increase. As a result, we are seeing increased bidding activity, but we have not yet seen a corresponding increase in project awards.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fluctuation in commodity prices to have a significant impact on the Electrical Infrastructure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right="240" w:hanging="324"/>
        <w:spacing w:after="0" w:line="31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46"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740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7,298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10,906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9,988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10,417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13,394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23,519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32,618</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for the six months ended December 31, 2017 were cash on hand, capacity under our senior secured revolving credit facility and cash generated from operations before consideration of changes in working capital. Cash on hand at December 31, 2017 totaled $74.1 million and availability under the senior secured revolving credit facility totaled $25.6 million resulting in available liquidity of $99.7 million as of December 31, 2017 compared to $122.2 million as of June 30, 2017. The decrease in liquidity is primarily attributable to an increase in the capacity constraint relating to the leverage ratio financial covenant under the senior secured revolving credit facility triggered by the Company's financial performance during the last four quarters along with an increase in project related letters of credit.</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liquidity continues to be adequate to support its long-term strategic growth plans. The Company expects liquidity to begin to improve as we work through the third and fourth quarters of fiscal 2018. Since December 31, 2017, the Company's liquidity has strengthened as the Company repaid $35.0 million of borrowings under the senior secured revolving credit facility while maintaining a cash balance in excess of $60.0 million. A complete discussion of our credit agreement is provided under the caption "Senior Secured Revolving Credit Facility" included in this Financial Condition and Liquidity section of the Form 10-Q.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52" w:lineRule="exact"/>
        <w:rPr>
          <w:rFonts w:ascii="Arial" w:cs="Arial" w:eastAsia="Arial" w:hAnsi="Arial"/>
          <w:sz w:val="18"/>
          <w:szCs w:val="18"/>
          <w:color w:val="auto"/>
        </w:rPr>
      </w:pPr>
    </w:p>
    <w:p>
      <w:pPr>
        <w:ind w:left="5640" w:hanging="98"/>
        <w:spacing w:after="0"/>
        <w:tabs>
          <w:tab w:leader="none" w:pos="5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Capacity constraints under our credit facility and remaining in compliance with all covenants contained in the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default by one of the major financial institutions for which our deposits exceed insured deposit limits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Six Months Ended December 31,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for the six months ended December 31, 2017 totaled $29.6 million. The various components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6960" w:type="dxa"/>
            <w:vAlign w:val="bottom"/>
            <w:gridSpan w:val="2"/>
          </w:tcPr>
          <w:p>
            <w:pPr>
              <w:jc w:val="right"/>
              <w:ind w:right="3050"/>
              <w:spacing w:after="0"/>
              <w:rPr>
                <w:sz w:val="20"/>
                <w:szCs w:val="20"/>
                <w:color w:val="auto"/>
              </w:rPr>
            </w:pPr>
            <w:r>
              <w:rPr>
                <w:rFonts w:ascii="Arial" w:cs="Arial" w:eastAsia="Arial" w:hAnsi="Arial"/>
                <w:sz w:val="18"/>
                <w:szCs w:val="18"/>
                <w:b w:val="1"/>
                <w:bCs w:val="1"/>
                <w:color w:val="auto"/>
              </w:rPr>
              <w:t>Net Cash Provided by Operating Activities</w:t>
            </w:r>
          </w:p>
        </w:tc>
        <w:tc>
          <w:tcPr>
            <w:tcW w:w="9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6960" w:type="dxa"/>
            <w:vAlign w:val="bottom"/>
            <w:gridSpan w:val="2"/>
          </w:tcPr>
          <w:p>
            <w:pPr>
              <w:jc w:val="right"/>
              <w:ind w:right="4170"/>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r>
      <w:tr>
        <w:trPr>
          <w:trHeight w:val="324"/>
        </w:trPr>
        <w:tc>
          <w:tcPr>
            <w:tcW w:w="35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9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15,168</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4,205</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5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5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29,580</w:t>
            </w:r>
          </w:p>
        </w:tc>
      </w:tr>
      <w:tr>
        <w:trPr>
          <w:trHeight w:val="20"/>
        </w:trPr>
        <w:tc>
          <w:tcPr>
            <w:tcW w:w="35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changes at December 31, 2017 in comparison to June 30, 2017 include the following:</w:t>
      </w:r>
    </w:p>
    <w:p>
      <w:pPr>
        <w:spacing w:after="0" w:line="225" w:lineRule="exact"/>
        <w:rPr>
          <w:sz w:val="20"/>
          <w:szCs w:val="20"/>
          <w:color w:val="auto"/>
        </w:rPr>
      </w:pPr>
    </w:p>
    <w:p>
      <w:pPr>
        <w:ind w:left="980" w:right="20" w:hanging="324"/>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Accounts receivable, net of bad debt expense recognized during the period and the settlement of $2.0 million of accounts receivable in exchange for backlog (see Item 1. Financial Statements, Note 4 - Intangible Assets Including Goodwill), decreased by $25.5 million during the six months ended December 31, 2017, which increased cash flows from operating activities. The variance is attributable to the timing of billing and collections.</w:t>
      </w:r>
    </w:p>
    <w:p>
      <w:pPr>
        <w:spacing w:after="0" w:line="186"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Accounts payable decreased by $34.0 million during the six months ended December 31, 2017, which reduced cash flows from operating activities. The variance is primarily attributable to the timing of vendor payments.</w:t>
      </w:r>
    </w:p>
    <w:p>
      <w:pPr>
        <w:spacing w:after="0" w:line="170" w:lineRule="exact"/>
        <w:rPr>
          <w:rFonts w:ascii="Arial" w:cs="Arial" w:eastAsia="Arial" w:hAnsi="Arial"/>
          <w:sz w:val="18"/>
          <w:szCs w:val="18"/>
          <w:color w:val="auto"/>
        </w:rPr>
      </w:pPr>
    </w:p>
    <w:p>
      <w:pPr>
        <w:ind w:left="980" w:right="80" w:hanging="324"/>
        <w:spacing w:after="0" w:line="25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decreased $27.0 million, which increased cash flows from operating activities. Billings on uncompleted contracts in excess of costs and estimated earnings ("BIE") decreased $8.8 million, which reduced cash flows from operating activities. The net change in CIE and BIE increased cash $18.2 million for the six months ended December 31, 2017. CIE and BIE balances can experience significant fluctuations based on the timing of when job costs are incurred and the invoicing of those job costs to the customer.</w:t>
      </w:r>
    </w:p>
    <w:p>
      <w:pPr>
        <w:spacing w:after="0" w:line="215" w:lineRule="exact"/>
        <w:rPr>
          <w:rFonts w:ascii="Arial" w:cs="Arial" w:eastAsia="Arial" w:hAnsi="Arial"/>
          <w:sz w:val="18"/>
          <w:szCs w:val="18"/>
          <w:color w:val="auto"/>
        </w:rPr>
      </w:pPr>
    </w:p>
    <w:p>
      <w:pPr>
        <w:ind w:left="5640" w:hanging="98"/>
        <w:spacing w:after="0"/>
        <w:tabs>
          <w:tab w:leader="none" w:pos="5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activities used $5.3 million of cash in the six months ended December 31, 2017 primarily due to $4.1 million of capital expenditures and a $1.7 million working capital payment in connection with the Houston Interests acquisition. Capital expenditures consisted of: $1.8 million for software and office equipment, $0.9 million for transportation and fabrication equipment, $0.8 million for construction equipment, and $0.6 million for buildings. Proceeds from asset sales provided $0.4 million of cash.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Financing activities provided $5.4 million of cash in the six months ended December 31, 2017 primarily due to net borrowings of $6.2 million under our credit facility partially offset by the repurchase of $0.6 million of Company stock for payment of withholding taxes due on equity-based compensation, and the payment of $0.4 million for debt amendment fees.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left="60" w:right="20"/>
        <w:spacing w:after="0" w:line="279" w:lineRule="auto"/>
        <w:rPr>
          <w:sz w:val="20"/>
          <w:szCs w:val="20"/>
          <w:color w:val="auto"/>
        </w:rPr>
      </w:pPr>
      <w:r>
        <w:rPr>
          <w:rFonts w:ascii="Arial" w:cs="Arial" w:eastAsia="Arial" w:hAnsi="Arial"/>
          <w:sz w:val="17"/>
          <w:szCs w:val="17"/>
          <w:color w:val="auto"/>
        </w:rPr>
        <w:t>As noted previously in Note 5 of the Notes to Condensed Consolidated Financial Statements included in Part 1, Item 1 of this Quarterly Report on Form 10-Q, 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described in the paragraph below for the August 31, 2017 amendment, the Credit Agreement includes the following covenants and borrowing limitations:</w:t>
      </w:r>
    </w:p>
    <w:p>
      <w:pPr>
        <w:spacing w:after="0" w:line="116" w:lineRule="exact"/>
        <w:rPr>
          <w:sz w:val="20"/>
          <w:szCs w:val="20"/>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Agreement includes a Leverage Ratio covenant, which provides that Consolidated Funded Indebtedness, as of the end of any fiscal quarter, may not exceed 3.0 times Consolidated EBITDA, as defined in the Credit Agreement, over the previous four quarters. For the four quarters ended December 31, 2017, Consolidated EBITDA was $25.9 million. Consolidated Funded Indebtedness at December 31, 2017 was $77.9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EBITDA, as defined in the Credit Agreement, differs from EBITDA, as reported under "Results of Operations - Non-GAAP Financial Measure," in Item 7 primarily because it permits the Company to:</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 The Company excluded as extraordinary items the acquisition and integration costs incurred during the previous four quarters.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2017, the Company entered in to an amendment to its Credit Agreement, which provided the following:</w:t>
      </w:r>
    </w:p>
    <w:p>
      <w:pPr>
        <w:spacing w:after="0" w:line="171"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permitted Leverage Ratio was temporarily increased to 4.00 to 1.00 for the quarters ending September 30, 2017, and December 31, 2017. The maximum Leverage Ratio will revert back to 3.00 to 1.00 beginning with the quarter ending March 31, 2018.</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Fixed Charge Coverage Ratio will not be tested for the quarters ending September 30, 2017 and December 31, 2017, but will be in effect and tested quarterly thereafter beginning with the quarter ending March 31, 2018.</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minimum Consolidated EBITDA covenant was added solely for the four-quarter period ending December 31, 2017. For this period, the Company is required to achieve Consolidated EBITDA of $15.0 million.</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Restricted Payments covenant was amended to restrict cash dividends and share repurchases during the period beginning August 31, 2017 and ending December 31, 2017 to an aggregate basket of $5.0 million. In addition, during such period, both cash dividends and share repurchases are prohibited unless the pro forma Leverage Ratio is less than or equal to 2.50 to 1.00. Thereafter, the restriction reverts back to limiting cash dividends to 50% of net income for each fiscal year, and limiting share repurchases to $30.0 million per calendar year.</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increased pricing tier was added for the "Covenant Relief Period" beginning on August 31, 2017 and ending on the date we deliver our financial statements and compliance certificate for the fiscal quarter ending December 31, 2017. If our Leverage Ratio as of any quarterly calculation date during the Covenant Relief Period exceeds 3.00 to 1.00: (1) the Applicable Margin on ABR loans will be 1.875%; (2) the Applicable Margin for Adjusted LIBO, EURIBO and CDOR will be 2.875%; (3) the Applicable Margin for Canadian Prime Rate loans will be 3.375%; and (4) the unused credit facility fee will be 0.50%.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December 31, 2017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196,484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169,092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103,516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50,908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44,682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27,026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25,582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78,401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Outstanding borrowings at December 31, 2017 under our Credit Agreement were primarily used to fund the acquisition of Houston Interests (See Part 1, Item 1, Note 2 - Acquisitions) and working capital needs in our Canadian business due to the timing of collections and disbursements on a major project in the Electrical Infrastructure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 Company was in compliance with all affirmative, negative, and financial covenants under the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except that, pursuant to an amendment to our Credit Agreement, from August 31, 2017 through December 31, 2017, the total of cash dividend payments, along with share repurchases, may not exceed $5.0 million. In addition, during this time we are prohibited from paying cash dividends or repurchasing stock unless the pro forma Leverage Ratio, as defined in the Credit Agreement, is less than or equal to 2.50 to 1.00. While we currently do not intend to pay cash dividends, any future dividend payments will depend on our financial condition, capital requirements and earnings as well as other relevant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12, 2016, the Board of Directors approved a new stock buyback program (the "December 2016 Program"), which replaced the previous program that had been in place since November 2014. Under the December 2016 Program, the Company may repurchase common stock of the Company in any calendar year commencing with calendar year 2016 and continuing through calendar year 2018, up to a maximum of $25.0 million per calendar year.</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may repurchase its stock from time to time in the open market at prevailing market prices or in privately negotiated transactions, except during the period from August 31, 2017 until December 31, 2017, when share repurchases, along with cash dividend payments, are restricted to an aggregate basket of $5.0 million under our Credit Agreement. In addition, during this time share repurchases may only be made if the pro forma Leverage Ratio is less than or equal to 2.50 to 1.00. The December 2016 Program will continue through December 31, 2018 unless and until it is modified or revoked by the Board of Directors. No shares have been repurchased under the December 2016 Program as of December 31, 2017.</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1,076,541 treasury shares as of December 31, 2017 and intends to utilize these treasury shares in connection with equity awards under the Company’s stock incentive plans and for sales to the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right="3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to our business of crude oil, natural gas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2017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economic, market or business conditions in general and in the oil, gas, power, iron and steel, agricultural and mining industries in particular;</w:t>
      </w:r>
    </w:p>
    <w:p>
      <w:pPr>
        <w:spacing w:after="0" w:line="248" w:lineRule="exact"/>
        <w:rPr>
          <w:rFonts w:ascii="Arial" w:cs="Arial" w:eastAsia="Arial" w:hAnsi="Arial"/>
          <w:sz w:val="16"/>
          <w:szCs w:val="16"/>
          <w:color w:val="auto"/>
        </w:rPr>
      </w:pPr>
    </w:p>
    <w:p>
      <w:pPr>
        <w:ind w:left="980" w:right="4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2017, filed with the Securities and Exchange Commission. For more information on market risk, see Part II, Item 7A in our fiscal 2017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2017. Based on the foregoing, our Chief Executive Officer and Chief Financial Officer concluded that our disclosure controls and procedures were effective at the reasonable assurance level at December 31, 2017.</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completed the acquisition of Houston Interests, LLC ("Houston Interests") effective December 12, 2016. We are in the process of assessing and, to the extent necessary, making changes to the internal control over financial reporting of Houston Interests to conform such internal control to that used on our other operations. However, we are not yet required to evaluate, and have not yet fully evaluated, changes in Houston Interest's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December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second quarter of fiscal year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Announced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October 1 to October 31, 2017</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
              <w:spacing w:after="0"/>
              <w:rPr>
                <w:sz w:val="20"/>
                <w:szCs w:val="20"/>
                <w:color w:val="auto"/>
              </w:rPr>
            </w:pPr>
            <w:r>
              <w:rPr>
                <w:rFonts w:ascii="Arial" w:cs="Arial" w:eastAsia="Arial" w:hAnsi="Arial"/>
                <w:sz w:val="18"/>
                <w:szCs w:val="18"/>
                <w:color w:val="auto"/>
              </w:rPr>
              <w:t>2,808,988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November 1 to November 30, 2017</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2,808,988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1 to December 31, 2017</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
              <w:spacing w:after="0"/>
              <w:rPr>
                <w:sz w:val="20"/>
                <w:szCs w:val="20"/>
                <w:color w:val="auto"/>
              </w:rPr>
            </w:pPr>
            <w:r>
              <w:rPr>
                <w:rFonts w:ascii="Arial" w:cs="Arial" w:eastAsia="Arial" w:hAnsi="Arial"/>
                <w:sz w:val="18"/>
                <w:szCs w:val="18"/>
                <w:color w:val="auto"/>
              </w:rPr>
              <w:t>2,808,988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8,508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17.44</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40" w:hanging="316"/>
        <w:spacing w:after="0" w:line="252"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December 12, 2016, the Board of Directors approved a new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The December 2016 Program will continue through December 31, 2018 unless and until revoked by the Board of Directors. The amount shown as the maximum number of shares that may yet be purchased was calculated using the closing price of our stock on the last trading day of the quarter and the cumulative limit of $50.0 million remaining under the program as of the end of the quarter.</w:t>
      </w:r>
    </w:p>
    <w:p>
      <w:pPr>
        <w:spacing w:after="0" w:line="220" w:lineRule="exact"/>
        <w:rPr>
          <w:rFonts w:ascii="Arial" w:cs="Arial" w:eastAsia="Arial" w:hAnsi="Arial"/>
          <w:sz w:val="18"/>
          <w:szCs w:val="18"/>
          <w:color w:val="auto"/>
        </w:rPr>
      </w:pPr>
    </w:p>
    <w:p>
      <w:pPr>
        <w:ind w:left="5640" w:hanging="98"/>
        <w:spacing w:after="0"/>
        <w:tabs>
          <w:tab w:leader="none" w:pos="5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except that, pursuant to an amendment to our Credit Agreement, from August 31, 2017 through December 31, 2017, the total of cash dividend payments, along with share repurchases, may not exceed $5.0 million. In addition, during this time we are prohibited from paying cash dividends or repurchasing stock unless the pro forma Leverage Ratio, as defined in the Credit Agreement, is less than or equal to 2.50 to 1.00. While we currently do not intend to pay cash dividends, any future dividend payments will depend on our financial condition, capital requirements and earnings as well as other relevant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7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0"/>
        </w:trPr>
        <w:tc>
          <w:tcPr>
            <w:tcW w:w="1940" w:type="dxa"/>
            <w:vAlign w:val="bottom"/>
          </w:tcPr>
          <w:p>
            <w:pPr>
              <w:ind w:left="40"/>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Pursuant to Section 302 of Sarbanes-Oxley Act of 2002 – CEO.</w:t>
              </w:r>
            </w:hyperlink>
          </w:p>
        </w:tc>
        <w:tc>
          <w:tcPr>
            <w:tcW w:w="1240" w:type="dxa"/>
            <w:vAlign w:val="bottom"/>
            <w:gridSpan w:val="2"/>
          </w:tcPr>
          <w:p>
            <w:pPr>
              <w:spacing w:after="0"/>
              <w:rPr>
                <w:sz w:val="24"/>
                <w:szCs w:val="24"/>
                <w:color w:val="auto"/>
              </w:rPr>
            </w:pPr>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31.2:</w:t>
            </w:r>
          </w:p>
        </w:tc>
        <w:tc>
          <w:tcPr>
            <w:tcW w:w="55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Pursuant to Section 302 of Sarbanes-Oxley Act of 2002 – CFO.</w:t>
              </w:r>
            </w:hyperlink>
          </w:p>
        </w:tc>
        <w:tc>
          <w:tcPr>
            <w:tcW w:w="1260" w:type="dxa"/>
            <w:vAlign w:val="bottom"/>
            <w:gridSpan w:val="3"/>
          </w:tcPr>
          <w:p>
            <w:pPr>
              <w:spacing w:after="0"/>
              <w:rPr>
                <w:sz w:val="24"/>
                <w:szCs w:val="24"/>
                <w:color w:val="auto"/>
              </w:rPr>
            </w:pPr>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32.1:</w:t>
            </w:r>
          </w:p>
        </w:tc>
        <w:tc>
          <w:tcPr>
            <w:tcW w:w="68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Pursuant to 18 U.S.C. 1350 (section 906 of Sarbanes-Oxley Act of 2002) – CEO.</w:t>
              </w:r>
            </w:hyperlink>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32.2:</w:t>
            </w:r>
          </w:p>
        </w:tc>
        <w:tc>
          <w:tcPr>
            <w:tcW w:w="6800" w:type="dxa"/>
            <w:vAlign w:val="bottom"/>
            <w:gridSpan w:val="5"/>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Pursuant to 18 U.S.C. 1350 (section 906 of Sarbanes-Oxley Act of 2002) – CFO.</w:t>
              </w:r>
            </w:hyperlink>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95:</w:t>
            </w:r>
          </w:p>
        </w:tc>
        <w:tc>
          <w:tcPr>
            <w:tcW w:w="6780" w:type="dxa"/>
            <w:vAlign w:val="bottom"/>
            <w:tcBorders>
              <w:top w:val="single" w:sz="8" w:color="0000FF"/>
            </w:tcBorders>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Mine Safety Disclosure.</w:t>
              </w:r>
            </w:hyperlink>
          </w:p>
        </w:tc>
        <w:tc>
          <w:tcPr>
            <w:tcW w:w="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r>
      <w:tr>
        <w:trPr>
          <w:trHeight w:val="412"/>
        </w:trPr>
        <w:tc>
          <w:tcPr>
            <w:tcW w:w="1940" w:type="dxa"/>
            <w:vAlign w:val="bottom"/>
          </w:tcPr>
          <w:p>
            <w:pPr>
              <w:ind w:left="40"/>
              <w:spacing w:after="0"/>
              <w:rPr>
                <w:sz w:val="20"/>
                <w:szCs w:val="20"/>
                <w:color w:val="auto"/>
              </w:rPr>
            </w:pPr>
            <w:r>
              <w:rPr>
                <w:rFonts w:ascii="Arial" w:cs="Arial" w:eastAsia="Arial" w:hAnsi="Arial"/>
                <w:sz w:val="18"/>
                <w:szCs w:val="18"/>
                <w:color w:val="auto"/>
              </w:rPr>
              <w:t>Exhibit 101.INS:</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101.SCH:</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101.CAL:</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101.DEF:</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101.LAB:</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101.PRE:</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1940" w:type="dxa"/>
            <w:vAlign w:val="bottom"/>
          </w:tcPr>
          <w:p>
            <w:pPr>
              <w:spacing w:after="0"/>
              <w:rPr>
                <w:sz w:val="24"/>
                <w:szCs w:val="24"/>
                <w:color w:val="auto"/>
              </w:rPr>
            </w:pPr>
          </w:p>
        </w:tc>
        <w:tc>
          <w:tcPr>
            <w:tcW w:w="5540" w:type="dxa"/>
            <w:vAlign w:val="bottom"/>
            <w:gridSpan w:val="2"/>
          </w:tcPr>
          <w:p>
            <w:pPr>
              <w:ind w:left="3600"/>
              <w:spacing w:after="0"/>
              <w:rPr>
                <w:sz w:val="20"/>
                <w:szCs w:val="20"/>
                <w:color w:val="auto"/>
              </w:rPr>
            </w:pPr>
            <w:r>
              <w:rPr>
                <w:rFonts w:ascii="Arial" w:cs="Arial" w:eastAsia="Arial" w:hAnsi="Arial"/>
                <w:sz w:val="18"/>
                <w:szCs w:val="18"/>
                <w:color w:val="auto"/>
              </w:rPr>
              <w:t>- 35-</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8, 2018</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420"/>
          </w:cols>
          <w:pgMar w:left="240" w:top="34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8,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8,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2017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8,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2017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8,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December 31, 2017:</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Total Number</w:t>
            </w: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of Potential to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of Legal</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0"/>
              </w:rPr>
              <w:t>Mine or Operating</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3"/>
              </w:rPr>
              <w:t>Name/MSHA</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Section 104 S&amp;S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Citations and</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Related</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Section 104(e)</w:t>
            </w:r>
            <w:r>
              <w:rPr>
                <w:rFonts w:ascii="Arial" w:cs="Arial" w:eastAsia="Arial" w:hAnsi="Arial"/>
                <w:sz w:val="8"/>
                <w:szCs w:val="8"/>
                <w:color w:val="auto"/>
                <w:w w:val="90"/>
              </w:rPr>
              <w:t>(7)</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Resolved During</w:t>
            </w:r>
          </w:p>
        </w:tc>
        <w:tc>
          <w:tcPr>
            <w:tcW w:w="0" w:type="dxa"/>
            <w:vAlign w:val="bottom"/>
          </w:tcPr>
          <w:p>
            <w:pPr>
              <w:spacing w:after="0"/>
              <w:rPr>
                <w:sz w:val="1"/>
                <w:szCs w:val="1"/>
                <w:color w:val="auto"/>
              </w:rPr>
            </w:pPr>
          </w:p>
        </w:tc>
      </w:tr>
      <w:tr>
        <w:trPr>
          <w:trHeight w:val="136"/>
        </w:trPr>
        <w:tc>
          <w:tcPr>
            <w:tcW w:w="114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2"/>
              </w:rPr>
              <w:t>Identification Number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Citations</w:t>
            </w:r>
            <w:r>
              <w:rPr>
                <w:rFonts w:ascii="Arial" w:cs="Arial" w:eastAsia="Arial" w:hAnsi="Arial"/>
                <w:sz w:val="8"/>
                <w:szCs w:val="8"/>
                <w:color w:val="auto"/>
                <w:w w:val="91"/>
              </w:rPr>
              <w:t>(1)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Violations</w:t>
            </w:r>
            <w:r>
              <w:rPr>
                <w:rFonts w:ascii="Arial" w:cs="Arial" w:eastAsia="Arial" w:hAnsi="Arial"/>
                <w:sz w:val="8"/>
                <w:szCs w:val="8"/>
                <w:color w:val="auto"/>
                <w:w w:val="93"/>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Orders</w:t>
            </w:r>
            <w:r>
              <w:rPr>
                <w:rFonts w:ascii="Arial" w:cs="Arial" w:eastAsia="Arial" w:hAnsi="Arial"/>
                <w:sz w:val="8"/>
                <w:szCs w:val="8"/>
                <w:color w:val="auto"/>
                <w:w w:val="87"/>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Freeport McMoran</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1"/>
              </w:rPr>
              <w:t>Morenci Inc. 02-</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140" w:type="dxa"/>
            <w:vAlign w:val="bottom"/>
            <w:tcBorders>
              <w:left w:val="single" w:sz="8" w:color="auto"/>
              <w:right w:val="single" w:sz="8" w:color="auto"/>
            </w:tcBorders>
          </w:tcPr>
          <w:p>
            <w:pPr>
              <w:jc w:val="right"/>
              <w:ind w:right="346"/>
              <w:spacing w:after="0"/>
              <w:rPr>
                <w:sz w:val="20"/>
                <w:szCs w:val="20"/>
                <w:color w:val="auto"/>
              </w:rPr>
            </w:pPr>
            <w:r>
              <w:rPr>
                <w:rFonts w:ascii="Arial" w:cs="Arial" w:eastAsia="Arial" w:hAnsi="Arial"/>
                <w:sz w:val="11"/>
                <w:szCs w:val="11"/>
                <w:color w:val="auto"/>
              </w:rPr>
              <w:t>00024</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Freeport McMoran</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right w:val="single" w:sz="8" w:color="auto"/>
            </w:tcBorders>
            <w:vMerge w:val="restart"/>
          </w:tcPr>
          <w:p>
            <w:pPr>
              <w:jc w:val="center"/>
              <w:ind w:left="6"/>
              <w:spacing w:after="0"/>
              <w:rPr>
                <w:sz w:val="20"/>
                <w:szCs w:val="20"/>
                <w:color w:val="auto"/>
              </w:rPr>
            </w:pPr>
            <w:r>
              <w:rPr>
                <w:rFonts w:ascii="Arial" w:cs="Arial" w:eastAsia="Arial" w:hAnsi="Arial"/>
                <w:sz w:val="11"/>
                <w:szCs w:val="11"/>
                <w:color w:val="auto"/>
                <w:w w:val="90"/>
              </w:rPr>
              <w:t>Safford Inc. 02-03131</w:t>
            </w: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Big Island Mine &amp;</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Refinery 48-00154</w:t>
            </w: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Solvay Chemicals Inc.</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right w:val="single" w:sz="8" w:color="auto"/>
            </w:tcBorders>
            <w:vMerge w:val="restart"/>
          </w:tcPr>
          <w:p>
            <w:pPr>
              <w:jc w:val="right"/>
              <w:ind w:right="286"/>
              <w:spacing w:after="0"/>
              <w:rPr>
                <w:sz w:val="20"/>
                <w:szCs w:val="20"/>
                <w:color w:val="auto"/>
              </w:rPr>
            </w:pPr>
            <w:r>
              <w:rPr>
                <w:rFonts w:ascii="Arial" w:cs="Arial" w:eastAsia="Arial" w:hAnsi="Arial"/>
                <w:sz w:val="11"/>
                <w:szCs w:val="11"/>
                <w:color w:val="auto"/>
              </w:rPr>
              <w:t>48-01295</w:t>
            </w: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Permanente Cement</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Plan &amp; Quarry 04-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1"/>
              </w:rPr>
              <w:t>$245</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04075</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lvl w:ilvl="1">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lvl w:ilvl="1">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lvl w:ilvl="1">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upperLetter"/>
      <w:start w:val="1"/>
    </w:lvl>
    <w:lvl w:ilvl="1">
      <w:lvlJc w:val="left"/>
      <w:lvlText w:val="-"/>
      <w:numFmt w:val="bullet"/>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2019-12-29T01:41:52Z</dcterms:created>
  <dcterms:modified xsi:type="dcterms:W3CDTF">2019-12-29T01:41:52Z</dcterms:modified>
</cp:coreProperties>
</file>