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24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78" w:lineRule="exact"/>
        <w:rPr>
          <w:sz w:val="24"/>
          <w:szCs w:val="24"/>
          <w:color w:val="auto"/>
        </w:rPr>
      </w:pP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422"/>
        <w:spacing w:after="0"/>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hanging="449"/>
        <w:spacing w:after="0"/>
        <w:tabs>
          <w:tab w:leader="none" w:pos="72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277"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3990975</wp:posOffset>
            </wp:positionH>
            <wp:positionV relativeFrom="paragraph">
              <wp:posOffset>-7620</wp:posOffset>
            </wp:positionV>
            <wp:extent cx="781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1-15461</w:t>
      </w:r>
    </w:p>
    <w:p>
      <w:pPr>
        <w:spacing w:after="0" w:line="2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MATRIX SERVICE COMPANY</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400"/>
          </w:cols>
          <w:pgMar w:left="240" w:top="233" w:right="259" w:bottom="1440" w:gutter="0" w:footer="0" w:header="0"/>
        </w:sectPr>
      </w:pPr>
    </w:p>
    <w:p>
      <w:pPr>
        <w:spacing w:after="0" w:line="149" w:lineRule="exact"/>
        <w:rPr>
          <w:sz w:val="24"/>
          <w:szCs w:val="24"/>
          <w:color w:val="auto"/>
        </w:rPr>
      </w:pPr>
    </w:p>
    <w:p>
      <w:pPr>
        <w:ind w:left="21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81" w:lineRule="exact"/>
        <w:rPr>
          <w:sz w:val="24"/>
          <w:szCs w:val="24"/>
          <w:color w:val="auto"/>
        </w:rPr>
      </w:pPr>
    </w:p>
    <w:p>
      <w:pPr>
        <w:sectPr>
          <w:pgSz w:w="11900" w:h="16838" w:orient="portrait"/>
          <w:cols w:equalWidth="0" w:num="2">
            <w:col w:w="7080" w:space="720"/>
            <w:col w:w="3600"/>
          </w:cols>
          <w:pgMar w:left="240" w:top="233" w:right="259" w:bottom="1440" w:gutter="0" w:footer="0" w:header="0"/>
          <w:type w:val="continuous"/>
        </w:sectPr>
      </w:pPr>
    </w:p>
    <w:p>
      <w:pPr>
        <w:ind w:left="19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420" w:space="720"/>
            <w:col w:w="4260"/>
          </w:cols>
          <w:pgMar w:left="240" w:top="233" w:right="25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5100 East Skelly Drive, Suite 700, Tulsa, Oklahoma 74135</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74" w:lineRule="exact"/>
        <w:rPr>
          <w:sz w:val="24"/>
          <w:szCs w:val="24"/>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 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3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6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62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246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6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6220" w:type="dxa"/>
            <w:vAlign w:val="bottom"/>
          </w:tcPr>
          <w:p>
            <w:pPr>
              <w:ind w:left="400"/>
              <w:spacing w:after="0"/>
              <w:rPr>
                <w:sz w:val="20"/>
                <w:szCs w:val="20"/>
                <w:color w:val="auto"/>
              </w:rPr>
            </w:pPr>
            <w:r>
              <w:rPr>
                <w:rFonts w:ascii="Arial" w:cs="Arial" w:eastAsia="Arial" w:hAnsi="Arial"/>
                <w:sz w:val="18"/>
                <w:szCs w:val="18"/>
                <w:color w:val="auto"/>
              </w:rPr>
              <w:t>o</w:t>
            </w:r>
          </w:p>
        </w:tc>
        <w:tc>
          <w:tcPr>
            <w:tcW w:w="246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05"/>
        </w:trPr>
        <w:tc>
          <w:tcPr>
            <w:tcW w:w="828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4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r>
    </w:tbl>
    <w:p>
      <w:pPr>
        <w:spacing w:after="0" w:line="128"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1, 2013 there were 27,888,217 shares of the Company’s common stock, $0.01 par value per share, issued and 26,193,467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215"/>
        </w:trPr>
        <w:tc>
          <w:tcPr>
            <w:tcW w:w="1040" w:type="dxa"/>
            <w:vAlign w:val="bottom"/>
            <w:gridSpan w:val="3"/>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w:t>
              </w:r>
            </w:hyperlink>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80" w:type="dxa"/>
            <w:vAlign w:val="bottom"/>
            <w:gridSpan w:val="9"/>
          </w:tcPr>
          <w:p>
            <w:pPr>
              <w:jc w:val="center"/>
              <w:ind w:right="2380"/>
              <w:spacing w:after="0"/>
              <w:rPr>
                <w:sz w:val="20"/>
                <w:szCs w:val="20"/>
                <w:color w:val="auto"/>
              </w:rPr>
            </w:pPr>
            <w:r>
              <w:rPr>
                <w:rFonts w:ascii="Arial" w:cs="Arial" w:eastAsia="Arial" w:hAnsi="Arial"/>
                <w:sz w:val="18"/>
                <w:szCs w:val="18"/>
                <w:b w:val="1"/>
                <w:bCs w:val="1"/>
                <w:color w:val="auto"/>
              </w:rPr>
              <w:t>FINANCIAL INFORMATION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2"/>
        </w:trPr>
        <w:tc>
          <w:tcPr>
            <w:tcW w:w="5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460" w:type="dxa"/>
            <w:vAlign w:val="bottom"/>
            <w:gridSpan w:val="2"/>
          </w:tcPr>
          <w:p>
            <w:pPr>
              <w:spacing w:after="0"/>
              <w:rPr>
                <w:sz w:val="24"/>
                <w:szCs w:val="24"/>
                <w:color w:val="auto"/>
              </w:rPr>
            </w:pPr>
          </w:p>
        </w:tc>
        <w:tc>
          <w:tcPr>
            <w:tcW w:w="242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 (Unaudited)</w:t>
              </w:r>
            </w:hyperlink>
          </w:p>
        </w:tc>
        <w:tc>
          <w:tcPr>
            <w:tcW w:w="7280" w:type="dxa"/>
            <w:vAlign w:val="bottom"/>
            <w:gridSpan w:val="9"/>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0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 for the Three Months Ended September 30, 2013 and 2012</w:t>
              </w:r>
            </w:hyperlink>
          </w:p>
        </w:tc>
        <w:tc>
          <w:tcPr>
            <w:tcW w:w="62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00" w:type="dxa"/>
            <w:vAlign w:val="bottom"/>
            <w:gridSpan w:val="15"/>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Condensed Consolidated Statements of Comprehensive Income for the Three Months Ended September 30, 2013 and 2012</w:t>
              </w:r>
            </w:hyperlink>
          </w:p>
        </w:tc>
        <w:tc>
          <w:tcPr>
            <w:tcW w:w="62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60" w:type="dxa"/>
            <w:vAlign w:val="bottom"/>
            <w:tcBorders>
              <w:top w:val="single" w:sz="8" w:color="0000FF"/>
            </w:tcBorders>
            <w:gridSpan w:val="1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Balance Sheets as of September 30, 2013 and June 30, </w:t>
              </w:r>
            </w:hyperlink>
            <w:r>
              <w:rPr>
                <w:rFonts w:ascii="Arial" w:cs="Arial" w:eastAsia="Arial" w:hAnsi="Arial"/>
                <w:sz w:val="18"/>
                <w:szCs w:val="18"/>
                <w:color w:val="0000FF"/>
              </w:rPr>
              <w:t>2013</w:t>
            </w:r>
          </w:p>
        </w:tc>
        <w:tc>
          <w:tcPr>
            <w:tcW w:w="840" w:type="dxa"/>
            <w:vAlign w:val="bottom"/>
            <w:gridSpan w:val="2"/>
          </w:tcPr>
          <w:p>
            <w:pPr>
              <w:spacing w:after="0"/>
              <w:rPr>
                <w:sz w:val="24"/>
                <w:szCs w:val="24"/>
                <w:color w:val="auto"/>
              </w:rPr>
            </w:pPr>
          </w:p>
        </w:tc>
        <w:tc>
          <w:tcPr>
            <w:tcW w:w="52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Cash Flows for the Three Months Ended September 30, 2013 and 2012</w:t>
              </w:r>
            </w:hyperlink>
          </w:p>
        </w:tc>
        <w:tc>
          <w:tcPr>
            <w:tcW w:w="1700" w:type="dxa"/>
            <w:vAlign w:val="bottom"/>
            <w:gridSpan w:val="3"/>
          </w:tcPr>
          <w:p>
            <w:pPr>
              <w:spacing w:after="0"/>
              <w:rPr>
                <w:sz w:val="24"/>
                <w:szCs w:val="24"/>
                <w:color w:val="auto"/>
              </w:rPr>
            </w:pPr>
          </w:p>
        </w:tc>
        <w:tc>
          <w:tcPr>
            <w:tcW w:w="52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00" w:type="dxa"/>
            <w:vAlign w:val="bottom"/>
            <w:gridSpan w:val="15"/>
          </w:tcPr>
          <w:p>
            <w:pPr>
              <w:spacing w:after="0"/>
              <w:rPr>
                <w:rFonts w:ascii="Arial" w:cs="Arial" w:eastAsia="Arial" w:hAnsi="Arial"/>
                <w:sz w:val="18"/>
                <w:szCs w:val="18"/>
                <w:color w:val="0000FF"/>
                <w:w w:val="91"/>
              </w:rPr>
            </w:pPr>
            <w:hyperlink w:anchor="page8">
              <w:r>
                <w:rPr>
                  <w:rFonts w:ascii="Arial" w:cs="Arial" w:eastAsia="Arial" w:hAnsi="Arial"/>
                  <w:sz w:val="18"/>
                  <w:szCs w:val="18"/>
                  <w:color w:val="0000FF"/>
                  <w:w w:val="91"/>
                </w:rPr>
                <w:t>Condensed Consolidated Statements of Changes in Stockholders’ Equity for the Three Months Ended September 30, 2013 and 2012</w:t>
              </w:r>
            </w:hyperlink>
          </w:p>
        </w:tc>
        <w:tc>
          <w:tcPr>
            <w:tcW w:w="62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20" w:type="dxa"/>
            <w:vAlign w:val="bottom"/>
            <w:tcBorders>
              <w:top w:val="single" w:sz="8" w:color="0000FF"/>
            </w:tcBorders>
            <w:gridSpan w:val="14"/>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w:t>
              </w:r>
            </w:hyperlink>
          </w:p>
        </w:tc>
        <w:tc>
          <w:tcPr>
            <w:tcW w:w="180" w:type="dxa"/>
            <w:vAlign w:val="bottom"/>
          </w:tcPr>
          <w:p>
            <w:pPr>
              <w:spacing w:after="0"/>
              <w:rPr>
                <w:sz w:val="24"/>
                <w:szCs w:val="24"/>
                <w:color w:val="auto"/>
              </w:rPr>
            </w:pPr>
          </w:p>
        </w:tc>
        <w:tc>
          <w:tcPr>
            <w:tcW w:w="52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8</w:t>
              </w:r>
            </w:hyperlink>
          </w:p>
        </w:tc>
      </w:tr>
      <w:tr>
        <w:trPr>
          <w:trHeight w:val="20"/>
        </w:trPr>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0"/>
          </w:tcPr>
          <w:p>
            <w:pPr>
              <w:spacing w:after="0"/>
              <w:rPr>
                <w:rFonts w:ascii="Arial" w:cs="Arial" w:eastAsia="Arial" w:hAnsi="Arial"/>
                <w:sz w:val="18"/>
                <w:szCs w:val="18"/>
                <w:color w:val="0000FF"/>
                <w:w w:val="90"/>
              </w:rPr>
            </w:pPr>
            <w:hyperlink w:anchor="page16">
              <w:r>
                <w:rPr>
                  <w:rFonts w:ascii="Arial" w:cs="Arial" w:eastAsia="Arial" w:hAnsi="Arial"/>
                  <w:sz w:val="18"/>
                  <w:szCs w:val="18"/>
                  <w:color w:val="0000FF"/>
                  <w:w w:val="90"/>
                </w:rPr>
                <w:t>Management’s Discussion and Analysis of Financial Condition and Results of Operations</w:t>
              </w:r>
            </w:hyperlink>
          </w:p>
        </w:tc>
        <w:tc>
          <w:tcPr>
            <w:tcW w:w="3240" w:type="dxa"/>
            <w:vAlign w:val="bottom"/>
            <w:gridSpan w:val="5"/>
          </w:tcPr>
          <w:p>
            <w:pPr>
              <w:spacing w:after="0"/>
              <w:rPr>
                <w:sz w:val="24"/>
                <w:szCs w:val="24"/>
                <w:color w:val="auto"/>
              </w:rPr>
            </w:pPr>
          </w:p>
        </w:tc>
        <w:tc>
          <w:tcPr>
            <w:tcW w:w="620" w:type="dxa"/>
            <w:vAlign w:val="bottom"/>
            <w:gridSpan w:val="3"/>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15</w:t>
              </w:r>
            </w:hyperlink>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8"/>
          </w:tcPr>
          <w:p>
            <w:pPr>
              <w:spacing w:after="0"/>
              <w:rPr>
                <w:rFonts w:ascii="Arial" w:cs="Arial" w:eastAsia="Arial" w:hAnsi="Arial"/>
                <w:sz w:val="18"/>
                <w:szCs w:val="18"/>
                <w:color w:val="0000FF"/>
                <w:w w:val="91"/>
              </w:rPr>
            </w:pPr>
            <w:hyperlink w:anchor="page24">
              <w:r>
                <w:rPr>
                  <w:rFonts w:ascii="Arial" w:cs="Arial" w:eastAsia="Arial" w:hAnsi="Arial"/>
                  <w:sz w:val="18"/>
                  <w:szCs w:val="18"/>
                  <w:color w:val="0000FF"/>
                  <w:w w:val="91"/>
                </w:rPr>
                <w:t>Quantitative and Qualitative Disclosures About Market Risk</w:t>
              </w:r>
            </w:hyperlink>
          </w:p>
        </w:tc>
        <w:tc>
          <w:tcPr>
            <w:tcW w:w="2120" w:type="dxa"/>
            <w:vAlign w:val="bottom"/>
            <w:gridSpan w:val="2"/>
          </w:tcPr>
          <w:p>
            <w:pPr>
              <w:spacing w:after="0"/>
              <w:rPr>
                <w:sz w:val="24"/>
                <w:szCs w:val="24"/>
                <w:color w:val="auto"/>
              </w:rPr>
            </w:pPr>
          </w:p>
        </w:tc>
        <w:tc>
          <w:tcPr>
            <w:tcW w:w="3240" w:type="dxa"/>
            <w:vAlign w:val="bottom"/>
            <w:gridSpan w:val="5"/>
          </w:tcPr>
          <w:p>
            <w:pPr>
              <w:spacing w:after="0"/>
              <w:rPr>
                <w:sz w:val="24"/>
                <w:szCs w:val="24"/>
                <w:color w:val="auto"/>
              </w:rPr>
            </w:pPr>
          </w:p>
        </w:tc>
        <w:tc>
          <w:tcPr>
            <w:tcW w:w="62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23</w:t>
              </w:r>
            </w:hyperlink>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8"/>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Controls and Procedures</w:t>
              </w:r>
            </w:hyperlink>
          </w:p>
        </w:tc>
        <w:tc>
          <w:tcPr>
            <w:tcW w:w="5360" w:type="dxa"/>
            <w:vAlign w:val="bottom"/>
            <w:gridSpan w:val="7"/>
          </w:tcPr>
          <w:p>
            <w:pPr>
              <w:spacing w:after="0"/>
              <w:rPr>
                <w:sz w:val="24"/>
                <w:szCs w:val="24"/>
                <w:color w:val="auto"/>
              </w:rPr>
            </w:pPr>
          </w:p>
        </w:tc>
        <w:tc>
          <w:tcPr>
            <w:tcW w:w="62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23</w:t>
              </w:r>
            </w:hyperlink>
          </w:p>
        </w:tc>
      </w:tr>
      <w:tr>
        <w:trPr>
          <w:trHeight w:val="574"/>
        </w:trPr>
        <w:tc>
          <w:tcPr>
            <w:tcW w:w="680" w:type="dxa"/>
            <w:vAlign w:val="bottom"/>
            <w:tcBorders>
              <w:bottom w:val="single" w:sz="8" w:color="0000FF"/>
            </w:tcBorders>
            <w:gridSpan w:val="2"/>
          </w:tcPr>
          <w:p>
            <w:pPr>
              <w:spacing w:after="0"/>
              <w:rPr>
                <w:rFonts w:ascii="Arial" w:cs="Arial" w:eastAsia="Arial" w:hAnsi="Arial"/>
                <w:sz w:val="18"/>
                <w:szCs w:val="18"/>
                <w:b w:val="1"/>
                <w:bCs w:val="1"/>
                <w:color w:val="0000FF"/>
                <w:w w:val="99"/>
              </w:rPr>
            </w:pPr>
            <w:hyperlink w:anchor="page25">
              <w:r>
                <w:rPr>
                  <w:rFonts w:ascii="Arial" w:cs="Arial" w:eastAsia="Arial" w:hAnsi="Arial"/>
                  <w:sz w:val="18"/>
                  <w:szCs w:val="18"/>
                  <w:b w:val="1"/>
                  <w:bCs w:val="1"/>
                  <w:color w:val="0000FF"/>
                  <w:w w:val="99"/>
                </w:rPr>
                <w:t>PART II</w:t>
              </w:r>
            </w:hyperlink>
          </w:p>
        </w:tc>
        <w:tc>
          <w:tcPr>
            <w:tcW w:w="3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80" w:type="dxa"/>
            <w:vAlign w:val="bottom"/>
            <w:gridSpan w:val="9"/>
          </w:tcPr>
          <w:p>
            <w:pPr>
              <w:jc w:val="center"/>
              <w:ind w:right="2380"/>
              <w:spacing w:after="0"/>
              <w:rPr>
                <w:sz w:val="20"/>
                <w:szCs w:val="20"/>
                <w:color w:val="auto"/>
              </w:rPr>
            </w:pPr>
            <w:r>
              <w:rPr>
                <w:rFonts w:ascii="Arial" w:cs="Arial" w:eastAsia="Arial" w:hAnsi="Arial"/>
                <w:sz w:val="18"/>
                <w:szCs w:val="18"/>
                <w:b w:val="1"/>
                <w:bCs w:val="1"/>
                <w:color w:val="auto"/>
              </w:rPr>
              <w:t>OTHER INFORMATION</w:t>
            </w:r>
          </w:p>
        </w:tc>
        <w:tc>
          <w:tcPr>
            <w:tcW w:w="4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700" w:type="dxa"/>
            <w:vAlign w:val="bottom"/>
            <w:gridSpan w:val="15"/>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Legal Proceedings</w:t>
              </w:r>
            </w:hyperlink>
          </w:p>
        </w:tc>
        <w:tc>
          <w:tcPr>
            <w:tcW w:w="62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24</w:t>
              </w:r>
            </w:hyperlink>
          </w:p>
        </w:tc>
      </w:tr>
      <w:tr>
        <w:trPr>
          <w:trHeight w:val="20"/>
        </w:trPr>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FF"/>
                <w:w w:val="87"/>
              </w:rPr>
            </w:pPr>
            <w:hyperlink w:anchor="page26">
              <w:r>
                <w:rPr>
                  <w:rFonts w:ascii="Arial" w:cs="Arial" w:eastAsia="Arial" w:hAnsi="Arial"/>
                  <w:sz w:val="18"/>
                  <w:szCs w:val="18"/>
                  <w:color w:val="0000FF"/>
                  <w:w w:val="87"/>
                </w:rPr>
                <w:t>Risk Factors</w:t>
              </w:r>
            </w:hyperlink>
          </w:p>
        </w:tc>
        <w:tc>
          <w:tcPr>
            <w:tcW w:w="400" w:type="dxa"/>
            <w:vAlign w:val="bottom"/>
          </w:tcPr>
          <w:p>
            <w:pPr>
              <w:spacing w:after="0"/>
              <w:rPr>
                <w:sz w:val="24"/>
                <w:szCs w:val="24"/>
                <w:color w:val="auto"/>
              </w:rPr>
            </w:pPr>
          </w:p>
        </w:tc>
        <w:tc>
          <w:tcPr>
            <w:tcW w:w="8400" w:type="dxa"/>
            <w:vAlign w:val="bottom"/>
            <w:gridSpan w:val="12"/>
          </w:tcPr>
          <w:p>
            <w:pPr>
              <w:spacing w:after="0"/>
              <w:rPr>
                <w:sz w:val="24"/>
                <w:szCs w:val="24"/>
                <w:color w:val="auto"/>
              </w:rPr>
            </w:pPr>
          </w:p>
        </w:tc>
        <w:tc>
          <w:tcPr>
            <w:tcW w:w="62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24</w:t>
              </w:r>
            </w:hyperlink>
          </w:p>
        </w:tc>
      </w:tr>
      <w:tr>
        <w:trPr>
          <w:trHeight w:val="20"/>
        </w:trPr>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700" w:type="dxa"/>
            <w:vAlign w:val="bottom"/>
            <w:gridSpan w:val="15"/>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Unregistered Sales of Equity Securities and Use of Proceeds</w:t>
              </w:r>
            </w:hyperlink>
          </w:p>
        </w:tc>
        <w:tc>
          <w:tcPr>
            <w:tcW w:w="62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24</w:t>
              </w:r>
            </w:hyperlink>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5"/>
          </w:tcPr>
          <w:p>
            <w:pPr>
              <w:spacing w:after="0"/>
              <w:rPr>
                <w:rFonts w:ascii="Arial" w:cs="Arial" w:eastAsia="Arial" w:hAnsi="Arial"/>
                <w:sz w:val="18"/>
                <w:szCs w:val="18"/>
                <w:color w:val="0000FF"/>
                <w:w w:val="90"/>
              </w:rPr>
            </w:pPr>
            <w:hyperlink w:anchor="page26">
              <w:r>
                <w:rPr>
                  <w:rFonts w:ascii="Arial" w:cs="Arial" w:eastAsia="Arial" w:hAnsi="Arial"/>
                  <w:sz w:val="18"/>
                  <w:szCs w:val="18"/>
                  <w:color w:val="0000FF"/>
                  <w:w w:val="90"/>
                </w:rPr>
                <w:t>Defaults Upon Senior Securities</w:t>
              </w:r>
            </w:hyperlink>
          </w:p>
        </w:tc>
        <w:tc>
          <w:tcPr>
            <w:tcW w:w="2020" w:type="dxa"/>
            <w:vAlign w:val="bottom"/>
            <w:gridSpan w:val="3"/>
          </w:tcPr>
          <w:p>
            <w:pPr>
              <w:spacing w:after="0"/>
              <w:rPr>
                <w:sz w:val="24"/>
                <w:szCs w:val="24"/>
                <w:color w:val="auto"/>
              </w:rPr>
            </w:pPr>
          </w:p>
        </w:tc>
        <w:tc>
          <w:tcPr>
            <w:tcW w:w="5360" w:type="dxa"/>
            <w:vAlign w:val="bottom"/>
            <w:gridSpan w:val="7"/>
          </w:tcPr>
          <w:p>
            <w:pPr>
              <w:spacing w:after="0"/>
              <w:rPr>
                <w:sz w:val="24"/>
                <w:szCs w:val="24"/>
                <w:color w:val="auto"/>
              </w:rPr>
            </w:pPr>
          </w:p>
        </w:tc>
        <w:tc>
          <w:tcPr>
            <w:tcW w:w="62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25</w:t>
              </w:r>
            </w:hyperlink>
          </w:p>
        </w:tc>
      </w:tr>
      <w:tr>
        <w:trPr>
          <w:trHeight w:val="20"/>
        </w:trPr>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738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5"/>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Mine Safety Disclosures</w:t>
              </w:r>
            </w:hyperlink>
          </w:p>
        </w:tc>
        <w:tc>
          <w:tcPr>
            <w:tcW w:w="7380" w:type="dxa"/>
            <w:vAlign w:val="bottom"/>
            <w:gridSpan w:val="10"/>
          </w:tcPr>
          <w:p>
            <w:pPr>
              <w:spacing w:after="0"/>
              <w:rPr>
                <w:sz w:val="24"/>
                <w:szCs w:val="24"/>
                <w:color w:val="auto"/>
              </w:rPr>
            </w:pPr>
          </w:p>
        </w:tc>
        <w:tc>
          <w:tcPr>
            <w:tcW w:w="62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Other Information</w:t>
              </w:r>
            </w:hyperlink>
          </w:p>
        </w:tc>
        <w:tc>
          <w:tcPr>
            <w:tcW w:w="7940" w:type="dxa"/>
            <w:vAlign w:val="bottom"/>
            <w:gridSpan w:val="11"/>
          </w:tcPr>
          <w:p>
            <w:pPr>
              <w:spacing w:after="0"/>
              <w:rPr>
                <w:sz w:val="24"/>
                <w:szCs w:val="24"/>
                <w:color w:val="auto"/>
              </w:rPr>
            </w:pPr>
          </w:p>
        </w:tc>
        <w:tc>
          <w:tcPr>
            <w:tcW w:w="62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400" w:type="dxa"/>
            <w:vAlign w:val="bottom"/>
            <w:gridSpan w:val="1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Exhibits</w:t>
              </w:r>
            </w:hyperlink>
          </w:p>
        </w:tc>
        <w:tc>
          <w:tcPr>
            <w:tcW w:w="700" w:type="dxa"/>
            <w:vAlign w:val="bottom"/>
            <w:gridSpan w:val="2"/>
          </w:tcPr>
          <w:p>
            <w:pPr>
              <w:spacing w:after="0"/>
              <w:rPr>
                <w:sz w:val="24"/>
                <w:szCs w:val="24"/>
                <w:color w:val="auto"/>
              </w:rPr>
            </w:pPr>
          </w:p>
        </w:tc>
        <w:tc>
          <w:tcPr>
            <w:tcW w:w="8400" w:type="dxa"/>
            <w:vAlign w:val="bottom"/>
            <w:gridSpan w:val="12"/>
          </w:tcPr>
          <w:p>
            <w:pPr>
              <w:spacing w:after="0"/>
              <w:rPr>
                <w:sz w:val="24"/>
                <w:szCs w:val="24"/>
                <w:color w:val="auto"/>
              </w:rPr>
            </w:pPr>
          </w:p>
        </w:tc>
        <w:tc>
          <w:tcPr>
            <w:tcW w:w="62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040" w:type="dxa"/>
            <w:vAlign w:val="bottom"/>
            <w:gridSpan w:val="3"/>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Signature</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5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 except per share data)</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7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12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w w:val="93"/>
              </w:rPr>
              <w:t>September 30,</w:t>
            </w:r>
          </w:p>
        </w:tc>
      </w:tr>
      <w:tr>
        <w:trPr>
          <w:trHeight w:val="192"/>
        </w:trPr>
        <w:tc>
          <w:tcPr>
            <w:tcW w:w="78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226,217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209,608</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200,741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187,364</w:t>
            </w:r>
          </w:p>
        </w:tc>
      </w:tr>
      <w:tr>
        <w:trPr>
          <w:trHeight w:val="27"/>
        </w:trPr>
        <w:tc>
          <w:tcPr>
            <w:tcW w:w="7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22,244</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14,714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14,320</w:t>
            </w:r>
          </w:p>
        </w:tc>
      </w:tr>
      <w:tr>
        <w:trPr>
          <w:trHeight w:val="27"/>
        </w:trPr>
        <w:tc>
          <w:tcPr>
            <w:tcW w:w="7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7,924</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10,456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7,806</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federal, state and foreign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3,122</w:t>
            </w:r>
          </w:p>
        </w:tc>
      </w:tr>
      <w:tr>
        <w:trPr>
          <w:trHeight w:val="29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6,552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4,684</w:t>
            </w:r>
          </w:p>
        </w:tc>
      </w:tr>
      <w:tr>
        <w:trPr>
          <w:trHeight w:val="23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0.18</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0.18</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26,116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25,788</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26,647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26,148</w:t>
            </w:r>
          </w:p>
        </w:tc>
      </w:tr>
      <w:tr>
        <w:trPr>
          <w:trHeight w:val="27"/>
        </w:trPr>
        <w:tc>
          <w:tcPr>
            <w:tcW w:w="78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- 1-</w:t>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7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120" w:type="dxa"/>
            <w:vAlign w:val="bottom"/>
          </w:tcPr>
          <w:p>
            <w:pPr>
              <w:jc w:val="right"/>
              <w:ind w:right="117"/>
              <w:spacing w:after="0" w:line="153" w:lineRule="exact"/>
              <w:rPr>
                <w:sz w:val="20"/>
                <w:szCs w:val="20"/>
                <w:color w:val="auto"/>
              </w:rPr>
            </w:pPr>
            <w:r>
              <w:rPr>
                <w:rFonts w:ascii="Arial" w:cs="Arial" w:eastAsia="Arial" w:hAnsi="Arial"/>
                <w:sz w:val="14"/>
                <w:szCs w:val="14"/>
                <w:b w:val="1"/>
                <w:bCs w:val="1"/>
                <w:color w:val="auto"/>
                <w:w w:val="93"/>
              </w:rPr>
              <w:t>September 30,</w:t>
            </w:r>
          </w:p>
        </w:tc>
      </w:tr>
      <w:tr>
        <w:trPr>
          <w:trHeight w:val="192"/>
        </w:trPr>
        <w:tc>
          <w:tcPr>
            <w:tcW w:w="78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2012</w:t>
            </w: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6,552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4,684</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467</w:t>
            </w:r>
          </w:p>
        </w:tc>
      </w:tr>
      <w:tr>
        <w:trPr>
          <w:trHeight w:val="257"/>
        </w:trPr>
        <w:tc>
          <w:tcPr>
            <w:tcW w:w="78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6,854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5,151</w:t>
            </w:r>
          </w:p>
        </w:tc>
      </w:tr>
      <w:tr>
        <w:trPr>
          <w:trHeight w:val="20"/>
        </w:trPr>
        <w:tc>
          <w:tcPr>
            <w:tcW w:w="7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0940"/>
          </w:cols>
          <w:pgMar w:left="240" w:top="125" w:right="71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5"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4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8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79,762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63,750</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Accounts receivable, less allowances (September 30, 2013—$70 and June 30, 2013—$795)</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150,473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140,840</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73,773</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6,063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5,657</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2,988</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Income taxes receivable</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3,032</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6,234</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312,810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296,274</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at cost: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Land and buildings</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29,667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29,649</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71,132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69,998</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Transportation equipment</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37,126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34,366</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Office equipment and software</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18,426</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9,559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9,080</w:t>
            </w:r>
          </w:p>
        </w:tc>
      </w:tr>
      <w:tr>
        <w:trPr>
          <w:trHeight w:val="27"/>
        </w:trPr>
        <w:tc>
          <w:tcPr>
            <w:tcW w:w="7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166,247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161,519</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(92,920)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(90,218)</w:t>
            </w:r>
          </w:p>
        </w:tc>
      </w:tr>
      <w:tr>
        <w:trPr>
          <w:trHeight w:val="27"/>
        </w:trPr>
        <w:tc>
          <w:tcPr>
            <w:tcW w:w="7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73,327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71,301</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30,887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30,836</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7,551</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4,016</w:t>
            </w:r>
          </w:p>
        </w:tc>
      </w:tr>
      <w:tr>
        <w:trPr>
          <w:trHeight w:val="27"/>
        </w:trPr>
        <w:tc>
          <w:tcPr>
            <w:tcW w:w="7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428,988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409,978</w:t>
            </w:r>
          </w:p>
        </w:tc>
      </w:tr>
      <w:tr>
        <w:trPr>
          <w:trHeight w:val="20"/>
        </w:trPr>
        <w:tc>
          <w:tcPr>
            <w:tcW w:w="7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0940"/>
          </w:cols>
          <w:pgMar w:left="240" w:top="125"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- 3-</w:t>
      </w:r>
    </w:p>
    <w:p>
      <w:pPr>
        <w:sectPr>
          <w:pgSz w:w="11900" w:h="16838" w:orient="portrait"/>
          <w:cols w:equalWidth="0" w:num="1">
            <w:col w:w="10940"/>
          </w:cols>
          <w:pgMar w:left="240" w:top="125" w:right="71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 except share data)</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(unaudited)</w:t>
      </w:r>
    </w:p>
    <w:p>
      <w:pPr>
        <w:spacing w:after="0" w:line="31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4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8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68,961</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75,783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62,848</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wages and benefits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21,919</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Accrued insurance</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7,651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7,599</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Other accrued expenses</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3,039</w:t>
            </w:r>
          </w:p>
        </w:tc>
      </w:tr>
      <w:tr>
        <w:trPr>
          <w:trHeight w:val="27"/>
        </w:trPr>
        <w:tc>
          <w:tcPr>
            <w:tcW w:w="7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172,242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164,366</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7,844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7,450</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 term debt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182,512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171,816</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8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Common stock—$.01 par value; 60,000,000 shares authorized; 27,888,217 shares issued as of</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September 30, 2013, and June 30, 2013</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119,063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118,190</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147,979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141,427</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227</w:t>
            </w:r>
          </w:p>
        </w:tc>
      </w:tr>
      <w:tr>
        <w:trPr>
          <w:trHeight w:val="27"/>
        </w:trPr>
        <w:tc>
          <w:tcPr>
            <w:tcW w:w="7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267,850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260,123</w:t>
            </w:r>
          </w:p>
        </w:tc>
      </w:tr>
      <w:tr>
        <w:trPr>
          <w:trHeight w:val="229"/>
        </w:trPr>
        <w:tc>
          <w:tcPr>
            <w:tcW w:w="7820" w:type="dxa"/>
            <w:vAlign w:val="bottom"/>
          </w:tcPr>
          <w:p>
            <w:pPr>
              <w:ind w:left="380"/>
              <w:spacing w:after="0"/>
              <w:rPr>
                <w:sz w:val="20"/>
                <w:szCs w:val="20"/>
                <w:color w:val="auto"/>
              </w:rPr>
            </w:pPr>
            <w:r>
              <w:rPr>
                <w:rFonts w:ascii="Arial" w:cs="Arial" w:eastAsia="Arial" w:hAnsi="Arial"/>
                <w:sz w:val="18"/>
                <w:szCs w:val="18"/>
                <w:color w:val="auto"/>
                <w:w w:val="89"/>
              </w:rPr>
              <w:t>Less: Treasury stock, at cost—1,746,259 shares as of September 30, 2013, and 1,779,593 shares as of</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820" w:type="dxa"/>
            <w:vAlign w:val="bottom"/>
          </w:tcPr>
          <w:p>
            <w:pPr>
              <w:ind w:left="380"/>
              <w:spacing w:after="0"/>
              <w:rPr>
                <w:sz w:val="20"/>
                <w:szCs w:val="20"/>
                <w:color w:val="auto"/>
              </w:rPr>
            </w:pPr>
            <w:r>
              <w:rPr>
                <w:rFonts w:ascii="Arial" w:cs="Arial" w:eastAsia="Arial" w:hAnsi="Arial"/>
                <w:sz w:val="18"/>
                <w:szCs w:val="18"/>
                <w:color w:val="auto"/>
              </w:rPr>
              <w:t>June 30, 2013</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(21,961)</w:t>
            </w:r>
          </w:p>
        </w:tc>
      </w:tr>
      <w:tr>
        <w:trPr>
          <w:trHeight w:val="27"/>
        </w:trPr>
        <w:tc>
          <w:tcPr>
            <w:tcW w:w="7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246,476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238,162</w:t>
            </w:r>
          </w:p>
        </w:tc>
      </w:tr>
      <w:tr>
        <w:trPr>
          <w:trHeight w:val="257"/>
        </w:trPr>
        <w:tc>
          <w:tcPr>
            <w:tcW w:w="78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428,988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409,978</w:t>
            </w:r>
          </w:p>
        </w:tc>
      </w:tr>
      <w:tr>
        <w:trPr>
          <w:trHeight w:val="20"/>
        </w:trPr>
        <w:tc>
          <w:tcPr>
            <w:tcW w:w="7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- 4-</w:t>
      </w:r>
    </w:p>
    <w:p>
      <w:pPr>
        <w:sectPr>
          <w:pgSz w:w="11900" w:h="16838" w:orient="portrait"/>
          <w:cols w:equalWidth="0" w:num="1">
            <w:col w:w="10940"/>
          </w:cols>
          <w:pgMar w:left="240" w:top="125" w:right="71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(unaudited)</w:t>
      </w:r>
    </w:p>
    <w:p>
      <w:pPr>
        <w:spacing w:after="0" w:line="163"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7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12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w w:val="93"/>
              </w:rPr>
              <w:t>September 30,</w:t>
            </w:r>
          </w:p>
        </w:tc>
      </w:tr>
      <w:tr>
        <w:trPr>
          <w:trHeight w:val="192"/>
        </w:trPr>
        <w:tc>
          <w:tcPr>
            <w:tcW w:w="78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6,552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4,684</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(used)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3,720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2,826</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income tax</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Gain on sale of property, plant and equipment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Allowance for uncollectible accounts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705</w:t>
            </w: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866</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 increasing (decreasing) cash:</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Accounts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(49,515)</w:t>
            </w:r>
          </w:p>
        </w:tc>
      </w:tr>
      <w:tr>
        <w:trPr>
          <w:trHeight w:val="243"/>
        </w:trPr>
        <w:tc>
          <w:tcPr>
            <w:tcW w:w="7820" w:type="dxa"/>
            <w:vAlign w:val="bottom"/>
          </w:tcPr>
          <w:p>
            <w:pPr>
              <w:ind w:left="6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7,095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(9,036)</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43"/>
        </w:trPr>
        <w:tc>
          <w:tcPr>
            <w:tcW w:w="7820" w:type="dxa"/>
            <w:vAlign w:val="bottom"/>
          </w:tcPr>
          <w:p>
            <w:pPr>
              <w:ind w:left="68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(1,292)</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12,541</w:t>
            </w:r>
          </w:p>
        </w:tc>
      </w:tr>
      <w:tr>
        <w:trPr>
          <w:trHeight w:val="243"/>
        </w:trPr>
        <w:tc>
          <w:tcPr>
            <w:tcW w:w="7820" w:type="dxa"/>
            <w:vAlign w:val="bottom"/>
          </w:tcPr>
          <w:p>
            <w:pPr>
              <w:ind w:left="6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12,935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15,344</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2,591</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Net cash provided (used) by operating activities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18,450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(20,998)</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(5,092)</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asset sales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Net cash used by investing activities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(5,055)</w:t>
            </w:r>
          </w:p>
        </w:tc>
      </w:tr>
    </w:tbl>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- 5-</w:t>
      </w:r>
    </w:p>
    <w:p>
      <w:pPr>
        <w:sectPr>
          <w:pgSz w:w="11900" w:h="16838" w:orient="portrait"/>
          <w:cols w:equalWidth="0" w:num="1">
            <w:col w:w="10940"/>
          </w:cols>
          <w:pgMar w:left="240" w:top="125" w:right="71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7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12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Issuances of common stock</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payments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Excess tax benefit of exercised stock options and vesting of deferred shares</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Advances under credit agreement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7,828</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Repayments of advances under credit agreement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Treasury shares purchased by Employee Stock Purchase Plan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Other treasury share purchases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(22,556)</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63,750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39,726</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79,762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17,170</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during the period for:</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51"/>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Purchases of property, plant and equipment on account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8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0940"/>
          </w:cols>
          <w:pgMar w:left="240" w:top="125" w:right="71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(In thousands, except share data)</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(unaudited)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12"/>
                <w:szCs w:val="12"/>
                <w:color w:val="auto"/>
              </w:rPr>
            </w:pPr>
          </w:p>
        </w:tc>
        <w:tc>
          <w:tcPr>
            <w:tcW w:w="84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Income(Loss)</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June 30, 2013</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118,190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141,427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238,162</w:t>
            </w:r>
          </w:p>
        </w:tc>
        <w:tc>
          <w:tcPr>
            <w:tcW w:w="0" w:type="dxa"/>
            <w:vAlign w:val="bottom"/>
          </w:tcPr>
          <w:p>
            <w:pPr>
              <w:spacing w:after="0"/>
              <w:rPr>
                <w:sz w:val="1"/>
                <w:szCs w:val="1"/>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6,552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6,552</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Exercise of stock options (31,800 shares)</w:t>
            </w: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Tax effect of exercised stock options and vesting of</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shares</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Issuance of deferred shares (644 shares)</w:t>
            </w: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2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Treasury shares sold to Employee Stock Purchase Plan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(1,127 shares)</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Other treasury share purchases (237 shares)</w:t>
            </w: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1,087</w:t>
            </w:r>
          </w:p>
        </w:tc>
        <w:tc>
          <w:tcPr>
            <w:tcW w:w="0" w:type="dxa"/>
            <w:vAlign w:val="bottom"/>
          </w:tcPr>
          <w:p>
            <w:pPr>
              <w:spacing w:after="0"/>
              <w:rPr>
                <w:sz w:val="1"/>
                <w:szCs w:val="1"/>
                <w:color w:val="auto"/>
              </w:rPr>
            </w:pPr>
          </w:p>
        </w:tc>
      </w:tr>
      <w:tr>
        <w:trPr>
          <w:trHeight w:val="244"/>
        </w:trPr>
        <w:tc>
          <w:tcPr>
            <w:tcW w:w="3620" w:type="dxa"/>
            <w:vAlign w:val="bottom"/>
          </w:tcPr>
          <w:p>
            <w:pPr>
              <w:ind w:left="40"/>
              <w:spacing w:after="0"/>
              <w:rPr>
                <w:sz w:val="20"/>
                <w:szCs w:val="20"/>
                <w:color w:val="auto"/>
              </w:rPr>
            </w:pPr>
            <w:r>
              <w:rPr>
                <w:rFonts w:ascii="Arial" w:cs="Arial" w:eastAsia="Arial" w:hAnsi="Arial"/>
                <w:sz w:val="16"/>
                <w:szCs w:val="16"/>
                <w:color w:val="auto"/>
              </w:rPr>
              <w:t>Balances, September 30, 2013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119,063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147,979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(21,374)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246,476</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June 30, 2012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116,693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117,419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211,097</w:t>
            </w:r>
          </w:p>
        </w:tc>
        <w:tc>
          <w:tcPr>
            <w:tcW w:w="0" w:type="dxa"/>
            <w:vAlign w:val="bottom"/>
          </w:tcPr>
          <w:p>
            <w:pPr>
              <w:spacing w:after="0"/>
              <w:rPr>
                <w:sz w:val="1"/>
                <w:szCs w:val="1"/>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4,684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4,684</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Exercise of stock options (16,600 shares)</w:t>
            </w: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Tax effect of exercised stock options and vesting of</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shares</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Issuance of deferred shares (106,394 shares)</w:t>
            </w: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2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Treasury shares sold to Employee Stock Purchase Plan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(686 shares)</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Other treasury share purchases (33,454 shares)</w:t>
            </w: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244"/>
        </w:trPr>
        <w:tc>
          <w:tcPr>
            <w:tcW w:w="3620" w:type="dxa"/>
            <w:vAlign w:val="bottom"/>
          </w:tcPr>
          <w:p>
            <w:pPr>
              <w:ind w:left="40"/>
              <w:spacing w:after="0"/>
              <w:rPr>
                <w:sz w:val="20"/>
                <w:szCs w:val="20"/>
                <w:color w:val="auto"/>
              </w:rPr>
            </w:pPr>
            <w:r>
              <w:rPr>
                <w:rFonts w:ascii="Arial" w:cs="Arial" w:eastAsia="Arial" w:hAnsi="Arial"/>
                <w:sz w:val="16"/>
                <w:szCs w:val="16"/>
                <w:color w:val="auto"/>
              </w:rPr>
              <w:t>Balances, September 30, 2012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117,297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122,103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(24,094)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1,238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216,823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- 7-</w:t>
      </w:r>
    </w:p>
    <w:p>
      <w:pPr>
        <w:sectPr>
          <w:pgSz w:w="11900" w:h="16838" w:orient="portrait"/>
          <w:cols w:equalWidth="0" w:num="1">
            <w:col w:w="10960"/>
          </w:cols>
          <w:pgMar w:left="240" w:top="125" w:right="69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condensed consolidated financial statements include the accounts of Matrix Service Company (“Matrix”, “we”, “our”, “us”, “its” or the “Company”) and its subsidiaries, all of which are wholly owned. Intercompany balances and transactions have been eliminated in consolidation.</w:t>
      </w:r>
    </w:p>
    <w:p>
      <w:pPr>
        <w:spacing w:after="0" w:line="9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generally accepted accounting principles for complete financial statements. However, the information furnished reflects all adjustments, consisting of normal recurring adjustments and other adjustments described herein, that are, in the opinion of management, necessary for a fair statement of the results of operations, cash flows and financial position for the interim periods presented. The accompanying condensed financial statements should be read in conjunction with the audited financial statements for the year ended June 30, 2013, included in the Company’s Annual Report on Form 10-K for the year then ended.</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business is cyclical due to the scope and timing of projects released by our customers. Therefore, results from year to year can vary. Turnarounds and planned outages at customer facilities are typically scheduled in the spring and the fall when the demand is lower. As a result, quarterly operating results can exhibit seasonal fluctuations, especially in our Oil Gas &amp; Chemical segment. We typically see a lower level of operating activity relating to construction projects during the winter months and early in the calendar year because many of our customers’ capital budgets have not been finalized. Our business can also be affected both positively and negatively by seasonal factors such as energy demand or weather conditions, including hurricanes, snowstorms, and abnormally low or high temperatures. Accordingly, results for any interim period may not necessarily be indicative of future operating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Uncompleted Contracts</w:t>
      </w:r>
    </w:p>
    <w:p>
      <w:pPr>
        <w:spacing w:after="0" w:line="9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recognized on uncompleted contracts is reported as a current liability. Gross and net amounts on uncompleted contracts are as follows:</w:t>
      </w:r>
    </w:p>
    <w:p>
      <w:pPr>
        <w:spacing w:after="0" w:line="261"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2"/>
        </w:trPr>
        <w:tc>
          <w:tcPr>
            <w:tcW w:w="7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7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incurred and estimated earnings recognized on uncompleted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848,334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802,588</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Billings on uncompleted contracts</w:t>
            </w: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857,439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791,663</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10,925</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Shown on balance sheet as: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66,678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73,773</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75,783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62,848</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10,925</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320"/>
        <w:spacing w:after="0" w:line="342" w:lineRule="auto"/>
        <w:rPr>
          <w:sz w:val="20"/>
          <w:szCs w:val="20"/>
          <w:color w:val="auto"/>
        </w:rPr>
      </w:pPr>
      <w:r>
        <w:rPr>
          <w:rFonts w:ascii="Arial" w:cs="Arial" w:eastAsia="Arial" w:hAnsi="Arial"/>
          <w:sz w:val="16"/>
          <w:szCs w:val="16"/>
          <w:color w:val="auto"/>
        </w:rPr>
        <w:t>Progress billings in accounts receivable at September 30, 2013 and June 30, 2013 included retentions to be collected within one year of $23.7 million and $19.9 million, respectively. Contract retentions collectible beyond one year totaled $3.6 million at September 30, 2013 and $3.1 million at June 30, 2013.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SME Receivables</w:t>
      </w:r>
    </w:p>
    <w:p>
      <w:pPr>
        <w:spacing w:after="0" w:line="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continues to pursue collection of a certain receivable acquired in connection with the purchase of S.M. Electric Company, Inc. in February 2009. The recorded values at September 30, 2013 include $0.7 million in claim receivables, which represents the Company’s best estimate of the amount to be collected under a claim, and an additional $2.9 million for amounts due under the related contract. Recovering the remaining receivables will require mediation or litigation and the ultimate amount realized may be significantly different than the recorded amounts, which could result in a material adjustment to future earnings.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estimates that caused a material impact to our results of operations during the periods presented herein.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Intangible Assets Including Goodwill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339"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Electrical</w:t>
            </w:r>
          </w:p>
        </w:tc>
        <w:tc>
          <w:tcPr>
            <w:tcW w:w="24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Oil Gas &amp;</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Storage</w:t>
            </w:r>
          </w:p>
        </w:tc>
        <w:tc>
          <w:tcPr>
            <w:tcW w:w="24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Industrial</w:t>
            </w:r>
          </w:p>
        </w:tc>
        <w:tc>
          <w:tcPr>
            <w:tcW w:w="32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Infrastructure</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Chemical</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(In thousands)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29,666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10,985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7,097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55,836</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Cumulative impairment loss (A)</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balance at June 30, 2013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30,836</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Translation adjustment (B)</w:t>
            </w: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balance at September 30, 2013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12,013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5,088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10,114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30,887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$25.0 million impairment charge was recorded in February 2005 as a result of the Company’s operating performance in fiscal 2005.</w:t>
      </w:r>
    </w:p>
    <w:p>
      <w:pPr>
        <w:spacing w:after="0" w:line="34" w:lineRule="exact"/>
        <w:rPr>
          <w:rFonts w:ascii="Arial" w:cs="Arial" w:eastAsia="Arial" w:hAnsi="Arial"/>
          <w:sz w:val="17"/>
          <w:szCs w:val="17"/>
          <w:color w:val="auto"/>
        </w:rPr>
      </w:pPr>
    </w:p>
    <w:p>
      <w:pPr>
        <w:ind w:left="540" w:right="220" w:hanging="316"/>
        <w:spacing w:after="0" w:line="261"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translation adjustment relates to the periodic translation of Canadian Dollar denominated goodwill recorded as a part of a prior Canadian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At September 30, 2013</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124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(Years)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(In thousands)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6 to 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Customer based</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 to 15</w:t>
            </w: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3,624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5</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intangibles</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5,928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540" w:type="dxa"/>
            <w:vAlign w:val="bottom"/>
            <w:gridSpan w:val="2"/>
          </w:tcPr>
          <w:p>
            <w:pPr>
              <w:ind w:left="260"/>
              <w:spacing w:after="0"/>
              <w:rPr>
                <w:sz w:val="20"/>
                <w:szCs w:val="20"/>
                <w:color w:val="auto"/>
              </w:rPr>
            </w:pPr>
            <w:r>
              <w:rPr>
                <w:rFonts w:ascii="Arial" w:cs="Arial" w:eastAsia="Arial" w:hAnsi="Arial"/>
                <w:sz w:val="18"/>
                <w:szCs w:val="18"/>
                <w:color w:val="auto"/>
              </w:rPr>
              <w:t>Indefinite</w:t>
            </w: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7,378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At June 30, 2013</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124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(Years)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(In thousands)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6 to 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Customer based</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 to 15</w:t>
            </w: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3,708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5</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intangibles</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540" w:type="dxa"/>
            <w:vAlign w:val="bottom"/>
            <w:gridSpan w:val="2"/>
          </w:tcPr>
          <w:p>
            <w:pPr>
              <w:ind w:left="260"/>
              <w:spacing w:after="0"/>
              <w:rPr>
                <w:sz w:val="20"/>
                <w:szCs w:val="20"/>
                <w:color w:val="auto"/>
              </w:rPr>
            </w:pPr>
            <w:r>
              <w:rPr>
                <w:rFonts w:ascii="Arial" w:cs="Arial" w:eastAsia="Arial" w:hAnsi="Arial"/>
                <w:sz w:val="18"/>
                <w:szCs w:val="18"/>
                <w:color w:val="auto"/>
              </w:rPr>
              <w:t>Indefinite</w:t>
            </w: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40" w:type="dxa"/>
            <w:vAlign w:val="bottom"/>
            <w:vMerge w:val="restart"/>
          </w:tcPr>
          <w:p>
            <w:pPr>
              <w:jc w:val="right"/>
              <w:ind w:right="295"/>
              <w:spacing w:after="0"/>
              <w:rPr>
                <w:sz w:val="20"/>
                <w:szCs w:val="20"/>
                <w:color w:val="auto"/>
              </w:rPr>
            </w:pPr>
            <w:r>
              <w:rPr>
                <w:rFonts w:ascii="Arial" w:cs="Arial" w:eastAsia="Arial" w:hAnsi="Arial"/>
                <w:sz w:val="18"/>
                <w:szCs w:val="18"/>
                <w:color w:val="auto"/>
              </w:rPr>
              <w:t>- 9-</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240" w:top="125" w:right="71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totaled $0.2 million in the three months ended September 30, 2013 and $0.1 million in the three months ended September 30,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is expected to be $0.7 million annually in fiscal years 2014 through 2016, and $0.6 million in fiscal years 2017 and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Debt</w:t>
      </w:r>
    </w:p>
    <w:p>
      <w:pPr>
        <w:spacing w:after="0" w:line="9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Company has a five-year, $125.0 million senior secured revolving credit facility (the “Credit Agreement”) that expires November 7, 2016. Advances under the Credit Agreement may be used for working capital, issuance of letters of credit and other lawful corporate purposes.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Senior Leverage Ratio, as defined in the agreement, may not exceed 2.50 to 1.00 as of the end of each fiscal quarter.</w:t>
      </w:r>
    </w:p>
    <w:p>
      <w:pPr>
        <w:spacing w:after="0" w:line="171" w:lineRule="exact"/>
        <w:rPr>
          <w:rFonts w:ascii="Arial" w:cs="Arial" w:eastAsia="Arial" w:hAnsi="Arial"/>
          <w:sz w:val="18"/>
          <w:szCs w:val="18"/>
          <w:color w:val="auto"/>
        </w:rPr>
      </w:pPr>
    </w:p>
    <w:p>
      <w:pPr>
        <w:ind w:left="1300" w:right="80" w:hanging="48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 as of the end of each fiscal quarter.</w:t>
      </w:r>
    </w:p>
    <w:p>
      <w:pPr>
        <w:spacing w:after="0" w:line="116" w:lineRule="exact"/>
        <w:rPr>
          <w:rFonts w:ascii="Arial" w:cs="Arial" w:eastAsia="Arial" w:hAnsi="Arial"/>
          <w:sz w:val="18"/>
          <w:szCs w:val="18"/>
          <w:color w:val="auto"/>
        </w:rPr>
      </w:pPr>
    </w:p>
    <w:p>
      <w:pPr>
        <w:ind w:left="1300" w:right="140" w:hanging="48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$15.0 million per 12-month period.</w:t>
      </w:r>
    </w:p>
    <w:p>
      <w:pPr>
        <w:spacing w:after="0" w:line="116" w:lineRule="exact"/>
        <w:rPr>
          <w:sz w:val="20"/>
          <w:szCs w:val="20"/>
          <w:color w:val="auto"/>
        </w:rPr>
      </w:pPr>
    </w:p>
    <w:p>
      <w:pPr>
        <w:ind w:left="60" w:right="380"/>
        <w:spacing w:after="0" w:line="264" w:lineRule="auto"/>
        <w:rPr>
          <w:sz w:val="20"/>
          <w:szCs w:val="20"/>
          <w:color w:val="auto"/>
        </w:rPr>
      </w:pPr>
      <w:r>
        <w:rPr>
          <w:rFonts w:ascii="Arial" w:cs="Arial" w:eastAsia="Arial" w:hAnsi="Arial"/>
          <w:sz w:val="18"/>
          <w:szCs w:val="18"/>
          <w:color w:val="auto"/>
        </w:rPr>
        <w:t>Amounts borrowed under the Credit Agreement bear interest at LIBOR or an Alternate Base Rate, plus in each case, an additional margin based on the Senior Leverage Ratio. The additional margin on Alternate Base Rate and LIBOR-based loans ranges between 0.75% and 1.5% and between 1.75% and 2.5%, respectively.</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Credit Agreement also permits us to borrow in Canadian dollars with a sublimit of U.S. $15.0 million. Amounts borrowed in Canadian dollars will bear interest either at the CDOR Rate, plus an additional margin based on the Senior Leverage Ratio ranging from 1.75% to 2.5%, or at the Canadian Prime Rate, plus an additional margin based on the Senior Leverage Ratio ranging from 2.25% to 3.0%.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0.30% and 0.45% based on the Senior Leverage Ratio.</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Credit Agreement includes a Senior Leverage Ratio covenant which provides that Consolidated Funded Indebtedness, as of the end of any fiscal quarter, may not exceed 2.5 times Consolidated EBITDA, as defined in the Credit Agreement, over the previous four quarters. For the four quarters ended September 30, 2013, Consolidated EBITDA, as defined in the Credit Agreement, was $57.1 million. Accordingly, at September 30, 2013, the Company had full availability of the $125.0 million credit facility. Consolidated Funded Indebtedness at September 30, 2013 was $9.2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credit facility was as follows:</w:t>
      </w:r>
    </w:p>
    <w:p>
      <w:pPr>
        <w:spacing w:after="0" w:line="339"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4"/>
                <w:szCs w:val="14"/>
                <w:color w:val="auto"/>
              </w:rPr>
            </w:pPr>
          </w:p>
        </w:tc>
        <w:tc>
          <w:tcPr>
            <w:tcW w:w="1140" w:type="dxa"/>
            <w:vAlign w:val="bottom"/>
          </w:tcPr>
          <w:p>
            <w:pPr>
              <w:jc w:val="right"/>
              <w:ind w:right="476"/>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7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2013</w:t>
            </w:r>
          </w:p>
        </w:tc>
      </w:tr>
      <w:tr>
        <w:trPr>
          <w:trHeight w:val="196"/>
        </w:trPr>
        <w:tc>
          <w:tcPr>
            <w:tcW w:w="7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125,000</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Borrowings outstanding</w:t>
            </w:r>
          </w:p>
        </w:tc>
        <w:tc>
          <w:tcPr>
            <w:tcW w:w="200" w:type="dxa"/>
            <w:vAlign w:val="bottom"/>
          </w:tcPr>
          <w:p>
            <w:pPr>
              <w:spacing w:after="0"/>
              <w:rPr>
                <w:sz w:val="21"/>
                <w:szCs w:val="21"/>
                <w:color w:val="auto"/>
              </w:rPr>
            </w:pP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2,426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13,625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13,372</w:t>
            </w:r>
          </w:p>
        </w:tc>
      </w:tr>
      <w:tr>
        <w:trPr>
          <w:trHeight w:val="257"/>
        </w:trPr>
        <w:tc>
          <w:tcPr>
            <w:tcW w:w="7200" w:type="dxa"/>
            <w:vAlign w:val="bottom"/>
          </w:tcPr>
          <w:p>
            <w:pPr>
              <w:ind w:left="20"/>
              <w:spacing w:after="0"/>
              <w:rPr>
                <w:sz w:val="20"/>
                <w:szCs w:val="20"/>
                <w:color w:val="auto"/>
              </w:rPr>
            </w:pPr>
            <w:r>
              <w:rPr>
                <w:rFonts w:ascii="Arial" w:cs="Arial" w:eastAsia="Arial" w:hAnsi="Arial"/>
                <w:sz w:val="18"/>
                <w:szCs w:val="18"/>
                <w:color w:val="auto"/>
              </w:rPr>
              <w:t>Availability under the senior credit facility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108,949</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111,628</w:t>
            </w: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 compliance with all affirmative, negative, and financial covenants under the Credit Agreement.</w:t>
      </w: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- 10-</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Income Taxes</w:t>
      </w:r>
    </w:p>
    <w:p>
      <w:pPr>
        <w:spacing w:after="0" w:line="94"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Company complies with ASC 740, “Income Taxes”. Deferred income taxes are computed using the liability method whereby deferred tax assets and liabilities are recognized based on temporary differences between the financial and tax basis of assets and liabilities using presently enacted tax rates. Valuation allowances are established against deferred tax assets to the extent management believes that it is not probable the assets will be recovered.</w:t>
      </w:r>
    </w:p>
    <w:p>
      <w:pPr>
        <w:spacing w:after="0" w:line="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provides for income taxes regardless of whether it has received a tax assessment. Taxes are provided when it is considered probable that additional taxes will be due in excess of amounts included in the tax return. The Company regularly reviews exposure to additional income taxes due, and as further information is known or events occur, adjustments may be recorded.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Change Orders and Claims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and claims of $10.3 million at September 30, 2013 and $9.1 million at June 30, 2013. Generally, collection of amounts related to unapproved change orders and claims is expected within twelve months. However, since customers may not pay these amounts until final resolution of related claims, collection of these amounts may extend beyond one year.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- 11-</w:t>
      </w:r>
    </w:p>
    <w:p>
      <w:pPr>
        <w:sectPr>
          <w:pgSz w:w="11900" w:h="16838" w:orient="portrait"/>
          <w:cols w:equalWidth="0" w:num="1">
            <w:col w:w="11320"/>
          </w:cols>
          <w:pgMar w:left="24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Earnings per Common Share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163"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23495</wp:posOffset>
            </wp:positionV>
            <wp:extent cx="18008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gridSpan w:val="7"/>
          </w:tcPr>
          <w:p>
            <w:pPr>
              <w:ind w:left="180"/>
              <w:spacing w:after="0"/>
              <w:rPr>
                <w:sz w:val="20"/>
                <w:szCs w:val="20"/>
                <w:color w:val="auto"/>
              </w:rPr>
            </w:pPr>
            <w:r>
              <w:rPr>
                <w:rFonts w:ascii="Arial" w:cs="Arial" w:eastAsia="Arial" w:hAnsi="Arial"/>
                <w:sz w:val="14"/>
                <w:szCs w:val="14"/>
                <w:color w:val="auto"/>
              </w:rPr>
              <w:t>(In thousands, except per share data)</w:t>
            </w:r>
          </w:p>
        </w:tc>
        <w:tc>
          <w:tcPr>
            <w:tcW w:w="0" w:type="dxa"/>
            <w:vAlign w:val="bottom"/>
          </w:tcPr>
          <w:p>
            <w:pPr>
              <w:spacing w:after="0"/>
              <w:rPr>
                <w:sz w:val="1"/>
                <w:szCs w:val="1"/>
                <w:color w:val="auto"/>
              </w:rPr>
            </w:pPr>
          </w:p>
        </w:tc>
      </w:tr>
      <w:tr>
        <w:trPr>
          <w:trHeight w:val="256"/>
        </w:trPr>
        <w:tc>
          <w:tcPr>
            <w:tcW w:w="460" w:type="dxa"/>
            <w:vAlign w:val="bottom"/>
          </w:tcPr>
          <w:p>
            <w:pPr>
              <w:spacing w:after="0"/>
              <w:rPr>
                <w:sz w:val="22"/>
                <w:szCs w:val="22"/>
                <w:color w:val="auto"/>
              </w:rPr>
            </w:pPr>
          </w:p>
        </w:tc>
        <w:tc>
          <w:tcPr>
            <w:tcW w:w="7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6,552</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4,684</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60" w:type="dxa"/>
            <w:vAlign w:val="bottom"/>
          </w:tcPr>
          <w:p>
            <w:pPr>
              <w:spacing w:after="0"/>
              <w:rPr>
                <w:sz w:val="21"/>
                <w:szCs w:val="21"/>
                <w:color w:val="auto"/>
              </w:rPr>
            </w:pPr>
          </w:p>
        </w:tc>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26,116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25,788</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60" w:type="dxa"/>
            <w:vAlign w:val="bottom"/>
          </w:tcPr>
          <w:p>
            <w:pPr>
              <w:spacing w:after="0"/>
              <w:rPr>
                <w:sz w:val="24"/>
                <w:szCs w:val="24"/>
                <w:color w:val="auto"/>
              </w:rPr>
            </w:pPr>
          </w:p>
        </w:tc>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Basic EPS</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7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7700" w:type="dxa"/>
            <w:vAlign w:val="bottom"/>
            <w:gridSpan w:val="3"/>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26,116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25,788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7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Dilutive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7700" w:type="dxa"/>
            <w:vAlign w:val="bottom"/>
            <w:gridSpan w:val="3"/>
          </w:tcPr>
          <w:p>
            <w:pPr>
              <w:ind w:left="20"/>
              <w:spacing w:after="0"/>
              <w:rPr>
                <w:sz w:val="20"/>
                <w:szCs w:val="20"/>
                <w:color w:val="auto"/>
              </w:rPr>
            </w:pPr>
            <w:r>
              <w:rPr>
                <w:rFonts w:ascii="Arial" w:cs="Arial" w:eastAsia="Arial" w:hAnsi="Arial"/>
                <w:sz w:val="18"/>
                <w:szCs w:val="18"/>
                <w:color w:val="auto"/>
              </w:rPr>
              <w:t>Dilutive nonvested deferred shares</w:t>
            </w: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 w:type="dxa"/>
            <w:vAlign w:val="bottom"/>
          </w:tcPr>
          <w:p>
            <w:pPr>
              <w:spacing w:after="0"/>
              <w:rPr>
                <w:sz w:val="22"/>
                <w:szCs w:val="22"/>
                <w:color w:val="auto"/>
              </w:rPr>
            </w:pPr>
          </w:p>
        </w:tc>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26,647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26,148</w:t>
            </w: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0" w:type="dxa"/>
            <w:vAlign w:val="bottom"/>
          </w:tcPr>
          <w:p>
            <w:pPr>
              <w:spacing w:after="0"/>
              <w:rPr>
                <w:sz w:val="21"/>
                <w:szCs w:val="21"/>
                <w:color w:val="auto"/>
              </w:rPr>
            </w:pPr>
          </w:p>
        </w:tc>
        <w:tc>
          <w:tcPr>
            <w:tcW w:w="7700" w:type="dxa"/>
            <w:vAlign w:val="bottom"/>
            <w:gridSpan w:val="3"/>
          </w:tcPr>
          <w:p>
            <w:pPr>
              <w:ind w:left="20"/>
              <w:spacing w:after="0"/>
              <w:rPr>
                <w:sz w:val="20"/>
                <w:szCs w:val="20"/>
                <w:color w:val="auto"/>
              </w:rPr>
            </w:pPr>
            <w:r>
              <w:rPr>
                <w:rFonts w:ascii="Arial" w:cs="Arial" w:eastAsia="Arial" w:hAnsi="Arial"/>
                <w:sz w:val="18"/>
                <w:szCs w:val="18"/>
                <w:color w:val="auto"/>
              </w:rPr>
              <w:t>Diluted EPS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8160" w:type="dxa"/>
            <w:vAlign w:val="bottom"/>
            <w:gridSpan w:val="4"/>
          </w:tcPr>
          <w:p>
            <w:pPr>
              <w:spacing w:after="0"/>
              <w:rPr>
                <w:sz w:val="20"/>
                <w:szCs w:val="20"/>
                <w:color w:val="auto"/>
              </w:rPr>
            </w:pPr>
            <w:r>
              <w:rPr>
                <w:rFonts w:ascii="Arial" w:cs="Arial" w:eastAsia="Arial" w:hAnsi="Arial"/>
                <w:sz w:val="18"/>
                <w:szCs w:val="18"/>
                <w:color w:val="auto"/>
                <w:w w:val="91"/>
              </w:rPr>
              <w:t>The following securities are considered antidilutive and have been excluded from the calculation of Diluted EPS: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tcBorders>
              <w:bottom w:val="single" w:sz="8" w:color="auto"/>
            </w:tcBorders>
            <w:gridSpan w:val="6"/>
          </w:tcPr>
          <w:p>
            <w:pPr>
              <w:jc w:val="right"/>
              <w:ind w:right="555"/>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ind w:left="160"/>
              <w:spacing w:after="0" w:line="153"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gridSpan w:val="7"/>
          </w:tcPr>
          <w:p>
            <w:pPr>
              <w:ind w:left="90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56"/>
        </w:trPr>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Nonvested deferred shares</w:t>
            </w:r>
          </w:p>
        </w:tc>
        <w:tc>
          <w:tcPr>
            <w:tcW w:w="180" w:type="dxa"/>
            <w:vAlign w:val="bottom"/>
          </w:tcPr>
          <w:p>
            <w:pPr>
              <w:spacing w:after="0"/>
              <w:rPr>
                <w:sz w:val="21"/>
                <w:szCs w:val="21"/>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9"/>
              </w:rPr>
              <w:t>60</w:t>
            </w: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359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40" w:type="dxa"/>
            <w:vAlign w:val="bottom"/>
            <w:gridSpan w:val="3"/>
            <w:vMerge w:val="restart"/>
          </w:tcPr>
          <w:p>
            <w:pPr>
              <w:jc w:val="right"/>
              <w:ind w:right="2170"/>
              <w:spacing w:after="0"/>
              <w:rPr>
                <w:sz w:val="20"/>
                <w:szCs w:val="20"/>
                <w:color w:val="auto"/>
              </w:rPr>
            </w:pPr>
            <w:r>
              <w:rPr>
                <w:rFonts w:ascii="Arial" w:cs="Arial" w:eastAsia="Arial" w:hAnsi="Arial"/>
                <w:sz w:val="18"/>
                <w:szCs w:val="18"/>
                <w:color w:val="auto"/>
              </w:rPr>
              <w:t>- 12-</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1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Segment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coal fired power stations, and renewable energy installations.</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industrial and natural gas, gas processing and compression, and upstream petroleum markets.</w:t>
      </w:r>
    </w:p>
    <w:p>
      <w:pPr>
        <w:spacing w:after="0" w:line="12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Storage Solutions segment includes new construction of crude and refined products aboveground storage tanks, as well as planned and emergency maintenance services. Also included in the Storage Solutions segment is work related to specialty storage tanks including liquefied natural gas (“LNG”), liquid nitrogen/liquid oxygen (“LIN/LOX”), liquid petroleum (“LPG”) tanks and other specialty vessels including spheres. Finally, the Storage Solutions segment includes balance of plant work in storage terminals and tank farms.</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Industrial segment includes work in the mining and minerals industry, bulk material handling, fertilizer production facilities, as well as work for clients in other industrial markets.</w:t>
      </w:r>
    </w:p>
    <w:p>
      <w:pPr>
        <w:spacing w:after="0" w:line="11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evaluates performance and allocates resources based on operating income. The accounting policies of the reportable segments are the same as those described in the summary of significant accounting policies. Intersegment sales and transfers are recorded at cost; therefore, no intercompany profit or loss is recognized.</w:t>
      </w:r>
    </w:p>
    <w:p>
      <w:pPr>
        <w:spacing w:after="0" w:line="12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goodwill and other intangible assets.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7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2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1"/>
              </w:rPr>
              <w:t>September 30,</w:t>
            </w:r>
          </w:p>
        </w:tc>
      </w:tr>
      <w:tr>
        <w:trPr>
          <w:trHeight w:val="192"/>
        </w:trPr>
        <w:tc>
          <w:tcPr>
            <w:tcW w:w="78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2012</w:t>
            </w: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Electrical Infrastructure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32,877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33,270</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Gas &amp; Chemical</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67,097</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Storage Solutions</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108,546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105,418</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4,975</w:t>
            </w:r>
          </w:p>
        </w:tc>
      </w:tr>
      <w:tr>
        <w:trPr>
          <w:trHeight w:val="297"/>
        </w:trPr>
        <w:tc>
          <w:tcPr>
            <w:tcW w:w="78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226,906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210,760</w:t>
            </w:r>
          </w:p>
        </w:tc>
      </w:tr>
      <w:tr>
        <w:trPr>
          <w:trHeight w:val="23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Less: Inter-segment revenues</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Electrical Infrastructure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Gas &amp; Chemical</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Storage Solutions</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1,152</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78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inter-segment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1,152</w:t>
            </w:r>
          </w:p>
        </w:tc>
      </w:tr>
      <w:tr>
        <w:trPr>
          <w:trHeight w:val="23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revenues</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Electrical Infrastructure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32,877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33,270</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Gas &amp; Chemical</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62,495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67,097</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Storage Solutions</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108,154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104,266</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4,975</w:t>
            </w:r>
          </w:p>
        </w:tc>
      </w:tr>
      <w:tr>
        <w:trPr>
          <w:trHeight w:val="297"/>
        </w:trPr>
        <w:tc>
          <w:tcPr>
            <w:tcW w:w="78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consolidated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226,217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209,608</w:t>
            </w:r>
          </w:p>
        </w:tc>
      </w:tr>
      <w:tr>
        <w:trPr>
          <w:trHeight w:val="23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 (loss)</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Electrical Infrastructure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3,330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4,706</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Gas &amp; Chemical</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7,867</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Storage Solutions</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12,837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9,969</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97"/>
        </w:trPr>
        <w:tc>
          <w:tcPr>
            <w:tcW w:w="78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profit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25,476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22,244</w:t>
            </w:r>
          </w:p>
        </w:tc>
      </w:tr>
      <w:tr>
        <w:trPr>
          <w:trHeight w:val="23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Electrical Infrastructure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2,319</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Gas &amp; Chemical</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3,775</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Storage Solutions</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5,832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3,449</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r>
      <w:tr>
        <w:trPr>
          <w:trHeight w:val="297"/>
        </w:trPr>
        <w:tc>
          <w:tcPr>
            <w:tcW w:w="78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10,762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7,924</w:t>
            </w:r>
          </w:p>
        </w:tc>
      </w:tr>
      <w:tr>
        <w:trPr>
          <w:trHeight w:val="23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Electrical Infrastructure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59,018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56,826</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Gas &amp; Chemical</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79,513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71,848</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Storage Solutions</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157,389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186,600</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14,179</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Unallocated Corporate assets</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97,267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33,397</w:t>
            </w:r>
          </w:p>
        </w:tc>
      </w:tr>
      <w:tr>
        <w:trPr>
          <w:trHeight w:val="27"/>
        </w:trPr>
        <w:tc>
          <w:tcPr>
            <w:tcW w:w="7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segment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428,988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362,850</w:t>
            </w:r>
          </w:p>
        </w:tc>
      </w:tr>
      <w:tr>
        <w:trPr>
          <w:trHeight w:val="20"/>
        </w:trPr>
        <w:tc>
          <w:tcPr>
            <w:tcW w:w="7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240" w:top="125" w:right="719" w:bottom="1440" w:gutter="0" w:footer="0" w:header="0"/>
        </w:sectPr>
      </w:pPr>
    </w:p>
    <w:p>
      <w:pPr>
        <w:spacing w:after="0" w:line="245"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- 14-</w:t>
      </w:r>
    </w:p>
    <w:p>
      <w:pPr>
        <w:sectPr>
          <w:pgSz w:w="11900" w:h="16838" w:orient="portrait"/>
          <w:cols w:equalWidth="0" w:num="1">
            <w:col w:w="10940"/>
          </w:cols>
          <w:pgMar w:left="240" w:top="125" w:right="71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right="3960"/>
        <w:spacing w:after="0" w:line="34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CRITICAL ACCOUNTING ESTIMATES</w:t>
      </w:r>
    </w:p>
    <w:p>
      <w:pPr>
        <w:spacing w:after="0" w:line="1"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There have been no material changes in our critical accounting policies from those reported in our fiscal 2013 Annual Report on Form 10-K filed with the SEC. For more information on our critical accounting policies, see Part II, Item 7 of our fiscal 2013 Annual Report on Form 10-K. The following section provides certain information with respect to our critical accounting estimates as of the close of our most recent quarterly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Unapproved Change Orders and Claims</w:t>
      </w:r>
    </w:p>
    <w:p>
      <w:pPr>
        <w:spacing w:after="0" w:line="9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and claims of $10.3 million at September 30, 2013 and $9.1 million at June 30, 2013. The amounts ultimately realized may be significantly different than the recorded amounts resulting in a material adjustment to future earnings.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SME Receivables</w:t>
      </w:r>
    </w:p>
    <w:p>
      <w:pPr>
        <w:spacing w:after="0" w:line="9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continues to pursue collection of certain receivables acquired in connection with the purchase of S.M. Electric Company, Inc. in February 2009. The recorded values at September 30, 2013 include $0.7 million in claim receivables, which represents the Company’s best estimate of the amount to be collected under a claim, and an additional $2.9 million for amounts due under the related contract. Recovering the remaining receivables will require mediation or litigation and the ultimate amount realized may be significantly different than the recorded amounts, which could result in an adjustment to future earnings.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maintain insurance coverage for various aspects of our operations. However, we retain exposure to potential losses through the use of deductibles, self-insured retentions and coverage limits. We establish reserves for claims using a combination of actuarially determined estimates and management judgment on a case-by-case basis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and losses that could be significant.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five significant reporting units with goodwill representing 39%, 19%, 13%, 10% and 10% of the total goodwill balance. Our most recent annual goodwill impairment test, performed in the fourth quarter of fiscal 2013, indicated that the fair value of these reporting units exceeded their respective carrying values by 64%, 224%, 144%, 149% and 123%. The remaining 9% of total goodwill is spread between two other reporting units. Based on the excess of estimated fair value over carrying value and the absence of any indicators of impairment at September 30, 2013, the Company does not currently anticipate recording a goodwill impairment charge for any of its operating units.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9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Intangible assets that have finite useful lives are amortized by the straight-line method over their useful lives ranging from 1 to 15 years. Intangible assets that have indefinite useful lives are not amortized but are tested at least annually for impairment. Each reporting period, we evaluate the remaining useful lives of intangible assets not being amortized to determine whether facts and circumstances continue to support an indefinite useful life and review both amortizing and non-amortizing intangible assets for impairment indicators. Based on these reviews, the Company has determined that the indefinite lives assigned to its indefinite lived intangible assets are appropriate and no impairment indicators exist at September 30, 2013.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2011-11, Balance Sheet (Topic 210): Disclosures about Offsetting Assets and Liabilities</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December 2011, the FASB issued Accounting Standards Update No. 2011-11,“Balance Sheet (Topic 210): Disclosures about Offsetting Assets and Liabilities” (ASU 2011-11) and in January 2013, the FASB issued Accounting Standards Update No. 2013-01, “Clarifying the Scope of Disclosures about Offsetting Assets and Liabilities.” ASU 2011-11, as clarified, enhances disclosures surrounding offsetting (netting) assets and liabilities. The standard applies to derivatives, repurchase</w:t>
      </w:r>
    </w:p>
    <w:p>
      <w:pPr>
        <w:spacing w:after="0" w:line="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agreements and securities lending transactions and requires companies to disclose gross and net information about financial instruments and derivatives eligible for offset and to disclose financial instruments and derivatives subject to master netting</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w:t>
      </w:r>
    </w:p>
    <w:p>
      <w:pPr>
        <w:sectPr>
          <w:pgSz w:w="11900" w:h="16838" w:orient="portrait"/>
          <w:cols w:equalWidth="0" w:num="1">
            <w:col w:w="11380"/>
          </w:cols>
          <w:pgMar w:left="240" w:top="125" w:right="27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arrangements in financial statements. ASU 2011-11 was effective for us beginning with the first quarter of fiscal 2014. The adoption of this standard did not have a material impact on our consolidated financial statements.</w:t>
      </w:r>
    </w:p>
    <w:p>
      <w:pPr>
        <w:spacing w:after="0" w:line="1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Accounting Standards Update 2013-02, Comprehensive Income (Topic 220): Reporting of Amounts Reclassified Out of Accumulated Other Comprehensive Income</w:t>
      </w:r>
    </w:p>
    <w:p>
      <w:pPr>
        <w:spacing w:after="0" w:line="3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February 2013, the FASB issued Accounting Standards Update No. 2013-02, "Comprehensive Income (Topic 220): Reporting of Amounts Reclassified Out of Accumulated Other Comprehensive Income" (ASU 2013-02). ASU 2013-02 requires companies to report the effect of significant reclassifications out of accumulated other comprehensive income, by component, either on the face of the financial statements or in the notes to the financial statements and is intended to help entities improve the transparency of changes in other comprehensive income. ASU 2013-02 does not amend any existing requirements for reporting net income or other comprehensive income in the financial statements. ASU 2013-02 was effective for reporting periods beginning after December 15, 2012. The adoption of this standard did not have a material impact on our consolidated financial statements.</w:t>
      </w:r>
    </w:p>
    <w:p>
      <w:pPr>
        <w:spacing w:after="0" w:line="1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Accounting Standards Update 2013-04, Liabilities (Topic 405): Obligations Resulting from Joint and Several Liability Arrangements for Which the Total Amount of the Obligation Is Fixed at the Reporting Date</w:t>
      </w:r>
    </w:p>
    <w:p>
      <w:pPr>
        <w:spacing w:after="0" w:line="3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February 2013, the FASB issued Accounting Standards Update No. 2013-04, "Liabilities (Topic 405): Obligations Resulting from Joint and Several Liability Arrangements for Which the Total Amount of the Obligation Is Fixed at the Reporting Date" (ASU 2013-04). ASU 2013-04 addresses the recognition, measurement and disclosure of obligations when multiple parties incur joint liabilities where the total amount of the obligation is fixed at the financial reporting date. This standard requires the recognition of the total amount of the liability that the parties are obligated to pay under an arrangement, along with any additional amount the company might expect to pay on behalf of other parties to the liability. ASU 2013-04 is effective for periods beginning after December 15, 2013. We currently do not expect the adoption of this standard to have a material impact on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the following four segments:</w:t>
      </w:r>
    </w:p>
    <w:p>
      <w:pPr>
        <w:spacing w:after="0" w:line="225" w:lineRule="exact"/>
        <w:rPr>
          <w:sz w:val="20"/>
          <w:szCs w:val="20"/>
          <w:color w:val="auto"/>
        </w:rPr>
      </w:pPr>
    </w:p>
    <w:p>
      <w:pPr>
        <w:ind w:left="980" w:right="14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coal fired power stations, and renewable energy installations.</w:t>
      </w:r>
    </w:p>
    <w:p>
      <w:pPr>
        <w:spacing w:after="0" w:line="186" w:lineRule="exact"/>
        <w:rPr>
          <w:rFonts w:ascii="Arial" w:cs="Arial" w:eastAsia="Arial" w:hAnsi="Arial"/>
          <w:sz w:val="18"/>
          <w:szCs w:val="18"/>
          <w:color w:val="auto"/>
        </w:rPr>
      </w:pPr>
    </w:p>
    <w:p>
      <w:pPr>
        <w:jc w:val="both"/>
        <w:ind w:left="980" w:right="80" w:hanging="324"/>
        <w:spacing w:after="0" w:line="31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Oil Gas &amp; Chemical segment includes our traditional turnaround activities, plant maintenance services and construction in the downstream petroleum industry. Another key offering is industrial cleaning services, which includes hydroblasting, hydroexcavating, chemical cleaning and vacuum services. We also perform work in the industrial and natural gas, gas processing and compression, and upstream petroleum markets.</w:t>
      </w:r>
    </w:p>
    <w:p>
      <w:pPr>
        <w:spacing w:after="0" w:line="146" w:lineRule="exact"/>
        <w:rPr>
          <w:rFonts w:ascii="Arial" w:cs="Arial" w:eastAsia="Arial" w:hAnsi="Arial"/>
          <w:sz w:val="16"/>
          <w:szCs w:val="16"/>
          <w:color w:val="auto"/>
        </w:rPr>
      </w:pPr>
    </w:p>
    <w:p>
      <w:pPr>
        <w:ind w:left="980" w:hanging="324"/>
        <w:spacing w:after="0" w:line="279"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Storage Solutions segment includes new construction of crude and refined products aboveground storage tanks, as well as planned and emergency maintenance services. Also included in the Storage Solutions segment is work related to specialty storage tanks including liquefied natural gas (“LNG”), liquid nitrogen/liquid oxygen (“LIN/LOX”), liquid petroleum (“LPG”) tanks and other specialty vessels including spheres. Finally, the Storage Solutions segment includes balance of plant work in storage terminals and tank farms.</w:t>
      </w:r>
    </w:p>
    <w:p>
      <w:pPr>
        <w:spacing w:after="0" w:line="171" w:lineRule="exact"/>
        <w:rPr>
          <w:rFonts w:ascii="Arial" w:cs="Arial" w:eastAsia="Arial" w:hAnsi="Arial"/>
          <w:sz w:val="17"/>
          <w:szCs w:val="17"/>
          <w:color w:val="auto"/>
        </w:rPr>
      </w:pPr>
    </w:p>
    <w:p>
      <w:pPr>
        <w:ind w:left="980" w:right="40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Industrial segment includes work in the mining and minerals industry, bulk material handling, fertilizer production facilities, as well as work for clients in other industrial markets.</w:t>
      </w:r>
    </w:p>
    <w:p>
      <w:pPr>
        <w:spacing w:after="0" w:line="193" w:lineRule="exact"/>
        <w:rPr>
          <w:sz w:val="20"/>
          <w:szCs w:val="20"/>
          <w:color w:val="auto"/>
        </w:rPr>
      </w:pPr>
    </w:p>
    <w:p>
      <w:pPr>
        <w:ind w:right="3640"/>
        <w:spacing w:after="0" w:line="346" w:lineRule="auto"/>
        <w:rPr>
          <w:sz w:val="20"/>
          <w:szCs w:val="20"/>
          <w:color w:val="auto"/>
        </w:rPr>
      </w:pPr>
      <w:r>
        <w:rPr>
          <w:rFonts w:ascii="Arial" w:cs="Arial" w:eastAsia="Arial" w:hAnsi="Arial"/>
          <w:sz w:val="18"/>
          <w:szCs w:val="18"/>
          <w:b w:val="1"/>
          <w:bCs w:val="1"/>
          <w:color w:val="auto"/>
        </w:rPr>
        <w:t>Three Months Ended September 30, 2013 Compared to the Three Months Ended September 30, 2012 Consolidated</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Consolidated revenues were $226.2 million for the three months ended September 30, 2013, an increase of $16.6 million, or 7.9%, from consolidated revenues of $209.6 million in the same period in the prior fiscal year. The increase in consolidated revenues was a result of increases in Industrial and Storage Solutions revenues, which increased $17.7 million and $3.9 million, respectively, partially offset by decreases in our Oil Gas &amp; Chemical and Electrical Infrastructure segments of $4.6 million and $0.4 million, respectively.</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gross profit increased from $22.2 million in the three months ended September 30, 2012 to $25.5 million in the three months ended September 30, 2013. The increase of $3.3 million, or 14.9%, was due to higher revenues, and higher gross margins which increased to 11.3% in the first quarter of fiscal 2014 compared to 10.6% a year earlier.</w:t>
      </w:r>
    </w:p>
    <w:p>
      <w:pPr>
        <w:spacing w:after="0" w:line="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Consolidated SG&amp;A expenses were $14.7 million in the three months ended September 30, 2013 compared to $14.3 million in the same period a year earlier. SG&amp;A expense as a percentage of revenue was 6.5% in the three months ended September 30, 2013 compared to 6.8% in the same period a year earlier. Last year's SG&amp;A expenses included charges related to the previously discussed branding initiative and a bad debt charge.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was $0.2 million in the three months ended September 30, 2013 and 2012.</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effective tax rate was 37.3% for the three months ended September 30, 2013 and 40.0% for the three months ended September 30, 2012.</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Revenues for the Electrical Infrastructure segment were $32.9 million for the three months ended September 30, 2013 compared to $33.3 million in the same period a year earlier. The decline in revenues was attributable to lower storm related revenues in fiscal 2014 largely offset by higher revenues across the remainder of the segment. Gross margins were 10.1% in the three months ended September 30, 2013 compared to 14.1% for the three months ended September 30, 2012. Fiscal 2014 margins were negatively affected by the mix of work leading to lower direct margins and higher unrecovered overhead costs. Fiscal 2013 margins were positively affected by higher levels of storm restoration work.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90"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Revenues for the Oil Gas &amp; Chemical segment were $62.5 million in the three months ended September 30, 2013 compared to $67.1 million in the same period a year earlier. The decrease of $4.6 million, or 6.9%, was primarily due to a lower level of capital construction projects partially offset by higher industrial cleaning work. Gross margins were 12.1% in the three months ended September 30, 2013 compared to 11.7% in the same period a year earlier.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9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Revenues for the Storage Solutions segment increased to $108.1 million in the three months ended September 30, 2013 compared to $104.2 million in the same period a year earlier. The increase of $3.9 million, or 3.7%, was primarily due to higher levels of domestic work in our aboveground storage tank business. Gross margins increased from 9.6% in the three months ended September 30, 2012 to 11.9% in the same period in the current year. The higher margins for the three months ended September 30, 2013 was primarily due to higher direct margins related to strong project execution partially offset by higher unrecovered overhead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9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Revenues for the Industrial segment totaled $22.7 million in the three months ended September 30, 2013 compared to $5.0 million in the same period a year earlier. The increase of $17.7 million, or 354.0%, was primarily due to growth in our mining and minerals and material handling businesses as well as ongoing work on a previously announced project for the engineering, procurement and construction of specialty tanks in a nitrogen fertilizer complex. Gross margins were positive in the first quarter of fiscal 2014 at 7.8% compared to (6.0%) in the three months ended September 30, 2012. The improvement in gross margins is due to improved project execution and a higher recovery of construction overhead costs due to higher business volumes.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9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 define backlog as the total dollar amount of revenues that we expect to recognize as a result of performing work that has been awarded to us through a signed contract, notice to proceed or other type of assurance that we consider firm. The following arrangements are considered firm:</w:t>
      </w:r>
    </w:p>
    <w:p>
      <w:pPr>
        <w:spacing w:after="0" w:line="14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97" w:lineRule="exact"/>
        <w:rPr>
          <w:rFonts w:ascii="Arial" w:cs="Arial" w:eastAsia="Arial" w:hAnsi="Arial"/>
          <w:sz w:val="18"/>
          <w:szCs w:val="18"/>
          <w:color w:val="auto"/>
        </w:rPr>
      </w:pPr>
    </w:p>
    <w:p>
      <w:pPr>
        <w:ind w:left="5640" w:hanging="98"/>
        <w:spacing w:after="0"/>
        <w:tabs>
          <w:tab w:leader="none" w:pos="5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17-</w:t>
      </w:r>
    </w:p>
    <w:p>
      <w:pPr>
        <w:sectPr>
          <w:pgSz w:w="11900" w:h="16838" w:orient="portrait"/>
          <w:cols w:equalWidth="0" w:num="1">
            <w:col w:w="11340"/>
          </w:cols>
          <w:pgMar w:left="240" w:top="125" w:right="31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color w:val="auto"/>
        </w:rPr>
        <w:t>For long-term maintenance contracts we include only the amounts that we expect to recognize into revenue over the next 12 months. For all other arrangements, we calculate backlog as the estimated contract amount less revenues recognized as of the reporting date.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September 30, 2013:</w:t>
      </w:r>
    </w:p>
    <w:p>
      <w:pPr>
        <w:spacing w:after="0" w:line="339"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80" w:type="dxa"/>
            <w:vAlign w:val="bottom"/>
          </w:tcPr>
          <w:p>
            <w:pPr>
              <w:spacing w:after="0"/>
              <w:rPr>
                <w:sz w:val="14"/>
                <w:szCs w:val="14"/>
                <w:color w:val="auto"/>
              </w:rPr>
            </w:pPr>
          </w:p>
        </w:tc>
        <w:tc>
          <w:tcPr>
            <w:tcW w:w="9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 as of June 30,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103,520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120,138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319,718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83,361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626,737</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Net awards</w:t>
            </w: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26,444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61,277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170,437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14,139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272,297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(226,217)</w:t>
            </w:r>
          </w:p>
        </w:tc>
        <w:tc>
          <w:tcPr>
            <w:tcW w:w="0" w:type="dxa"/>
            <w:vAlign w:val="bottom"/>
          </w:tcPr>
          <w:p>
            <w:pPr>
              <w:spacing w:after="0"/>
              <w:rPr>
                <w:sz w:val="1"/>
                <w:szCs w:val="1"/>
                <w:color w:val="auto"/>
              </w:rPr>
            </w:pPr>
          </w:p>
        </w:tc>
      </w:tr>
      <w:tr>
        <w:trPr>
          <w:trHeight w:val="257"/>
        </w:trPr>
        <w:tc>
          <w:tcPr>
            <w:tcW w:w="3740" w:type="dxa"/>
            <w:vAlign w:val="bottom"/>
          </w:tcPr>
          <w:p>
            <w:pPr>
              <w:ind w:left="20"/>
              <w:spacing w:after="0"/>
              <w:rPr>
                <w:sz w:val="20"/>
                <w:szCs w:val="20"/>
                <w:color w:val="auto"/>
              </w:rPr>
            </w:pPr>
            <w:r>
              <w:rPr>
                <w:rFonts w:ascii="Arial" w:cs="Arial" w:eastAsia="Arial" w:hAnsi="Arial"/>
                <w:sz w:val="18"/>
                <w:szCs w:val="18"/>
                <w:color w:val="auto"/>
              </w:rPr>
              <w:t>Backlog as of September 30, 2013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97,087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118,920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382,001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74,809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672,817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EBITDA is a supplemental, non-GAAP financial measure. EBITDA is defined as earnings before interest expense, income taxes, depreciation and amortization. We have presented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necessarily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197" w:lineRule="exact"/>
        <w:rPr>
          <w:sz w:val="20"/>
          <w:szCs w:val="20"/>
          <w:color w:val="auto"/>
        </w:rPr>
      </w:pPr>
    </w:p>
    <w:p>
      <w:pPr>
        <w:ind w:left="980" w:right="180" w:hanging="324"/>
        <w:spacing w:after="0" w:line="286"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It does not include interest expense. Because we have borrowed money to finance our operations,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165" w:lineRule="exact"/>
        <w:rPr>
          <w:rFonts w:ascii="Arial" w:cs="Arial" w:eastAsia="Arial" w:hAnsi="Arial"/>
          <w:sz w:val="17"/>
          <w:szCs w:val="17"/>
          <w:color w:val="auto"/>
        </w:rPr>
      </w:pPr>
    </w:p>
    <w:p>
      <w:pPr>
        <w:ind w:left="980" w:right="3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70" w:lineRule="exact"/>
        <w:rPr>
          <w:rFonts w:ascii="Arial" w:cs="Arial" w:eastAsia="Arial" w:hAnsi="Arial"/>
          <w:sz w:val="18"/>
          <w:szCs w:val="18"/>
          <w:color w:val="auto"/>
        </w:rPr>
      </w:pPr>
    </w:p>
    <w:p>
      <w:pPr>
        <w:ind w:left="980" w:right="240" w:hanging="324"/>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EBITDA to net income follows:</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Provision for income taxes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Depreciation and amortization</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EBITDA</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1663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140" w:type="dxa"/>
            <w:vAlign w:val="bottom"/>
          </w:tcPr>
          <w:p>
            <w:pPr>
              <w:jc w:val="right"/>
              <w:ind w:right="157"/>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120" w:type="dxa"/>
            <w:vAlign w:val="bottom"/>
          </w:tcPr>
          <w:p>
            <w:pPr>
              <w:jc w:val="right"/>
              <w:ind w:right="115"/>
              <w:spacing w:after="0"/>
              <w:rPr>
                <w:sz w:val="20"/>
                <w:szCs w:val="20"/>
                <w:color w:val="auto"/>
              </w:rPr>
            </w:pPr>
            <w:r>
              <w:rPr>
                <w:rFonts w:ascii="Arial" w:cs="Arial" w:eastAsia="Arial" w:hAnsi="Arial"/>
                <w:sz w:val="14"/>
                <w:szCs w:val="14"/>
                <w:b w:val="1"/>
                <w:bCs w:val="1"/>
                <w:color w:val="auto"/>
                <w:w w:val="93"/>
              </w:rPr>
              <w:t>September 30,</w:t>
            </w:r>
          </w:p>
        </w:tc>
      </w:tr>
      <w:tr>
        <w:trPr>
          <w:trHeight w:val="192"/>
        </w:trPr>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2012</w:t>
            </w:r>
          </w:p>
        </w:tc>
      </w:tr>
      <w:tr>
        <w:trPr>
          <w:trHeight w:val="190"/>
        </w:trPr>
        <w:tc>
          <w:tcPr>
            <w:tcW w:w="140" w:type="dxa"/>
            <w:vAlign w:val="bottom"/>
          </w:tcPr>
          <w:p>
            <w:pPr>
              <w:spacing w:after="0"/>
              <w:rPr>
                <w:sz w:val="16"/>
                <w:szCs w:val="16"/>
                <w:color w:val="auto"/>
              </w:rPr>
            </w:pPr>
          </w:p>
        </w:tc>
        <w:tc>
          <w:tcPr>
            <w:tcW w:w="2480" w:type="dxa"/>
            <w:vAlign w:val="bottom"/>
            <w:gridSpan w:val="3"/>
          </w:tcPr>
          <w:p>
            <w:pPr>
              <w:jc w:val="right"/>
              <w:ind w:right="755"/>
              <w:spacing w:after="0"/>
              <w:rPr>
                <w:sz w:val="20"/>
                <w:szCs w:val="20"/>
                <w:color w:val="auto"/>
              </w:rPr>
            </w:pPr>
            <w:r>
              <w:rPr>
                <w:rFonts w:ascii="Arial" w:cs="Arial" w:eastAsia="Arial" w:hAnsi="Arial"/>
                <w:sz w:val="14"/>
                <w:szCs w:val="14"/>
                <w:b w:val="1"/>
                <w:bCs w:val="1"/>
                <w:color w:val="auto"/>
              </w:rPr>
              <w:t>(In thousands)</w:t>
            </w:r>
          </w:p>
        </w:tc>
      </w:tr>
      <w:tr>
        <w:trPr>
          <w:trHeight w:val="255"/>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6,552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4,684</w:t>
            </w:r>
          </w:p>
        </w:tc>
      </w:tr>
      <w:tr>
        <w:trPr>
          <w:trHeight w:val="270"/>
        </w:trPr>
        <w:tc>
          <w:tcPr>
            <w:tcW w:w="14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183</w:t>
            </w:r>
          </w:p>
        </w:tc>
      </w:tr>
      <w:tr>
        <w:trPr>
          <w:trHeight w:val="270"/>
        </w:trPr>
        <w:tc>
          <w:tcPr>
            <w:tcW w:w="14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3,904</w:t>
            </w:r>
          </w:p>
        </w:tc>
        <w:tc>
          <w:tcPr>
            <w:tcW w:w="22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3,122</w:t>
            </w:r>
          </w:p>
        </w:tc>
      </w:tr>
      <w:tr>
        <w:trPr>
          <w:trHeight w:val="270"/>
        </w:trPr>
        <w:tc>
          <w:tcPr>
            <w:tcW w:w="14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3,720</w:t>
            </w:r>
          </w:p>
        </w:tc>
        <w:tc>
          <w:tcPr>
            <w:tcW w:w="22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2,826</w:t>
            </w:r>
          </w:p>
        </w:tc>
      </w:tr>
      <w:tr>
        <w:trPr>
          <w:trHeight w:val="27"/>
        </w:trPr>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14,399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10,815</w:t>
            </w:r>
          </w:p>
        </w:tc>
      </w:tr>
      <w:tr>
        <w:trPr>
          <w:trHeight w:val="27"/>
        </w:trPr>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-4968875</wp:posOffset>
            </wp:positionH>
            <wp:positionV relativeFrom="paragraph">
              <wp:posOffset>-891540</wp:posOffset>
            </wp:positionV>
            <wp:extent cx="663765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37655" cy="171450"/>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-548005</wp:posOffset>
            </wp:positionV>
            <wp:extent cx="663765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37655" cy="171450"/>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-205105</wp:posOffset>
            </wp:positionV>
            <wp:extent cx="6637655"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3765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00" w:space="720"/>
            <w:col w:w="3060"/>
          </w:cols>
          <w:pgMar w:left="240" w:top="125" w:right="279" w:bottom="1440" w:gutter="0" w:footer="0" w:header="0"/>
          <w:type w:val="continuous"/>
        </w:sect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- 18-</w:t>
      </w:r>
    </w:p>
    <w:p>
      <w:pPr>
        <w:sectPr>
          <w:pgSz w:w="11900" w:h="16838" w:orient="portrait"/>
          <w:cols w:equalWidth="0" w:num="1">
            <w:col w:w="11380"/>
          </w:cols>
          <w:pgMar w:left="240" w:top="125" w:right="27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define liquidity as the ongoing ability to pay our liabilities as they become due, fund business operations and meet all monetary contractual obligations. Our primary sources of liquidity for the three months ended September 30, 2013 were cash on hand at the beginning of the fiscal year, capacity under our senior revolving credit facility and cash generated from operations. Cash on hand at September 30, 2013 totaled $79.8 million and availability under the senior revolving credit facility totaled $108.9 million resulting in available liquidity of $188.7 million. We expect to fund our operations for the next twelve months through cash generated from operations, existing cash balances and borrowings under our credit facility.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225" w:lineRule="exact"/>
        <w:rPr>
          <w:sz w:val="20"/>
          <w:szCs w:val="20"/>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70" w:lineRule="exact"/>
        <w:rPr>
          <w:rFonts w:ascii="Arial" w:cs="Arial" w:eastAsia="Arial" w:hAnsi="Arial"/>
          <w:sz w:val="18"/>
          <w:szCs w:val="18"/>
          <w:color w:val="auto"/>
        </w:rPr>
      </w:pPr>
    </w:p>
    <w:p>
      <w:pPr>
        <w:ind w:left="1620" w:right="900" w:hanging="315"/>
        <w:spacing w:after="0" w:line="277"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70" w:lineRule="exact"/>
        <w:rPr>
          <w:rFonts w:ascii="Arial" w:cs="Arial" w:eastAsia="Arial" w:hAnsi="Arial"/>
          <w:sz w:val="18"/>
          <w:szCs w:val="18"/>
          <w:color w:val="auto"/>
        </w:rPr>
      </w:pPr>
    </w:p>
    <w:p>
      <w:pPr>
        <w:ind w:left="1620" w:right="220" w:hanging="315"/>
        <w:spacing w:after="0" w:line="277"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significant retentions or security in the form of letters of credit.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Acquisitions of new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Contract disputes or collection issues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Capacity constraints under our senior revolving credit facility and remaining in compliance with all covenants contained in the credit agreement</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an effective shelf registration statement on file with the SEC under which we may issue, from time to time, up to $400 million of senior debt securities, subordinated debt securities, common stock, preferred stock and warrants. This shelf gives us additional flexibility, when capital market conditions are favorable, to grow our business, finance acquisitions or to optimize our balance sheet in order to improve or maintain our financial flexibility. We may also elect to issue term debt or increase the amount of our revolving credit facility.</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- 19-</w:t>
      </w:r>
    </w:p>
    <w:p>
      <w:pPr>
        <w:sectPr>
          <w:pgSz w:w="11900" w:h="16838" w:orient="portrait"/>
          <w:cols w:equalWidth="0" w:num="1">
            <w:col w:w="11360"/>
          </w:cols>
          <w:pgMar w:left="240" w:top="125" w:right="29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in the Three Months Ended September 30, 2013</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flows provided by operating activities for the three months ended September 30, 2013 totaled $18.5 million. The various components of cash flows from operating activities are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333" w:lineRule="exact"/>
        <w:rPr>
          <w:sz w:val="20"/>
          <w:szCs w:val="20"/>
          <w:color w:val="auto"/>
        </w:rPr>
      </w:pPr>
    </w:p>
    <w:tbl>
      <w:tblPr>
        <w:tblLayout w:type="fixed"/>
        <w:tblInd w:w="500" w:type="dxa"/>
        <w:tblCellMar>
          <w:top w:w="0" w:type="dxa"/>
          <w:left w:w="0" w:type="dxa"/>
          <w:bottom w:w="0" w:type="dxa"/>
          <w:right w:w="0" w:type="dxa"/>
        </w:tblCellMar>
      </w:tblPr>
      <w:tr>
        <w:trPr>
          <w:trHeight w:val="270"/>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6,552</w:t>
            </w: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Non-cash expenses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4,844</w:t>
            </w:r>
          </w:p>
        </w:tc>
      </w:tr>
      <w:tr>
        <w:trPr>
          <w:trHeight w:val="27"/>
        </w:trPr>
        <w:tc>
          <w:tcPr>
            <w:tcW w:w="9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Cash effect of changes in operating assets and liabilities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7,202</w:t>
            </w:r>
          </w:p>
        </w:tc>
      </w:tr>
      <w:tr>
        <w:trPr>
          <w:trHeight w:val="27"/>
        </w:trPr>
        <w:tc>
          <w:tcPr>
            <w:tcW w:w="9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57"/>
        </w:trPr>
        <w:tc>
          <w:tcPr>
            <w:tcW w:w="90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18,450</w:t>
            </w:r>
          </w:p>
        </w:tc>
      </w:tr>
      <w:tr>
        <w:trPr>
          <w:trHeight w:val="20"/>
        </w:trPr>
        <w:tc>
          <w:tcPr>
            <w:tcW w:w="9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cash effect of significant changes in operating assets and liabilities include the following:</w:t>
      </w:r>
    </w:p>
    <w:p>
      <w:pPr>
        <w:spacing w:after="0" w:line="225" w:lineRule="exact"/>
        <w:rPr>
          <w:sz w:val="20"/>
          <w:szCs w:val="20"/>
          <w:color w:val="auto"/>
        </w:rPr>
      </w:pPr>
    </w:p>
    <w:p>
      <w:pPr>
        <w:ind w:left="980" w:right="3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Accounts receivable increased by $9.6 million. The accounts receivable increase is due to the timing of billings particularly in the Oil Gas &amp; Chemical and Industrial segments. We view this as a normal short-term fluctuation.</w:t>
      </w:r>
    </w:p>
    <w:p>
      <w:pPr>
        <w:spacing w:after="0" w:line="170" w:lineRule="exact"/>
        <w:rPr>
          <w:rFonts w:ascii="Arial" w:cs="Arial" w:eastAsia="Arial" w:hAnsi="Arial"/>
          <w:sz w:val="18"/>
          <w:szCs w:val="18"/>
          <w:color w:val="auto"/>
        </w:rPr>
      </w:pPr>
    </w:p>
    <w:p>
      <w:pPr>
        <w:ind w:left="980" w:right="140" w:hanging="324"/>
        <w:spacing w:after="0" w:line="30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net change in the combined balance of costs and estimated earnings in excess of billings on uncompleted contracts and billings on uncompleted contracts in excess of costs and estimated earnings caused an increase to cash of $20.0 million in the first quarter of fiscal 2014. This change was primarily attributable to our project portfolio permitting a higher degree of advanced billings in the first quarter of fiscal 2014 and a decrease in costs in excess of billings in the Electrical Infrastructure and Oil Gas &amp; Chemical segments in the current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for Investing Activities</w:t>
      </w:r>
    </w:p>
    <w:p>
      <w:pPr>
        <w:spacing w:after="0" w:line="9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Investing activities used $5.5 million of cash in the first quarter of fiscal 2014. This was due to capital expenditures of $5.8 million offset by proceeds from asset dispositions of $0.3 million. Capital expenditures included $3.4 million for the purchase of construction equipment, $1.3 million for transportation equipment, $0.8 million for office equipment and software and $0.3 million for land and buildings.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9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Financing activities provided $2.8 million of cash in the first quarter of fiscal 2014 primarily due to net cash borrowings of $2.4 million and stock issuances of $0.4 million. Cash borrowings were Canadian dollar advances under our credit agreement to settle intercompany cross currency payments.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Revolving Credit Facility</w:t>
      </w:r>
    </w:p>
    <w:p>
      <w:pPr>
        <w:spacing w:after="0" w:line="9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Company has a five-year, $125.0 million senior secured revolving credit facility (the “Credit Agreement”) that expires November 7, 2016. Advances under the Credit Agreement may be used for working capital, issuance of letters of credit and other lawful corporate purposes.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Senior Leverage Ratio, as defined in the agreement, may not exceed 2.50 to 1.00 as of the end of each fiscal quarter.</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be required to maintain a Fixed Charge Coverage Ratio, as defined in the agreement, greater than or equal to 1.25 to 1.00 as of the end of each fiscal quarter.</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$15.0 million per 12-month period.</w:t>
      </w:r>
    </w:p>
    <w:p>
      <w:pPr>
        <w:spacing w:after="0" w:line="197" w:lineRule="exact"/>
        <w:rPr>
          <w:rFonts w:ascii="Arial" w:cs="Arial" w:eastAsia="Arial" w:hAnsi="Arial"/>
          <w:sz w:val="18"/>
          <w:szCs w:val="18"/>
          <w:color w:val="auto"/>
        </w:rPr>
      </w:pPr>
    </w:p>
    <w:p>
      <w:pPr>
        <w:ind w:left="5640" w:hanging="98"/>
        <w:spacing w:after="0"/>
        <w:tabs>
          <w:tab w:leader="none" w:pos="5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Amounts borrowed under the Credit Agreement bear interest at LIBOR or an Alternate Base Rate, plus in each case, an additional margin based on the Senior Leverage Ratio. The additional margin on Alternate Base Rate and LIBOR-based loans ranges between 0.75% and 1.5% and between 1.75% and 2.5%, respectively.</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Credit Agreement also permits us to borrow in Canadian dollars with a sublimit of U.S. $15.0 million. Amounts borrowed in Canadian dollars will bear interest either at the CDOR Rate, plus an additional margin based on the Senior Leverage Ratio ranging from 1.75% to 2.5%, or at the Canadian Prime Rate, plus an additional margin based on the Senior Leverage Ratio ranging from 2.25% to 3.0%.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0.30% and 0.45% based on the Senior Leverage Ratio.</w:t>
      </w:r>
    </w:p>
    <w:p>
      <w:pPr>
        <w:spacing w:after="0" w:line="171"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As noted previously, the Credit Agreement includes a Senior Leverage Ratio covenant which provides that Consolidated Funded Indebtedness may not exceed 2.5 times Consolidated EBITDA, as defined in the agreement, over the previous four quarters. For the four quarters ended September 30, 2013, Consolidated EBITDA was $57.1 million. Accordingly, at September 30, 2013, the Company had full availability of the $125.0 million credit facility. Consolidated Funded Indebtedness at September 30, 2013 was $9.2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credit facility at September 30, 2013 was as follows:</w:t>
      </w:r>
    </w:p>
    <w:p>
      <w:pPr>
        <w:spacing w:after="0" w:line="339"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4"/>
                <w:szCs w:val="14"/>
                <w:color w:val="auto"/>
              </w:rPr>
            </w:pPr>
          </w:p>
        </w:tc>
        <w:tc>
          <w:tcPr>
            <w:tcW w:w="1120" w:type="dxa"/>
            <w:vAlign w:val="bottom"/>
          </w:tcPr>
          <w:p>
            <w:pPr>
              <w:jc w:val="right"/>
              <w:ind w:right="456"/>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7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2013</w:t>
            </w:r>
          </w:p>
        </w:tc>
      </w:tr>
      <w:tr>
        <w:trPr>
          <w:trHeight w:val="196"/>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20" w:type="dxa"/>
            <w:vAlign w:val="bottom"/>
          </w:tcPr>
          <w:p>
            <w:pPr>
              <w:spacing w:after="0"/>
              <w:rPr>
                <w:sz w:val="17"/>
                <w:szCs w:val="17"/>
                <w:color w:val="auto"/>
              </w:rPr>
            </w:pPr>
          </w:p>
        </w:tc>
      </w:tr>
      <w:tr>
        <w:trPr>
          <w:trHeight w:val="25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125,000</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Borrowings outstanding</w:t>
            </w:r>
          </w:p>
        </w:tc>
        <w:tc>
          <w:tcPr>
            <w:tcW w:w="220" w:type="dxa"/>
            <w:vAlign w:val="bottom"/>
          </w:tcPr>
          <w:p>
            <w:pPr>
              <w:spacing w:after="0"/>
              <w:rPr>
                <w:sz w:val="21"/>
                <w:szCs w:val="21"/>
                <w:color w:val="auto"/>
              </w:rPr>
            </w:pP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2,426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13,625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13,372</w:t>
            </w:r>
          </w:p>
        </w:tc>
      </w:tr>
      <w:tr>
        <w:trPr>
          <w:trHeight w:val="257"/>
        </w:trPr>
        <w:tc>
          <w:tcPr>
            <w:tcW w:w="7200" w:type="dxa"/>
            <w:vAlign w:val="bottom"/>
          </w:tcPr>
          <w:p>
            <w:pPr>
              <w:ind w:left="20"/>
              <w:spacing w:after="0"/>
              <w:rPr>
                <w:sz w:val="20"/>
                <w:szCs w:val="20"/>
                <w:color w:val="auto"/>
              </w:rPr>
            </w:pPr>
            <w:r>
              <w:rPr>
                <w:rFonts w:ascii="Arial" w:cs="Arial" w:eastAsia="Arial" w:hAnsi="Arial"/>
                <w:sz w:val="18"/>
                <w:szCs w:val="18"/>
                <w:color w:val="auto"/>
              </w:rPr>
              <w:t>Availability under the senior credit facility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108,949</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111,628</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 compliance with all affirmative, negative, and financial covenants under the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9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November 6, 2012, our Board of Directors approved an extension of a stock buyback program through calendar year 2014. The program allows the Company to purchase up to 2,113,497 shares provided that such purchases do not exceed $25.0 million in any calendar year through the end of calendar year 2014 if sufficient liquidity exists and we believe that it is in the best interest of the stockholders. The Company has not purchased any shares under this program since the Board of Directors approved the extension.</w:t>
      </w:r>
    </w:p>
    <w:p>
      <w:pPr>
        <w:spacing w:after="0" w:line="13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addition to the stock buyback program, the Company may withhold shares of common stock to satisfy the tax withholding obligations upon vesting of an employee’s deferred shares. Matrix withheld 237 shares in the first quarter of fiscal 2014 to satisfy these obligations. These shares were returned to the Company’s pool of treasury shares.</w:t>
      </w:r>
    </w:p>
    <w:p>
      <w:pPr>
        <w:spacing w:after="0" w:line="12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has 1,746,259 treasury shares as of September 30, 2013 and intends to utilize these treasury shares solely in connection with equity awards under the Company’s stock incentive plans.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- 21-</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generate sufficient cash from operations or to raise cash in order to meet our short and long-term capital requirements;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17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47" w:lineRule="exact"/>
        <w:rPr>
          <w:sz w:val="20"/>
          <w:szCs w:val="20"/>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2013 and listed from time to time in our filings with the Securities and Exchange Commission;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adequacy of our reserves for contingencies;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and in the oil, gas, power and mining and minerals industries in particular;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- 22-</w:t>
      </w:r>
    </w:p>
    <w:p>
      <w:pPr>
        <w:sectPr>
          <w:pgSz w:w="11900" w:h="16838" w:orient="portrait"/>
          <w:cols w:equalWidth="0" w:num="1">
            <w:col w:w="11360"/>
          </w:cols>
          <w:pgMar w:left="240" w:top="125" w:right="29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2013, filed with the Securities and Exchange Commission. For more information on market risk, see Part II, Item 7A in our fiscal 2013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September 30, 2013. Based on the foregoing, our Chief Executive Officer and Chief Financial Officer concluded that our disclosure controls and procedures were effective at the reasonable assurance level at September 30, 2013.</w:t>
      </w:r>
    </w:p>
    <w:p>
      <w:pPr>
        <w:spacing w:after="0" w:line="1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have materially affected, or are reasonably likely to materially affect our internal controls over financial reporting during the quarter ended September 30, 2013.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were no material changes in our Risk Factors from those reported in Item 1A of Part I of our Annual Report on Form 10-K for the fiscal year ended June 30,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information with respect to purchases made by the Company of its common stock during the first quarter of fiscal year 2014.</w:t>
      </w:r>
    </w:p>
    <w:p>
      <w:pPr>
        <w:spacing w:after="0" w:line="36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 Number</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Average Price</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Announced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Shares</w:t>
            </w:r>
          </w:p>
        </w:tc>
        <w:tc>
          <w:tcPr>
            <w:tcW w:w="1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Paid</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Plans or</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 Share</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Programs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50"/>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July 1 to July 31, 2013</w:t>
            </w: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2,113,497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Employee Transactions (B)</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$16.72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August 1 to August 31, 2013</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2,113,497</w:t>
            </w: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Employee Transactions (B)</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1 to September 30, 2013</w:t>
            </w: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2,113,497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Transactions (B)</w:t>
            </w:r>
          </w:p>
        </w:tc>
        <w:tc>
          <w:tcPr>
            <w:tcW w:w="1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40" w:right="60" w:hanging="316"/>
        <w:spacing w:after="0" w:line="261"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- 24-</w:t>
      </w:r>
    </w:p>
    <w:p>
      <w:pPr>
        <w:sectPr>
          <w:pgSz w:w="11900" w:h="16838" w:orient="portrait"/>
          <w:cols w:equalWidth="0" w:num="1">
            <w:col w:w="11360"/>
          </w:cols>
          <w:pgMar w:left="240" w:top="125" w:right="29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6"/>
          <w:szCs w:val="16"/>
          <w:color w:val="auto"/>
        </w:rPr>
        <w:t>Certification Pursuant to Section 302 of Sarbanes-Oxley Act of 2002 – CEO.</w:t>
      </w:r>
    </w:p>
    <w:p>
      <w:pPr>
        <w:spacing w:after="0" w:line="185"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6"/>
          <w:szCs w:val="16"/>
          <w:color w:val="auto"/>
        </w:rPr>
        <w:t>Certification Pursuant to Section 302 of Sarbanes-Oxley Act of 2002 – CFO.</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Exhibit 32.1:</w:t>
            </w:r>
          </w:p>
        </w:tc>
        <w:tc>
          <w:tcPr>
            <w:tcW w:w="2320" w:type="dxa"/>
            <w:vAlign w:val="bottom"/>
          </w:tcPr>
          <w:p>
            <w:pPr>
              <w:ind w:left="300"/>
              <w:spacing w:after="0"/>
              <w:rPr>
                <w:sz w:val="20"/>
                <w:szCs w:val="20"/>
                <w:color w:val="auto"/>
              </w:rPr>
            </w:pPr>
            <w:r>
              <w:rPr>
                <w:rFonts w:ascii="Arial" w:cs="Arial" w:eastAsia="Arial" w:hAnsi="Arial"/>
                <w:sz w:val="18"/>
                <w:szCs w:val="18"/>
                <w:color w:val="auto"/>
                <w:w w:val="92"/>
              </w:rPr>
              <w:t>Certification Pursuant to 18</w:t>
            </w:r>
          </w:p>
        </w:tc>
        <w:tc>
          <w:tcPr>
            <w:tcW w:w="940" w:type="dxa"/>
            <w:vAlign w:val="bottom"/>
          </w:tcPr>
          <w:p>
            <w:pPr>
              <w:ind w:left="20"/>
              <w:spacing w:after="0"/>
              <w:rPr>
                <w:sz w:val="20"/>
                <w:szCs w:val="20"/>
                <w:color w:val="auto"/>
              </w:rPr>
            </w:pPr>
            <w:r>
              <w:rPr>
                <w:rFonts w:ascii="Arial" w:cs="Arial" w:eastAsia="Arial" w:hAnsi="Arial"/>
                <w:sz w:val="18"/>
                <w:szCs w:val="18"/>
                <w:color w:val="auto"/>
                <w:w w:val="91"/>
              </w:rPr>
              <w:t>U.S.C. 1350</w:t>
            </w:r>
          </w:p>
        </w:tc>
        <w:tc>
          <w:tcPr>
            <w:tcW w:w="3840" w:type="dxa"/>
            <w:vAlign w:val="bottom"/>
          </w:tcPr>
          <w:p>
            <w:pPr>
              <w:ind w:left="20"/>
              <w:spacing w:after="0"/>
              <w:rPr>
                <w:sz w:val="20"/>
                <w:szCs w:val="20"/>
                <w:color w:val="auto"/>
              </w:rPr>
            </w:pPr>
            <w:r>
              <w:rPr>
                <w:rFonts w:ascii="Arial" w:cs="Arial" w:eastAsia="Arial" w:hAnsi="Arial"/>
                <w:sz w:val="18"/>
                <w:szCs w:val="18"/>
                <w:color w:val="auto"/>
                <w:w w:val="90"/>
              </w:rPr>
              <w:t>(section 906 of Sarbanes-Oxley Act of 2002) – CEO.</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32.2:</w:t>
            </w:r>
          </w:p>
        </w:tc>
        <w:tc>
          <w:tcPr>
            <w:tcW w:w="2320" w:type="dxa"/>
            <w:vAlign w:val="bottom"/>
          </w:tcPr>
          <w:p>
            <w:pPr>
              <w:ind w:left="300"/>
              <w:spacing w:after="0"/>
              <w:rPr>
                <w:sz w:val="20"/>
                <w:szCs w:val="20"/>
                <w:color w:val="auto"/>
              </w:rPr>
            </w:pPr>
            <w:r>
              <w:rPr>
                <w:rFonts w:ascii="Arial" w:cs="Arial" w:eastAsia="Arial" w:hAnsi="Arial"/>
                <w:sz w:val="18"/>
                <w:szCs w:val="18"/>
                <w:color w:val="auto"/>
                <w:w w:val="92"/>
              </w:rPr>
              <w:t>Certification Pursuant to 18</w:t>
            </w:r>
          </w:p>
        </w:tc>
        <w:tc>
          <w:tcPr>
            <w:tcW w:w="940" w:type="dxa"/>
            <w:vAlign w:val="bottom"/>
          </w:tcPr>
          <w:p>
            <w:pPr>
              <w:ind w:left="20"/>
              <w:spacing w:after="0"/>
              <w:rPr>
                <w:sz w:val="20"/>
                <w:szCs w:val="20"/>
                <w:color w:val="auto"/>
              </w:rPr>
            </w:pPr>
            <w:r>
              <w:rPr>
                <w:rFonts w:ascii="Arial" w:cs="Arial" w:eastAsia="Arial" w:hAnsi="Arial"/>
                <w:sz w:val="18"/>
                <w:szCs w:val="18"/>
                <w:color w:val="auto"/>
                <w:w w:val="91"/>
              </w:rPr>
              <w:t>U.S.C. 1350</w:t>
            </w:r>
          </w:p>
        </w:tc>
        <w:tc>
          <w:tcPr>
            <w:tcW w:w="3840" w:type="dxa"/>
            <w:vAlign w:val="bottom"/>
          </w:tcPr>
          <w:p>
            <w:pPr>
              <w:ind w:left="20"/>
              <w:spacing w:after="0"/>
              <w:rPr>
                <w:sz w:val="20"/>
                <w:szCs w:val="20"/>
                <w:color w:val="auto"/>
              </w:rPr>
            </w:pPr>
            <w:r>
              <w:rPr>
                <w:rFonts w:ascii="Arial" w:cs="Arial" w:eastAsia="Arial" w:hAnsi="Arial"/>
                <w:sz w:val="18"/>
                <w:szCs w:val="18"/>
                <w:color w:val="auto"/>
                <w:w w:val="91"/>
              </w:rPr>
              <w:t>(section 906 of Sarbanes-Oxley Act of 2002) – CFO.</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95:</w:t>
            </w:r>
          </w:p>
        </w:tc>
        <w:tc>
          <w:tcPr>
            <w:tcW w:w="2320" w:type="dxa"/>
            <w:vAlign w:val="bottom"/>
          </w:tcPr>
          <w:p>
            <w:pPr>
              <w:ind w:left="300"/>
              <w:spacing w:after="0"/>
              <w:rPr>
                <w:sz w:val="20"/>
                <w:szCs w:val="20"/>
                <w:color w:val="auto"/>
              </w:rPr>
            </w:pPr>
            <w:r>
              <w:rPr>
                <w:rFonts w:ascii="Arial" w:cs="Arial" w:eastAsia="Arial" w:hAnsi="Arial"/>
                <w:sz w:val="18"/>
                <w:szCs w:val="18"/>
                <w:color w:val="auto"/>
              </w:rPr>
              <w:t>Mine Safety Disclosure.</w:t>
            </w:r>
          </w:p>
        </w:tc>
        <w:tc>
          <w:tcPr>
            <w:tcW w:w="9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101.INS:</w:t>
            </w:r>
          </w:p>
        </w:tc>
        <w:tc>
          <w:tcPr>
            <w:tcW w:w="2320" w:type="dxa"/>
            <w:vAlign w:val="bottom"/>
          </w:tcPr>
          <w:p>
            <w:pPr>
              <w:ind w:left="300"/>
              <w:spacing w:after="0"/>
              <w:rPr>
                <w:sz w:val="20"/>
                <w:szCs w:val="20"/>
                <w:color w:val="auto"/>
              </w:rPr>
            </w:pPr>
            <w:r>
              <w:rPr>
                <w:rFonts w:ascii="Arial" w:cs="Arial" w:eastAsia="Arial" w:hAnsi="Arial"/>
                <w:sz w:val="18"/>
                <w:szCs w:val="18"/>
                <w:color w:val="auto"/>
                <w:w w:val="94"/>
              </w:rPr>
              <w:t>XBRL Instance Document.</w:t>
            </w:r>
          </w:p>
        </w:tc>
        <w:tc>
          <w:tcPr>
            <w:tcW w:w="9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101.SCH:</w:t>
            </w: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w w:val="98"/>
              </w:rPr>
              <w:t>XBRL Taxonomy Schema Document.</w:t>
            </w:r>
          </w:p>
        </w:tc>
        <w:tc>
          <w:tcPr>
            <w:tcW w:w="3840" w:type="dxa"/>
            <w:vAlign w:val="bottom"/>
          </w:tcPr>
          <w:p>
            <w:pPr>
              <w:spacing w:after="0"/>
              <w:rPr>
                <w:sz w:val="24"/>
                <w:szCs w:val="24"/>
                <w:color w:val="auto"/>
              </w:rPr>
            </w:pP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101.CAL:</w:t>
            </w:r>
          </w:p>
        </w:tc>
        <w:tc>
          <w:tcPr>
            <w:tcW w:w="710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101.DEF:</w:t>
            </w:r>
          </w:p>
        </w:tc>
        <w:tc>
          <w:tcPr>
            <w:tcW w:w="710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101.LAB:</w:t>
            </w:r>
          </w:p>
        </w:tc>
        <w:tc>
          <w:tcPr>
            <w:tcW w:w="710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101.PRE:</w:t>
            </w:r>
          </w:p>
        </w:tc>
        <w:tc>
          <w:tcPr>
            <w:tcW w:w="710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MATRIX SERVICE COMPANY</w:t>
      </w:r>
    </w:p>
    <w:p>
      <w:pPr>
        <w:spacing w:after="0" w:line="189" w:lineRule="exact"/>
        <w:rPr>
          <w:sz w:val="20"/>
          <w:szCs w:val="20"/>
          <w:color w:val="auto"/>
        </w:rPr>
      </w:pPr>
    </w:p>
    <w:p>
      <w:pPr>
        <w:ind w:left="40"/>
        <w:spacing w:after="0"/>
        <w:tabs>
          <w:tab w:leader="none" w:pos="700" w:val="left"/>
          <w:tab w:leader="none" w:pos="4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2013</w:t>
      </w:r>
      <w:r>
        <w:rPr>
          <w:sz w:val="20"/>
          <w:szCs w:val="20"/>
          <w:color w:val="auto"/>
        </w:rPr>
        <w:tab/>
      </w:r>
      <w:r>
        <w:rPr>
          <w:rFonts w:ascii="Arial" w:cs="Arial" w:eastAsia="Arial" w:hAnsi="Arial"/>
          <w:sz w:val="16"/>
          <w:szCs w:val="16"/>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4820" w:right="340"/>
        <w:spacing w:after="0" w:line="277" w:lineRule="auto"/>
        <w:rPr>
          <w:sz w:val="20"/>
          <w:szCs w:val="20"/>
          <w:color w:val="auto"/>
        </w:rPr>
      </w:pPr>
      <w:r>
        <w:rPr>
          <w:rFonts w:ascii="Arial" w:cs="Arial" w:eastAsia="Arial" w:hAnsi="Arial"/>
          <w:sz w:val="18"/>
          <w:szCs w:val="18"/>
          <w:color w:val="auto"/>
        </w:rPr>
        <w:t>Kevin S. Cavanah Vice President and Chief Financial Officer signing on behalf of the registrant and as the registrant’s principal financial officer</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- 25-</w:t>
      </w:r>
    </w:p>
    <w:p>
      <w:pPr>
        <w:sectPr>
          <w:pgSz w:w="11900" w:h="16838" w:orient="portrait"/>
          <w:cols w:equalWidth="0" w:num="1">
            <w:col w:w="11340"/>
          </w:cols>
          <w:pgMar w:left="240" w:top="125"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6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39"/>
        </w:trPr>
        <w:tc>
          <w:tcPr>
            <w:tcW w:w="12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2360" w:type="dxa"/>
            <w:vAlign w:val="bottom"/>
          </w:tcPr>
          <w:p>
            <w:pPr>
              <w:spacing w:after="0"/>
              <w:rPr>
                <w:sz w:val="24"/>
                <w:szCs w:val="24"/>
                <w:color w:val="auto"/>
              </w:rPr>
            </w:pPr>
          </w:p>
        </w:tc>
      </w:tr>
      <w:tr>
        <w:trPr>
          <w:trHeight w:val="588"/>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31.1:</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Section 302 of Sarbanes-Oxley Act of 2002 – CEO.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31.2:</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Section 302 of Sarbanes-Oxley Act of 2002 – CFO.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32.1:</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w w:val="91"/>
              </w:rPr>
              <w:t>Certification Pursuant to 18 U.S.C. 1350 (section 906 of Sarbanes-Oxley Act of 2002) – CEO.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32.2:</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w w:val="91"/>
              </w:rPr>
              <w:t>Certification Pursuant to 18 U.S.C. 1350 (section 906 of Sarbanes-Oxley Act of 2002) – CFO.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95:</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Mine Safety Disclosure.</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101.INS:</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Instance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101.SCH:</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101.CAL:</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101.DEF:</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101.LAB:</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101.PRE:</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60" w:type="dxa"/>
            <w:vAlign w:val="bottom"/>
            <w:gridSpan w:val="2"/>
          </w:tcPr>
          <w:p>
            <w:pPr>
              <w:ind w:left="3880"/>
              <w:spacing w:after="0"/>
              <w:rPr>
                <w:sz w:val="20"/>
                <w:szCs w:val="20"/>
                <w:color w:val="auto"/>
              </w:rPr>
            </w:pPr>
            <w:r>
              <w:rPr>
                <w:rFonts w:ascii="Arial" w:cs="Arial" w:eastAsia="Arial" w:hAnsi="Arial"/>
                <w:sz w:val="18"/>
                <w:szCs w:val="18"/>
                <w:color w:val="auto"/>
              </w:rPr>
              <w:t>- 26-</w:t>
            </w:r>
          </w:p>
        </w:tc>
        <w:tc>
          <w:tcPr>
            <w:tcW w:w="2360" w:type="dxa"/>
            <w:vAlign w:val="bottom"/>
          </w:tcPr>
          <w:p>
            <w:pPr>
              <w:spacing w:after="0"/>
              <w:rPr>
                <w:sz w:val="24"/>
                <w:szCs w:val="24"/>
                <w:color w:val="auto"/>
              </w:rPr>
            </w:pPr>
          </w:p>
        </w:tc>
      </w:tr>
    </w:tbl>
    <w:p>
      <w:pPr>
        <w:sectPr>
          <w:pgSz w:w="11900" w:h="16838" w:orient="portrait"/>
          <w:cols w:equalWidth="0" w:num="1">
            <w:col w:w="10219"/>
          </w:cols>
          <w:pgMar w:left="240" w:top="108" w:right="1440"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November 8, 2013</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2013</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September 30, 2013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November 8, 2013</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September 30, 2013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2013</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32" w:name="page33"/>
    <w:bookmarkEnd w:id="32"/>
    <w:p>
      <w:pPr>
        <w:ind w:left="10620"/>
        <w:spacing w:after="0"/>
        <w:rPr>
          <w:sz w:val="20"/>
          <w:szCs w:val="20"/>
          <w:color w:val="auto"/>
        </w:rPr>
      </w:pPr>
      <w:r>
        <w:rPr>
          <w:rFonts w:ascii="Arial" w:cs="Arial" w:eastAsia="Arial" w:hAnsi="Arial"/>
          <w:sz w:val="17"/>
          <w:szCs w:val="17"/>
          <w:b w:val="1"/>
          <w:bCs w:val="1"/>
          <w:color w:val="auto"/>
        </w:rPr>
        <w:t>Exhibit 95</w:t>
      </w:r>
    </w:p>
    <w:p>
      <w:pPr>
        <w:spacing w:after="0" w:line="200" w:lineRule="exact"/>
        <w:rPr>
          <w:sz w:val="20"/>
          <w:szCs w:val="20"/>
          <w:color w:val="auto"/>
        </w:rPr>
      </w:pPr>
    </w:p>
    <w:p>
      <w:pPr>
        <w:spacing w:after="0" w:line="20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three months ended September 30, 2013:</w:t>
      </w:r>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920" w:type="dxa"/>
            <w:vAlign w:val="bottom"/>
            <w:tcBorders>
              <w:top w:val="single" w:sz="8" w:color="auto"/>
              <w:left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106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Received</w:t>
            </w:r>
          </w:p>
        </w:tc>
        <w:tc>
          <w:tcPr>
            <w:tcW w:w="8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r>
      <w:tr>
        <w:trPr>
          <w:trHeight w:val="149"/>
        </w:trPr>
        <w:tc>
          <w:tcPr>
            <w:tcW w:w="920" w:type="dxa"/>
            <w:vAlign w:val="bottom"/>
            <w:tcBorders>
              <w:left w:val="single" w:sz="8" w:color="auto"/>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r>
      <w:tr>
        <w:trPr>
          <w:trHeight w:val="149"/>
        </w:trPr>
        <w:tc>
          <w:tcPr>
            <w:tcW w:w="920" w:type="dxa"/>
            <w:vAlign w:val="bottom"/>
            <w:tcBorders>
              <w:left w:val="single" w:sz="8" w:color="auto"/>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Total</w:t>
            </w:r>
          </w:p>
        </w:tc>
      </w:tr>
      <w:tr>
        <w:trPr>
          <w:trHeight w:val="149"/>
        </w:trPr>
        <w:tc>
          <w:tcPr>
            <w:tcW w:w="920" w:type="dxa"/>
            <w:vAlign w:val="bottom"/>
            <w:tcBorders>
              <w:left w:val="single" w:sz="8" w:color="auto"/>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Number of</w:t>
            </w:r>
          </w:p>
        </w:tc>
      </w:tr>
      <w:tr>
        <w:trPr>
          <w:trHeight w:val="149"/>
        </w:trPr>
        <w:tc>
          <w:tcPr>
            <w:tcW w:w="92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Mine or</w:t>
            </w:r>
          </w:p>
        </w:tc>
        <w:tc>
          <w:tcPr>
            <w:tcW w:w="9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10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Received Notice</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Violations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r>
      <w:tr>
        <w:trPr>
          <w:trHeight w:val="149"/>
        </w:trPr>
        <w:tc>
          <w:tcPr>
            <w:tcW w:w="92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Operating</w:t>
            </w:r>
          </w:p>
        </w:tc>
        <w:tc>
          <w:tcPr>
            <w:tcW w:w="9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10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Total Number</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of Pattern of</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Under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r>
      <w:tr>
        <w:trPr>
          <w:trHeight w:val="149"/>
        </w:trPr>
        <w:tc>
          <w:tcPr>
            <w:tcW w:w="92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10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of Mining</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Violations Under</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92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Identification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S&amp;S</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and</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 110(b)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 104(e)</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104(e)</w:t>
            </w:r>
            <w:r>
              <w:rPr>
                <w:rFonts w:ascii="Arial" w:cs="Arial" w:eastAsia="Arial" w:hAnsi="Arial"/>
                <w:sz w:val="8"/>
                <w:szCs w:val="8"/>
                <w:color w:val="auto"/>
                <w:w w:val="95"/>
              </w:rPr>
              <w:t>(7)</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During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During</w:t>
            </w:r>
          </w:p>
        </w:tc>
      </w:tr>
      <w:tr>
        <w:trPr>
          <w:trHeight w:val="188"/>
        </w:trPr>
        <w:tc>
          <w:tcPr>
            <w:tcW w:w="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Number</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Citations</w:t>
            </w:r>
            <w:r>
              <w:rPr>
                <w:rFonts w:ascii="Arial" w:cs="Arial" w:eastAsia="Arial" w:hAnsi="Arial"/>
                <w:sz w:val="8"/>
                <w:szCs w:val="8"/>
                <w:color w:val="auto"/>
                <w:w w:val="96"/>
              </w:rPr>
              <w:t>(1)</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(2)</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(3)</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(2) Violations</w:t>
            </w:r>
            <w:r>
              <w:rPr>
                <w:rFonts w:ascii="Arial" w:cs="Arial" w:eastAsia="Arial" w:hAnsi="Arial"/>
                <w:sz w:val="8"/>
                <w:szCs w:val="8"/>
                <w:color w:val="auto"/>
                <w:w w:val="98"/>
              </w:rPr>
              <w:t>(4)</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Fatalities</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9"/>
                <w:szCs w:val="9"/>
                <w:color w:val="auto"/>
                <w:w w:val="96"/>
              </w:rPr>
              <w:t xml:space="preserve">(6) </w:t>
            </w:r>
            <w:r>
              <w:rPr>
                <w:rFonts w:ascii="Arial" w:cs="Arial" w:eastAsia="Arial" w:hAnsi="Arial"/>
                <w:sz w:val="14"/>
                <w:szCs w:val="14"/>
                <w:color w:val="auto"/>
                <w:w w:val="96"/>
              </w:rPr>
              <w:t>(yes/no)</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of Period</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r>
      <w:tr>
        <w:trPr>
          <w:trHeight w:val="156"/>
        </w:trPr>
        <w:tc>
          <w:tcPr>
            <w:tcW w:w="920" w:type="dxa"/>
            <w:vAlign w:val="bottom"/>
          </w:tcPr>
          <w:p>
            <w:pPr>
              <w:ind w:left="40"/>
              <w:spacing w:after="0" w:line="157" w:lineRule="exact"/>
              <w:rPr>
                <w:sz w:val="20"/>
                <w:szCs w:val="20"/>
                <w:color w:val="auto"/>
              </w:rPr>
            </w:pPr>
            <w:r>
              <w:rPr>
                <w:rFonts w:ascii="Arial" w:cs="Arial" w:eastAsia="Arial" w:hAnsi="Arial"/>
                <w:sz w:val="14"/>
                <w:szCs w:val="14"/>
                <w:color w:val="auto"/>
              </w:rPr>
              <w:t>Freeport-</w:t>
            </w: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920" w:type="dxa"/>
            <w:vAlign w:val="bottom"/>
          </w:tcPr>
          <w:p>
            <w:pPr>
              <w:ind w:left="40"/>
              <w:spacing w:after="0" w:line="149" w:lineRule="exact"/>
              <w:rPr>
                <w:sz w:val="20"/>
                <w:szCs w:val="20"/>
                <w:color w:val="auto"/>
              </w:rPr>
            </w:pPr>
            <w:r>
              <w:rPr>
                <w:rFonts w:ascii="Arial" w:cs="Arial" w:eastAsia="Arial" w:hAnsi="Arial"/>
                <w:sz w:val="14"/>
                <w:szCs w:val="14"/>
                <w:color w:val="auto"/>
              </w:rPr>
              <w:t>McMoran</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920" w:type="dxa"/>
            <w:vAlign w:val="bottom"/>
          </w:tcPr>
          <w:p>
            <w:pPr>
              <w:ind w:left="40"/>
              <w:spacing w:after="0" w:line="149" w:lineRule="exact"/>
              <w:rPr>
                <w:sz w:val="20"/>
                <w:szCs w:val="20"/>
                <w:color w:val="auto"/>
              </w:rPr>
            </w:pPr>
            <w:r>
              <w:rPr>
                <w:rFonts w:ascii="Arial" w:cs="Arial" w:eastAsia="Arial" w:hAnsi="Arial"/>
                <w:sz w:val="14"/>
                <w:szCs w:val="14"/>
                <w:color w:val="auto"/>
              </w:rPr>
              <w:t>Morenci</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920" w:type="dxa"/>
            <w:vAlign w:val="bottom"/>
          </w:tcPr>
          <w:p>
            <w:pPr>
              <w:ind w:left="40"/>
              <w:spacing w:after="0" w:line="149" w:lineRule="exact"/>
              <w:rPr>
                <w:sz w:val="20"/>
                <w:szCs w:val="20"/>
                <w:color w:val="auto"/>
              </w:rPr>
            </w:pPr>
            <w:r>
              <w:rPr>
                <w:rFonts w:ascii="Arial" w:cs="Arial" w:eastAsia="Arial" w:hAnsi="Arial"/>
                <w:sz w:val="14"/>
                <w:szCs w:val="14"/>
                <w:color w:val="auto"/>
              </w:rPr>
              <w:t>Inc./Mine ID:</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2"/>
        </w:trPr>
        <w:tc>
          <w:tcPr>
            <w:tcW w:w="920" w:type="dxa"/>
            <w:vAlign w:val="bottom"/>
          </w:tcPr>
          <w:p>
            <w:pPr>
              <w:ind w:left="40"/>
              <w:spacing w:after="0"/>
              <w:rPr>
                <w:sz w:val="20"/>
                <w:szCs w:val="20"/>
                <w:color w:val="auto"/>
              </w:rPr>
            </w:pPr>
            <w:r>
              <w:rPr>
                <w:rFonts w:ascii="Arial" w:cs="Arial" w:eastAsia="Arial" w:hAnsi="Arial"/>
                <w:sz w:val="14"/>
                <w:szCs w:val="14"/>
                <w:color w:val="auto"/>
                <w:w w:val="92"/>
              </w:rPr>
              <w:t>02-00024 5CP</w:t>
            </w: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1</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No</w:t>
            </w:r>
          </w:p>
        </w:tc>
        <w:tc>
          <w:tcPr>
            <w:tcW w:w="880" w:type="dxa"/>
            <w:vAlign w:val="bottom"/>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69"/>
        </w:trPr>
        <w:tc>
          <w:tcPr>
            <w:tcW w:w="920" w:type="dxa"/>
            <w:vAlign w:val="bottom"/>
          </w:tcPr>
          <w:p>
            <w:pPr>
              <w:ind w:left="40"/>
              <w:spacing w:after="0"/>
              <w:rPr>
                <w:sz w:val="20"/>
                <w:szCs w:val="20"/>
                <w:color w:val="auto"/>
              </w:rPr>
            </w:pPr>
            <w:r>
              <w:rPr>
                <w:rFonts w:ascii="Arial" w:cs="Arial" w:eastAsia="Arial" w:hAnsi="Arial"/>
                <w:sz w:val="14"/>
                <w:szCs w:val="14"/>
                <w:color w:val="auto"/>
              </w:rPr>
              <w:t>Solvay</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920" w:type="dxa"/>
            <w:vAlign w:val="bottom"/>
          </w:tcPr>
          <w:p>
            <w:pPr>
              <w:ind w:left="40"/>
              <w:spacing w:after="0" w:line="149" w:lineRule="exact"/>
              <w:rPr>
                <w:sz w:val="20"/>
                <w:szCs w:val="20"/>
                <w:color w:val="auto"/>
              </w:rPr>
            </w:pPr>
            <w:r>
              <w:rPr>
                <w:rFonts w:ascii="Arial" w:cs="Arial" w:eastAsia="Arial" w:hAnsi="Arial"/>
                <w:sz w:val="14"/>
                <w:szCs w:val="14"/>
                <w:color w:val="auto"/>
              </w:rPr>
              <w:t>Chemicals,</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920" w:type="dxa"/>
            <w:vAlign w:val="bottom"/>
          </w:tcPr>
          <w:p>
            <w:pPr>
              <w:ind w:left="40"/>
              <w:spacing w:after="0" w:line="149" w:lineRule="exact"/>
              <w:rPr>
                <w:sz w:val="20"/>
                <w:szCs w:val="20"/>
                <w:color w:val="auto"/>
              </w:rPr>
            </w:pPr>
            <w:r>
              <w:rPr>
                <w:rFonts w:ascii="Arial" w:cs="Arial" w:eastAsia="Arial" w:hAnsi="Arial"/>
                <w:sz w:val="14"/>
                <w:szCs w:val="14"/>
                <w:color w:val="auto"/>
              </w:rPr>
              <w:t>Inc/Mine ID:</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2"/>
        </w:trPr>
        <w:tc>
          <w:tcPr>
            <w:tcW w:w="920" w:type="dxa"/>
            <w:vAlign w:val="bottom"/>
          </w:tcPr>
          <w:p>
            <w:pPr>
              <w:ind w:left="40"/>
              <w:spacing w:after="0"/>
              <w:rPr>
                <w:sz w:val="20"/>
                <w:szCs w:val="20"/>
                <w:color w:val="auto"/>
              </w:rPr>
            </w:pPr>
            <w:r>
              <w:rPr>
                <w:rFonts w:ascii="Arial" w:cs="Arial" w:eastAsia="Arial" w:hAnsi="Arial"/>
                <w:sz w:val="14"/>
                <w:szCs w:val="14"/>
                <w:color w:val="auto"/>
                <w:w w:val="92"/>
              </w:rPr>
              <w:t>48-01295 5CP</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$108.00</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No</w:t>
            </w:r>
          </w:p>
        </w:tc>
        <w:tc>
          <w:tcPr>
            <w:tcW w:w="880" w:type="dxa"/>
            <w:vAlign w:val="bottom"/>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1</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1</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r>
    </w:tbl>
    <w:p>
      <w:pPr>
        <w:spacing w:after="0" w:line="209" w:lineRule="exact"/>
        <w:rPr>
          <w:sz w:val="20"/>
          <w:szCs w:val="20"/>
          <w:color w:val="auto"/>
        </w:rPr>
      </w:pPr>
    </w:p>
    <w:p>
      <w:pPr>
        <w:ind w:left="260" w:right="360" w:hanging="252"/>
        <w:spacing w:after="0" w:line="261" w:lineRule="auto"/>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ind w:left="220" w:hanging="212"/>
        <w:spacing w:after="0"/>
        <w:tabs>
          <w:tab w:leader="none" w:pos="2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represents a failure to abate a citation under section 104(a) within the period of time prescribed by MSHA.</w:t>
      </w:r>
    </w:p>
    <w:p>
      <w:pPr>
        <w:spacing w:after="0" w:line="39" w:lineRule="exact"/>
        <w:rPr>
          <w:rFonts w:ascii="Arial" w:cs="Arial" w:eastAsia="Arial" w:hAnsi="Arial"/>
          <w:sz w:val="13"/>
          <w:szCs w:val="13"/>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440"/>
      </w:cols>
      <w:pgMar w:left="240" w:top="58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upperLetter"/>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lvl w:ilvl="1">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lvl w:ilvl="1">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lvl w:ilvl="1">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upperLetter"/>
      <w:start w:val="1"/>
    </w:lvl>
  </w:abstractNum>
  <w:abstractNum w:abstractNumId="14">
    <w:nsid w:val="25E45D32"/>
    <w:multiLevelType w:val="hybridMultilevel"/>
    <w:lvl w:ilvl="0">
      <w:lvlJc w:val="left"/>
      <w:lvlText w:val="%1."/>
      <w:numFmt w:val="decimal"/>
      <w:start w:val="1"/>
    </w:lvl>
    <w:lvl w:ilvl="1">
      <w:lvlJc w:val="left"/>
      <w:lvlText w:val="%2."/>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2019-12-06T04:24:02Z</dcterms:created>
  <dcterms:modified xsi:type="dcterms:W3CDTF">2019-12-06T04:24:02Z</dcterms:modified>
</cp:coreProperties>
</file>