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422"/>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449"/>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77"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1-15461</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380"/>
          </w:cols>
          <w:pgMar w:left="240" w:top="963" w:right="27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580"/>
          </w:cols>
          <w:pgMar w:left="240" w:top="963" w:right="27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420" w:space="720"/>
            <w:col w:w="4240"/>
          </w:cols>
          <w:pgMar w:left="240" w:top="963"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5100 East Skelly Drive, Suite 700, Tulsa, Oklahoma 74135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220" w:type="dxa"/>
            <w:vAlign w:val="bottom"/>
          </w:tcPr>
          <w:p>
            <w:pPr>
              <w:ind w:left="400"/>
              <w:spacing w:after="0"/>
              <w:rPr>
                <w:sz w:val="20"/>
                <w:szCs w:val="20"/>
                <w:color w:val="auto"/>
              </w:rPr>
            </w:pPr>
            <w:r>
              <w:rPr>
                <w:rFonts w:ascii="Arial" w:cs="Arial" w:eastAsia="Arial" w:hAnsi="Arial"/>
                <w:sz w:val="18"/>
                <w:szCs w:val="18"/>
                <w:color w:val="auto"/>
              </w:rPr>
              <w:t>o</w:t>
            </w:r>
          </w:p>
        </w:tc>
        <w:tc>
          <w:tcPr>
            <w:tcW w:w="246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05"/>
        </w:trPr>
        <w:tc>
          <w:tcPr>
            <w:tcW w:w="828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4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r>
    </w:tbl>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As of April 30, 2014 there were 27,888,217 shares of the Company’s common stock, $0.01 par value per share, issued and 26,413,166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type w:val="continuous"/>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3"/>
          </w:tcPr>
          <w:p>
            <w:pPr>
              <w:ind w:left="220"/>
              <w:spacing w:after="0"/>
              <w:rPr>
                <w:sz w:val="20"/>
                <w:szCs w:val="20"/>
                <w:color w:val="auto"/>
              </w:rPr>
            </w:pPr>
            <w:r>
              <w:rPr>
                <w:rFonts w:ascii="Arial" w:cs="Arial" w:eastAsia="Arial" w:hAnsi="Arial"/>
                <w:sz w:val="14"/>
                <w:szCs w:val="14"/>
                <w:b w:val="1"/>
                <w:bCs w:val="1"/>
                <w:color w:val="auto"/>
                <w:w w:val="95"/>
              </w:rPr>
              <w:t>PAGE</w:t>
            </w:r>
          </w:p>
        </w:tc>
      </w:tr>
      <w:tr>
        <w:trPr>
          <w:trHeight w:val="215"/>
        </w:trPr>
        <w:tc>
          <w:tcPr>
            <w:tcW w:w="1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60" w:type="dxa"/>
            <w:vAlign w:val="bottom"/>
            <w:gridSpan w:val="9"/>
          </w:tcPr>
          <w:p>
            <w:pPr>
              <w:jc w:val="center"/>
              <w:ind w:right="2420"/>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00" w:type="dxa"/>
            <w:vAlign w:val="bottom"/>
            <w:gridSpan w:val="12"/>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Income for the Three and Nine Months Ended March 31, 2014 and 2013</w:t>
              </w:r>
            </w:hyperlink>
          </w:p>
        </w:tc>
        <w:tc>
          <w:tcPr>
            <w:tcW w:w="1380" w:type="dxa"/>
            <w:vAlign w:val="bottom"/>
            <w:gridSpan w:val="3"/>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Condensed Consolidated Statements of Comprehensive Income for the Three and Nine Months Ended March 31, 2014 and 2013</w:t>
              </w:r>
            </w:hyperlink>
          </w:p>
        </w:tc>
        <w:tc>
          <w:tcPr>
            <w:tcW w:w="460" w:type="dxa"/>
            <w:vAlign w:val="bottom"/>
            <w:gridSpan w:val="2"/>
          </w:tcPr>
          <w:p>
            <w:pPr>
              <w:jc w:val="center"/>
              <w:ind w:left="29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gridSpan w:val="9"/>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Sheets as of March 31, 2014 and June 30, 2013</w:t>
              </w:r>
            </w:hyperlink>
          </w:p>
        </w:tc>
        <w:tc>
          <w:tcPr>
            <w:tcW w:w="33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11"/>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Condensed Consolidated Statements of Cash Flows for the Nine Months Ended March 31, 2014 and 2013</w:t>
              </w:r>
            </w:hyperlink>
          </w:p>
        </w:tc>
        <w:tc>
          <w:tcPr>
            <w:tcW w:w="1840" w:type="dxa"/>
            <w:vAlign w:val="bottom"/>
            <w:gridSpan w:val="4"/>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40" w:type="dxa"/>
            <w:vAlign w:val="bottom"/>
            <w:gridSpan w:val="13"/>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Condensed Consolidated Statements of Changes in Stockholders' Equity for the Nine Months Ended March 31, 2014 and 2013</w:t>
              </w:r>
            </w:hyperlink>
          </w:p>
        </w:tc>
        <w:tc>
          <w:tcPr>
            <w:tcW w:w="340" w:type="dxa"/>
            <w:vAlign w:val="bottom"/>
            <w:gridSpan w:val="2"/>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7"/>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w:t>
              </w:r>
            </w:hyperlink>
          </w:p>
        </w:tc>
        <w:tc>
          <w:tcPr>
            <w:tcW w:w="5140" w:type="dxa"/>
            <w:vAlign w:val="bottom"/>
            <w:gridSpan w:val="6"/>
          </w:tcPr>
          <w:p>
            <w:pPr>
              <w:spacing w:after="0"/>
              <w:rPr>
                <w:sz w:val="24"/>
                <w:szCs w:val="24"/>
                <w:color w:val="auto"/>
              </w:rPr>
            </w:pPr>
          </w:p>
        </w:tc>
        <w:tc>
          <w:tcPr>
            <w:tcW w:w="340" w:type="dxa"/>
            <w:vAlign w:val="bottom"/>
            <w:gridSpan w:val="2"/>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15"/>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460" w:type="dxa"/>
            <w:vAlign w:val="bottom"/>
            <w:gridSpan w:val="2"/>
          </w:tcPr>
          <w:p>
            <w:pPr>
              <w:jc w:val="center"/>
              <w:ind w:left="191"/>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17</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4"/>
                <w:szCs w:val="24"/>
                <w:color w:val="auto"/>
              </w:rPr>
            </w:pPr>
          </w:p>
        </w:tc>
        <w:tc>
          <w:tcPr>
            <w:tcW w:w="3020" w:type="dxa"/>
            <w:vAlign w:val="bottom"/>
            <w:gridSpan w:val="5"/>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120" w:type="dxa"/>
            <w:vAlign w:val="bottom"/>
            <w:tcBorders>
              <w:left w:val="single" w:sz="8" w:color="0000FF"/>
            </w:tcBorders>
            <w:gridSpan w:val="7"/>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Controls and Procedures</w:t>
              </w:r>
            </w:hyperlink>
          </w:p>
        </w:tc>
        <w:tc>
          <w:tcPr>
            <w:tcW w:w="5120" w:type="dxa"/>
            <w:vAlign w:val="bottom"/>
            <w:gridSpan w:val="7"/>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27</w:t>
              </w:r>
            </w:hyperlink>
          </w:p>
        </w:tc>
        <w:tc>
          <w:tcPr>
            <w:tcW w:w="160" w:type="dxa"/>
            <w:vAlign w:val="bottom"/>
          </w:tcPr>
          <w:p>
            <w:pPr>
              <w:spacing w:after="0"/>
              <w:rPr>
                <w:sz w:val="24"/>
                <w:szCs w:val="24"/>
                <w:color w:val="auto"/>
              </w:rPr>
            </w:pPr>
          </w:p>
        </w:tc>
      </w:tr>
      <w:tr>
        <w:trPr>
          <w:trHeight w:val="574"/>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PART II</w:t>
              </w:r>
            </w:hyperlink>
          </w:p>
        </w:tc>
        <w:tc>
          <w:tcPr>
            <w:tcW w:w="3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gridSpan w:val="9"/>
          </w:tcPr>
          <w:p>
            <w:pPr>
              <w:jc w:val="center"/>
              <w:ind w:right="2400"/>
              <w:spacing w:after="0"/>
              <w:rPr>
                <w:sz w:val="20"/>
                <w:szCs w:val="20"/>
                <w:color w:val="auto"/>
              </w:rPr>
            </w:pPr>
            <w:r>
              <w:rPr>
                <w:rFonts w:ascii="Arial" w:cs="Arial" w:eastAsia="Arial" w:hAnsi="Arial"/>
                <w:sz w:val="18"/>
                <w:szCs w:val="18"/>
                <w:b w:val="1"/>
                <w:bCs w:val="1"/>
                <w:color w:val="auto"/>
              </w:rPr>
              <w:t>OTHER INFORMATION</w:t>
            </w:r>
          </w:p>
        </w:tc>
        <w:tc>
          <w:tcPr>
            <w:tcW w:w="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3"/>
          </w:tcPr>
          <w:p>
            <w:pPr>
              <w:spacing w:after="0"/>
              <w:rPr>
                <w:rFonts w:ascii="Arial" w:cs="Arial" w:eastAsia="Arial" w:hAnsi="Arial"/>
                <w:sz w:val="18"/>
                <w:szCs w:val="18"/>
                <w:color w:val="0000FF"/>
                <w:w w:val="85"/>
              </w:rPr>
            </w:pPr>
            <w:hyperlink w:anchor="page30">
              <w:r>
                <w:rPr>
                  <w:rFonts w:ascii="Arial" w:cs="Arial" w:eastAsia="Arial" w:hAnsi="Arial"/>
                  <w:sz w:val="18"/>
                  <w:szCs w:val="18"/>
                  <w:color w:val="0000FF"/>
                  <w:w w:val="85"/>
                </w:rPr>
                <w:t>Legal Proceedings</w:t>
              </w:r>
            </w:hyperlink>
          </w:p>
        </w:tc>
        <w:tc>
          <w:tcPr>
            <w:tcW w:w="8160" w:type="dxa"/>
            <w:vAlign w:val="bottom"/>
            <w:gridSpan w:val="12"/>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Risk Factors</w:t>
              </w:r>
            </w:hyperlink>
          </w:p>
        </w:tc>
        <w:tc>
          <w:tcPr>
            <w:tcW w:w="8160" w:type="dxa"/>
            <w:vAlign w:val="bottom"/>
            <w:gridSpan w:val="12"/>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8"/>
          </w:tcPr>
          <w:p>
            <w:pP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Unregistered Sales of Equity Securities and Use of Proceeds</w:t>
              </w:r>
            </w:hyperlink>
          </w:p>
        </w:tc>
        <w:tc>
          <w:tcPr>
            <w:tcW w:w="5120" w:type="dxa"/>
            <w:vAlign w:val="bottom"/>
            <w:gridSpan w:val="7"/>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Defaults Upon Senior Securities</w:t>
              </w:r>
            </w:hyperlink>
          </w:p>
        </w:tc>
        <w:tc>
          <w:tcPr>
            <w:tcW w:w="5120" w:type="dxa"/>
            <w:vAlign w:val="bottom"/>
            <w:gridSpan w:val="7"/>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29</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160" w:type="dxa"/>
            <w:vAlign w:val="bottom"/>
            <w:gridSpan w:val="10"/>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00" w:type="dxa"/>
            <w:vAlign w:val="bottom"/>
            <w:gridSpan w:val="11"/>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3"/>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700" w:type="dxa"/>
            <w:vAlign w:val="bottom"/>
            <w:gridSpan w:val="11"/>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8160" w:type="dxa"/>
            <w:vAlign w:val="bottom"/>
            <w:gridSpan w:val="12"/>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16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20"/>
          </w:cols>
          <w:pgMar w:left="280" w:top="580"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96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5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918,731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657,014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341,572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202,844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819,161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589,311</w:t>
            </w: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67,703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55,172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42,576</w:t>
            </w: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25,127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18,548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43,410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24,640</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11,792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28,655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16,641</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11,396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28,254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16,641</w:t>
            </w:r>
          </w:p>
        </w:tc>
      </w:tr>
      <w:tr>
        <w:trPr>
          <w:trHeight w:val="67"/>
        </w:trPr>
        <w:tc>
          <w:tcPr>
            <w:tcW w:w="65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78"/>
        </w:trPr>
        <w:tc>
          <w:tcPr>
            <w:tcW w:w="6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0.64</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25,921</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27,040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26,411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26,898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26,269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96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5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2013</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28,655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16,641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10,027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26,715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16,579</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attributable to Matrix Service Company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9,631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26,314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16,579</w:t>
            </w: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661" w:right="239" w:bottom="1440" w:gutter="0" w:footer="0" w:header="0"/>
        </w:sectPr>
      </w:pPr>
    </w:p>
    <w:bookmarkStart w:id="4" w:name="page5"/>
    <w:bookmarkEnd w:id="4"/>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63,750</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Accounts receivable, less allowances (March 31, 2014— $126 and June 30, 2013—$795)</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232,167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140,840</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73,773</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8,898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5,657</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2,988</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3,032</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6,234</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407,251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296,274</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Land and buildings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31,195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29,649</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69,998</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Transportation equipment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41,008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34,366</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Office equipment and software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18,426</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13,939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9,080</w:t>
            </w:r>
          </w:p>
        </w:tc>
      </w:tr>
      <w:tr>
        <w:trPr>
          <w:trHeight w:val="27"/>
        </w:trPr>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187,781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161,519</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(99,684)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(90,218)</w:t>
            </w:r>
          </w:p>
        </w:tc>
      </w:tr>
      <w:tr>
        <w:trPr>
          <w:trHeight w:val="27"/>
        </w:trPr>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71,301</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66,589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30,836</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7,551</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6,173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4,016</w:t>
            </w:r>
          </w:p>
        </w:tc>
      </w:tr>
      <w:tr>
        <w:trPr>
          <w:trHeight w:val="27"/>
        </w:trPr>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597,815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409,978</w:t>
            </w: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0940"/>
          </w:cols>
          <w:pgMar w:left="240" w:top="661"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0940"/>
          </w:cols>
          <w:pgMar w:left="240" w:top="661" w:right="719" w:bottom="1440" w:gutter="0" w:footer="0" w:header="0"/>
          <w:type w:val="continuous"/>
        </w:sectPr>
      </w:pPr>
    </w:p>
    <w:bookmarkStart w:id="5" w:name="page6"/>
    <w:bookmarkEnd w:id="5"/>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31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121,802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68,961</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100,614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62,848</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21,919</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7,599</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3,039</w:t>
            </w:r>
          </w:p>
        </w:tc>
      </w:tr>
      <w:tr>
        <w:trPr>
          <w:trHeight w:val="27"/>
        </w:trPr>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275,794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164,366</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6,365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7,450</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credit facility</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327,262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171,816</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Matrix Service Company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7820" w:type="dxa"/>
            <w:vAlign w:val="bottom"/>
          </w:tcPr>
          <w:p>
            <w:pPr>
              <w:ind w:left="380"/>
              <w:spacing w:after="0"/>
              <w:rPr>
                <w:sz w:val="20"/>
                <w:szCs w:val="20"/>
                <w:color w:val="auto"/>
              </w:rPr>
            </w:pPr>
            <w:r>
              <w:rPr>
                <w:rFonts w:ascii="Arial" w:cs="Arial" w:eastAsia="Arial" w:hAnsi="Arial"/>
                <w:sz w:val="18"/>
                <w:szCs w:val="18"/>
                <w:color w:val="auto"/>
                <w:w w:val="90"/>
              </w:rPr>
              <w:t>Common stock—$.01 par value; 60,000,000 shares authorized; 27,888,217 shares issued as of March</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820" w:type="dxa"/>
            <w:vAlign w:val="bottom"/>
          </w:tcPr>
          <w:p>
            <w:pPr>
              <w:ind w:left="380"/>
              <w:spacing w:after="0"/>
              <w:rPr>
                <w:sz w:val="20"/>
                <w:szCs w:val="20"/>
                <w:color w:val="auto"/>
              </w:rPr>
            </w:pPr>
            <w:r>
              <w:rPr>
                <w:rFonts w:ascii="Arial" w:cs="Arial" w:eastAsia="Arial" w:hAnsi="Arial"/>
                <w:sz w:val="18"/>
                <w:szCs w:val="18"/>
                <w:color w:val="auto"/>
              </w:rPr>
              <w:t>31, 2014, and June 30, 2013</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279</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118,164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118,190</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169,681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141,427</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r>
      <w:tr>
        <w:trPr>
          <w:trHeight w:val="237"/>
        </w:trPr>
        <w:tc>
          <w:tcPr>
            <w:tcW w:w="78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286,411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260,123</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Less: Treasury stock, at cost— 1,476,765 shares as of March 31, 2014, and 1,779,593 shares as of</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June 30, 2013</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(21,961)</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Total Matrix Service Company stockholders’ equity</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269,452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238,162</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270,553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238,162</w:t>
            </w:r>
          </w:p>
        </w:tc>
      </w:tr>
      <w:tr>
        <w:trPr>
          <w:trHeight w:val="27"/>
        </w:trPr>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597,815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409,978</w:t>
            </w: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0940"/>
          </w:cols>
          <w:pgMar w:left="240" w:top="661" w:right="719" w:bottom="1440" w:gutter="0" w:footer="0" w:header="0"/>
        </w:sectPr>
      </w:pPr>
    </w:p>
    <w:bookmarkStart w:id="6" w:name="page7"/>
    <w:bookmarkEnd w:id="6"/>
    <w:p>
      <w:pPr>
        <w:jc w:val="center"/>
        <w:ind w:right="-4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(unaudited)</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7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7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28,655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16,641</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12,945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9,211</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Gain on sale of property, plant and equipment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Allowance for uncollectible accounts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2,830</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(23,194)</w:t>
            </w:r>
          </w:p>
        </w:tc>
      </w:tr>
      <w:tr>
        <w:trPr>
          <w:trHeight w:val="243"/>
        </w:trPr>
        <w:tc>
          <w:tcPr>
            <w:tcW w:w="7820" w:type="dxa"/>
            <w:vAlign w:val="bottom"/>
          </w:tcPr>
          <w:p>
            <w:pPr>
              <w:ind w:left="6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(1,997)</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43"/>
        </w:trPr>
        <w:tc>
          <w:tcPr>
            <w:tcW w:w="7820" w:type="dxa"/>
            <w:vAlign w:val="bottom"/>
          </w:tcPr>
          <w:p>
            <w:pPr>
              <w:ind w:left="6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(2,942)</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10,153</w:t>
            </w:r>
          </w:p>
        </w:tc>
      </w:tr>
      <w:tr>
        <w:trPr>
          <w:trHeight w:val="243"/>
        </w:trPr>
        <w:tc>
          <w:tcPr>
            <w:tcW w:w="7820" w:type="dxa"/>
            <w:vAlign w:val="bottom"/>
          </w:tcPr>
          <w:p>
            <w:pPr>
              <w:ind w:left="6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19,500</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7,492</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20,155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37,341</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(16,640)</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 (Note 2)</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(9,394)</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Proceeds from asset sales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171</w:t>
            </w:r>
          </w:p>
        </w:tc>
      </w:tr>
      <w:tr>
        <w:trPr>
          <w:trHeight w:val="27"/>
        </w:trPr>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by investing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(25,863)</w:t>
            </w:r>
          </w:p>
        </w:tc>
      </w:tr>
      <w:tr>
        <w:trPr>
          <w:trHeight w:val="27"/>
        </w:trPr>
        <w:tc>
          <w:tcPr>
            <w:tcW w:w="7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- 5-</w:t>
      </w:r>
    </w:p>
    <w:p>
      <w:pPr>
        <w:sectPr>
          <w:pgSz w:w="11900" w:h="16838" w:orient="portrait"/>
          <w:cols w:equalWidth="0" w:num="1">
            <w:col w:w="10900"/>
          </w:cols>
          <w:pgMar w:left="280" w:top="580" w:right="719" w:bottom="1440" w:gutter="0" w:footer="0" w:header="0"/>
        </w:sectPr>
      </w:pPr>
    </w:p>
    <w:bookmarkStart w:id="7" w:name="page8"/>
    <w:bookmarkEnd w:id="7"/>
    <w:p>
      <w:pPr>
        <w:jc w:val="center"/>
        <w:ind w:right="-4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7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7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Issuances of common stock</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558</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Advances under credit agreement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68,970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25,565</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Repayments of advances under credit agreement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(25,565)</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debt amendment fees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Treasury shares purchased by Employee Stock Purchase Plan</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treasury share purchases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45,667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10,949</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39,726</w:t>
            </w:r>
          </w:p>
        </w:tc>
      </w:tr>
      <w:tr>
        <w:trPr>
          <w:trHeight w:val="29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59,758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50,675</w:t>
            </w: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11,445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7,404</w:t>
            </w: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457</w:t>
            </w: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64"/>
        </w:trPr>
        <w:tc>
          <w:tcPr>
            <w:tcW w:w="7820" w:type="dxa"/>
            <w:vAlign w:val="bottom"/>
          </w:tcPr>
          <w:p>
            <w:pPr>
              <w:ind w:left="360"/>
              <w:spacing w:after="0"/>
              <w:rPr>
                <w:sz w:val="20"/>
                <w:szCs w:val="20"/>
                <w:color w:val="auto"/>
              </w:rPr>
            </w:pPr>
            <w:r>
              <w:rPr>
                <w:rFonts w:ascii="Arial" w:cs="Arial" w:eastAsia="Arial" w:hAnsi="Arial"/>
                <w:sz w:val="18"/>
                <w:szCs w:val="18"/>
                <w:color w:val="auto"/>
              </w:rPr>
              <w:t>Purchases of property, plant and equipment on account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748</w:t>
            </w: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0900"/>
          </w:cols>
          <w:pgMar w:left="280" w:top="1229" w:right="719" w:bottom="1440" w:gutter="0" w:footer="0" w:header="0"/>
        </w:sectPr>
      </w:pPr>
    </w:p>
    <w:bookmarkStart w:id="8" w:name="page9"/>
    <w:bookmarkEnd w:id="8"/>
    <w:p>
      <w:pPr>
        <w:jc w:val="center"/>
        <w:ind w:right="-59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4"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(unaudited)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Income(Loss)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June 30,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118,190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141,427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238,162</w:t>
            </w: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28,254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28,655</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0" w:type="dxa"/>
            <w:vAlign w:val="bottom"/>
          </w:tcPr>
          <w:p>
            <w:pPr>
              <w:spacing w:after="0"/>
              <w:rPr>
                <w:sz w:val="1"/>
                <w:szCs w:val="1"/>
                <w:color w:val="auto"/>
              </w:rPr>
            </w:pPr>
          </w:p>
        </w:tc>
      </w:tr>
      <w:tr>
        <w:trPr>
          <w:trHeight w:val="220"/>
        </w:trPr>
        <w:tc>
          <w:tcPr>
            <w:tcW w:w="2920" w:type="dxa"/>
            <w:vAlign w:val="bottom"/>
          </w:tcPr>
          <w:p>
            <w:pPr>
              <w:ind w:left="40"/>
              <w:spacing w:after="0"/>
              <w:rPr>
                <w:sz w:val="20"/>
                <w:szCs w:val="20"/>
                <w:color w:val="auto"/>
              </w:rPr>
            </w:pPr>
            <w:r>
              <w:rPr>
                <w:rFonts w:ascii="Arial" w:cs="Arial" w:eastAsia="Arial" w:hAnsi="Arial"/>
                <w:sz w:val="16"/>
                <w:szCs w:val="16"/>
                <w:color w:val="auto"/>
              </w:rPr>
              <w:t>Purchase of consolidated joint venture</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40"/>
              <w:spacing w:after="0"/>
              <w:rPr>
                <w:sz w:val="20"/>
                <w:szCs w:val="20"/>
                <w:color w:val="auto"/>
              </w:rPr>
            </w:pPr>
            <w:r>
              <w:rPr>
                <w:rFonts w:ascii="Arial" w:cs="Arial" w:eastAsia="Arial" w:hAnsi="Arial"/>
                <w:sz w:val="16"/>
                <w:szCs w:val="16"/>
                <w:color w:val="auto"/>
              </w:rPr>
              <w:t>(Note 2)</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Exercise of stock options (121,250 shares)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20"/>
        </w:trPr>
        <w:tc>
          <w:tcPr>
            <w:tcW w:w="2920" w:type="dxa"/>
            <w:vAlign w:val="bottom"/>
          </w:tcPr>
          <w:p>
            <w:pPr>
              <w:ind w:left="40"/>
              <w:spacing w:after="0"/>
              <w:rPr>
                <w:sz w:val="20"/>
                <w:szCs w:val="20"/>
                <w:color w:val="auto"/>
              </w:rPr>
            </w:pPr>
            <w:r>
              <w:rPr>
                <w:rFonts w:ascii="Arial" w:cs="Arial" w:eastAsia="Arial" w:hAnsi="Arial"/>
                <w:sz w:val="16"/>
                <w:szCs w:val="16"/>
                <w:color w:val="auto"/>
                <w:w w:val="98"/>
              </w:rPr>
              <w:t>Tax effect of exercised stock options and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40"/>
              <w:spacing w:after="0"/>
              <w:rPr>
                <w:sz w:val="20"/>
                <w:szCs w:val="20"/>
                <w:color w:val="auto"/>
              </w:rPr>
            </w:pPr>
            <w:r>
              <w:rPr>
                <w:rFonts w:ascii="Arial" w:cs="Arial" w:eastAsia="Arial" w:hAnsi="Arial"/>
                <w:sz w:val="16"/>
                <w:szCs w:val="16"/>
                <w:color w:val="auto"/>
              </w:rPr>
              <w:t>vesting of deferred shares</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deferred shares (254,720</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40"/>
              <w:spacing w:after="0"/>
              <w:rPr>
                <w:sz w:val="20"/>
                <w:szCs w:val="20"/>
                <w:color w:val="auto"/>
              </w:rPr>
            </w:pPr>
            <w:r>
              <w:rPr>
                <w:rFonts w:ascii="Arial" w:cs="Arial" w:eastAsia="Arial" w:hAnsi="Arial"/>
                <w:sz w:val="16"/>
                <w:szCs w:val="16"/>
                <w:color w:val="auto"/>
                <w:w w:val="99"/>
              </w:rPr>
              <w:t>Treasury shares sold to Employee Stock</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40"/>
              <w:spacing w:after="0"/>
              <w:rPr>
                <w:sz w:val="20"/>
                <w:szCs w:val="20"/>
                <w:color w:val="auto"/>
              </w:rPr>
            </w:pPr>
            <w:r>
              <w:rPr>
                <w:rFonts w:ascii="Arial" w:cs="Arial" w:eastAsia="Arial" w:hAnsi="Arial"/>
                <w:sz w:val="16"/>
                <w:szCs w:val="16"/>
                <w:color w:val="auto"/>
              </w:rPr>
              <w:t>Purchase Plan (3,726 shares)</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treasury share purchases (76,868</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3,905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3,905</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March 31,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169,681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270,553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920" w:type="dxa"/>
            <w:vAlign w:val="bottom"/>
          </w:tcPr>
          <w:p>
            <w:pPr>
              <w:ind w:left="40"/>
              <w:spacing w:after="0"/>
              <w:rPr>
                <w:sz w:val="20"/>
                <w:szCs w:val="20"/>
                <w:color w:val="auto"/>
              </w:rPr>
            </w:pPr>
            <w:r>
              <w:rPr>
                <w:rFonts w:ascii="Arial" w:cs="Arial" w:eastAsia="Arial" w:hAnsi="Arial"/>
                <w:sz w:val="16"/>
                <w:szCs w:val="16"/>
                <w:color w:val="auto"/>
              </w:rPr>
              <w:t>Balances, June 30, 2012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116,693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117,419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(24,065)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211,097</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16,641</w:t>
            </w: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Exercise of stock options (66,040 shares)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20"/>
        </w:trPr>
        <w:tc>
          <w:tcPr>
            <w:tcW w:w="2920" w:type="dxa"/>
            <w:vAlign w:val="bottom"/>
          </w:tcPr>
          <w:p>
            <w:pPr>
              <w:ind w:left="40"/>
              <w:spacing w:after="0"/>
              <w:rPr>
                <w:sz w:val="20"/>
                <w:szCs w:val="20"/>
                <w:color w:val="auto"/>
              </w:rPr>
            </w:pPr>
            <w:r>
              <w:rPr>
                <w:rFonts w:ascii="Arial" w:cs="Arial" w:eastAsia="Arial" w:hAnsi="Arial"/>
                <w:sz w:val="16"/>
                <w:szCs w:val="16"/>
                <w:color w:val="auto"/>
                <w:w w:val="98"/>
              </w:rPr>
              <w:t>Tax effect of exercised stock options and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40"/>
              <w:spacing w:after="0"/>
              <w:rPr>
                <w:sz w:val="20"/>
                <w:szCs w:val="20"/>
                <w:color w:val="auto"/>
              </w:rPr>
            </w:pPr>
            <w:r>
              <w:rPr>
                <w:rFonts w:ascii="Arial" w:cs="Arial" w:eastAsia="Arial" w:hAnsi="Arial"/>
                <w:sz w:val="16"/>
                <w:szCs w:val="16"/>
                <w:color w:val="auto"/>
              </w:rPr>
              <w:t>vesting of deferred shares</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deferred shares (353,118</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40"/>
              <w:spacing w:after="0"/>
              <w:rPr>
                <w:sz w:val="20"/>
                <w:szCs w:val="20"/>
                <w:color w:val="auto"/>
              </w:rPr>
            </w:pPr>
            <w:r>
              <w:rPr>
                <w:rFonts w:ascii="Arial" w:cs="Arial" w:eastAsia="Arial" w:hAnsi="Arial"/>
                <w:sz w:val="16"/>
                <w:szCs w:val="16"/>
                <w:color w:val="auto"/>
                <w:w w:val="99"/>
              </w:rPr>
              <w:t>Treasury shares sold to Employee Stock</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40"/>
              <w:spacing w:after="0"/>
              <w:rPr>
                <w:sz w:val="20"/>
                <w:szCs w:val="20"/>
                <w:color w:val="auto"/>
              </w:rPr>
            </w:pPr>
            <w:r>
              <w:rPr>
                <w:rFonts w:ascii="Arial" w:cs="Arial" w:eastAsia="Arial" w:hAnsi="Arial"/>
                <w:sz w:val="16"/>
                <w:szCs w:val="16"/>
                <w:color w:val="auto"/>
              </w:rPr>
              <w:t>Purchase Plan (3,179 shares)</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Other treasury share purchases (102,376</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2,830</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March 31, 2013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117,676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134,060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230,009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0820"/>
          </w:cols>
          <w:pgMar w:left="240" w:top="958" w:right="8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However, the information furnished reflects all adjustments, consisting of normal recurring adjustments and other adjustments described herein,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2013, included in the Company’s Annual Report on Form 10-K for the year then ended.</w:t>
      </w:r>
    </w:p>
    <w:p>
      <w:pPr>
        <w:spacing w:after="0" w:line="1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business is cyclical due to the scope and timing of projects released by our customers. Therefore, results from year to year can vary. Turnarounds and planned outages at customer facilities are typically scheduled in the spring and the fall when the demand is lower.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As a result, quarterly operating results can exhibit seasonal fluctuations, especially in our Oil Gas &amp; Chemical segment. Accordingly, results for any interim period may not necessarily be indicative of future operating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Kvaerner North American Construction</w:t>
      </w:r>
    </w:p>
    <w:p>
      <w:pPr>
        <w:spacing w:after="0" w:line="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Effective as of December 21, 2013, the Company acquired 100% of the stock and voting rights of Kvaerner North American Construction Ltd. and substantially all of the assets of Kvaerner North American Construction Inc,. together referenced as "KNAC". The businesses are now known as Matrix North American Construction Ltd. and Matrix North American Construction, Inc., together referenced as "Matrix NAC". Matrix NAC is a premier provider of maintenance and capital construction services to power generation, integrated iron and steel, and industrial process facilities. The acquisition significantly expands the Company's presence in the Electrical Infrastructure and Industrial Segments, and to a lesser extent, the Oil Gas and Chemical segment.</w:t>
      </w:r>
    </w:p>
    <w:p>
      <w:pPr>
        <w:spacing w:after="0" w:line="10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purchased KNAC for $88.1 million. The acquisition was funded through a combination of cash-on-hand and borrowings under our senior revolving credit facility. The purchase price was allocated to the major categories of assets and liabilities based on their estimated fair value at the acquisition date. The following table summarizes the preliminary purchase price allocation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5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84,404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4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4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66,790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 of consolidated joint venture</w:t>
            </w:r>
          </w:p>
        </w:tc>
        <w:tc>
          <w:tcPr>
            <w:tcW w:w="4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4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88,053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acquired</w:t>
            </w:r>
          </w:p>
        </w:tc>
        <w:tc>
          <w:tcPr>
            <w:tcW w:w="4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36,655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5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51,398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jc w:val="right"/>
              <w:ind w:right="3430"/>
              <w:spacing w:after="0"/>
              <w:rPr>
                <w:sz w:val="20"/>
                <w:szCs w:val="20"/>
                <w:color w:val="auto"/>
              </w:rPr>
            </w:pPr>
            <w:r>
              <w:rPr>
                <w:rFonts w:ascii="Arial" w:cs="Arial" w:eastAsia="Arial" w:hAnsi="Arial"/>
                <w:sz w:val="18"/>
                <w:szCs w:val="18"/>
                <w:color w:val="auto"/>
              </w:rPr>
              <w:t>- 8-</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0" w:name="page11"/>
    <w:bookmarkEnd w:id="10"/>
    <w:p>
      <w:pPr>
        <w:ind w:right="60"/>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the underlying net tangible and intangible assets. This acquisition generated $36.2 million of goodwill, of which $28.5 million is tax deductible.</w:t>
      </w:r>
    </w:p>
    <w:p>
      <w:pPr>
        <w:spacing w:after="0" w:line="19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equity in consolidated joint venture represents the acquired equity in KVPB Power Partners. KV Power Partners was subsequently renamed to MXPB Power Partners (the "Joint Venture"). The Joint Venture was formed by Kvaerner North American Construction Inc. and an engineering firm to engineer and construct a combined cycle power plant in Dover, Delaware. The Company now holds a 65% voting and economic interest in the Joint Venture. The total acquired equity of the Joint Venture was $2.0 million of which the Company's portion is approximately $1.3 million and the other party owns a non-controlling interest of $0.7 million. At March 31, 2014, the noncontrolling interest holder's share of the equity of the Joint Venture totaled $1.1 million.</w:t>
      </w:r>
    </w:p>
    <w:p>
      <w:pPr>
        <w:spacing w:after="0" w:line="10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the nine months ended March 31, 2014 Matrix NAC revenues of $69.4 million and operating income of $0.4 million are included in the Company's results. For the three months ended March 31, 2014 Martrix NAC revenues of $64.0 million and operating income of $0.4 million are included in the Company's results. In addition, the Company incurred approximately $2.0 million of expenses related to the acquisition in the second quarter of fiscal 2014; therefore, such expenses are included in our results as selling, general and administrative costs for the nine months ended March 31, 2014.</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Matrix Service Company and Matrix NAC for the three and nine months ended March 31, 2014 and March 31, 2013, on a pro forma basis, as though the companies had been combined as of July 1, 2012. The pro forma earnings for the three months ended March 31, 2013 were adjusted to include amortization expense of $1.0 million and depreciation expense of $0.6 million. The pro forma earnings for the nine months ended March 31, 2014 and 2013 were adjusted to include incremental intangible amortization expense of $2.1 million and $3.1 million, respectively and depreciation expenses of $1.2 million and $1.7 million, respectively. Additionally, $0.6 million of income from a one-time KNAC tax settlement and $2.0 million of acquisition-related expenses were removed from the nine month period ending March 31, 2014. The $2.0 million of acquisition-related expenses were included in the nine month period ending March 31, 2013 as if the acquisition occurred at July 1,</w:t>
      </w:r>
    </w:p>
    <w:p>
      <w:pPr>
        <w:spacing w:after="0" w:line="3"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2012. The pro forma financial information is presented for informational purposes only and is not indicative of the results of operations that would have been achieved if the acquisition had taken place at July 1, 2012 nor should it be taken as indicative of our future consolidated results of operations.</w:t>
      </w:r>
    </w:p>
    <w:p>
      <w:pPr>
        <w:spacing w:after="0" w:line="329"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0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080" w:type="dxa"/>
            <w:vAlign w:val="bottom"/>
          </w:tcPr>
          <w:p>
            <w:pPr>
              <w:spacing w:after="0"/>
              <w:rPr>
                <w:sz w:val="13"/>
                <w:szCs w:val="13"/>
                <w:color w:val="auto"/>
              </w:rPr>
            </w:pPr>
          </w:p>
        </w:tc>
        <w:tc>
          <w:tcPr>
            <w:tcW w:w="100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9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860" w:type="dxa"/>
            <w:vAlign w:val="bottom"/>
          </w:tcPr>
          <w:p>
            <w:pPr>
              <w:jc w:val="right"/>
              <w:ind w:right="138"/>
              <w:spacing w:after="0" w:line="153" w:lineRule="exact"/>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3"/>
                <w:szCs w:val="13"/>
                <w:color w:val="auto"/>
              </w:rPr>
            </w:pPr>
          </w:p>
        </w:tc>
        <w:tc>
          <w:tcPr>
            <w:tcW w:w="84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w w:val="95"/>
              </w:rPr>
              <w:t>March 31,</w:t>
            </w:r>
          </w:p>
        </w:tc>
      </w:tr>
      <w:tr>
        <w:trPr>
          <w:trHeight w:val="192"/>
        </w:trPr>
        <w:tc>
          <w:tcPr>
            <w:tcW w:w="50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2013</w:t>
            </w:r>
          </w:p>
        </w:tc>
      </w:tr>
      <w:tr>
        <w:trPr>
          <w:trHeight w:val="250"/>
        </w:trPr>
        <w:tc>
          <w:tcPr>
            <w:tcW w:w="508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8"/>
            <w:shd w:val="clear" w:color="auto" w:fill="CCEEFF"/>
          </w:tcPr>
          <w:p>
            <w:pPr>
              <w:jc w:val="right"/>
              <w:ind w:right="656"/>
              <w:spacing w:after="0"/>
              <w:rPr>
                <w:sz w:val="20"/>
                <w:szCs w:val="20"/>
                <w:color w:val="auto"/>
              </w:rPr>
            </w:pPr>
            <w:r>
              <w:rPr>
                <w:rFonts w:ascii="Arial" w:cs="Arial" w:eastAsia="Arial" w:hAnsi="Arial"/>
                <w:sz w:val="18"/>
                <w:szCs w:val="18"/>
                <w:color w:val="auto"/>
              </w:rPr>
              <w:t>(In thousands, except per share data)</w:t>
            </w:r>
          </w:p>
        </w:tc>
      </w:tr>
      <w:tr>
        <w:trPr>
          <w:trHeight w:val="270"/>
        </w:trPr>
        <w:tc>
          <w:tcPr>
            <w:tcW w:w="50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000" w:type="dxa"/>
            <w:vAlign w:val="bottom"/>
          </w:tcPr>
          <w:p>
            <w:pPr>
              <w:ind w:left="500"/>
              <w:spacing w:after="0" w:line="270" w:lineRule="exact"/>
              <w:rPr>
                <w:sz w:val="20"/>
                <w:szCs w:val="20"/>
                <w:color w:val="auto"/>
              </w:rPr>
            </w:pPr>
            <w:r>
              <w:rPr>
                <w:rFonts w:ascii="Arial" w:cs="Arial" w:eastAsia="Arial" w:hAnsi="Arial"/>
                <w:sz w:val="18"/>
                <w:szCs w:val="18"/>
                <w:color w:val="auto"/>
                <w:w w:val="95"/>
              </w:rPr>
              <w:t xml:space="preserve">n/a </w:t>
            </w:r>
            <w:r>
              <w:rPr>
                <w:rFonts w:ascii="Arial" w:cs="Arial" w:eastAsia="Arial" w:hAnsi="Arial"/>
                <w:sz w:val="25"/>
                <w:szCs w:val="25"/>
                <w:color w:val="auto"/>
                <w:w w:val="95"/>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268,711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w w:val="92"/>
              </w:rPr>
              <w:t>1,053,348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807,288</w:t>
            </w:r>
          </w:p>
        </w:tc>
      </w:tr>
      <w:tr>
        <w:trPr>
          <w:trHeight w:val="27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Matrix Service Company</w:t>
            </w:r>
          </w:p>
        </w:tc>
        <w:tc>
          <w:tcPr>
            <w:tcW w:w="1000" w:type="dxa"/>
            <w:vAlign w:val="bottom"/>
            <w:shd w:val="clear" w:color="auto" w:fill="CCEEFF"/>
          </w:tcPr>
          <w:p>
            <w:pPr>
              <w:ind w:left="500"/>
              <w:spacing w:after="0" w:line="269" w:lineRule="exact"/>
              <w:rPr>
                <w:sz w:val="20"/>
                <w:szCs w:val="20"/>
                <w:color w:val="auto"/>
              </w:rPr>
            </w:pPr>
            <w:r>
              <w:rPr>
                <w:rFonts w:ascii="Arial" w:cs="Arial" w:eastAsia="Arial" w:hAnsi="Arial"/>
                <w:sz w:val="31"/>
                <w:szCs w:val="31"/>
                <w:color w:val="auto"/>
                <w:vertAlign w:val="subscript"/>
              </w:rPr>
              <w:t>n/a</w:t>
            </w:r>
            <w:r>
              <w:rPr>
                <w:rFonts w:ascii="Arial" w:cs="Arial" w:eastAsia="Arial" w:hAnsi="Arial"/>
                <w:sz w:val="12"/>
                <w:szCs w:val="12"/>
                <w:color w:val="auto"/>
              </w:rPr>
              <w:t xml:space="preserve">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31,230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17,192</w:t>
            </w:r>
          </w:p>
        </w:tc>
      </w:tr>
      <w:tr>
        <w:trPr>
          <w:trHeight w:val="270"/>
        </w:trPr>
        <w:tc>
          <w:tcPr>
            <w:tcW w:w="508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1000" w:type="dxa"/>
            <w:vAlign w:val="bottom"/>
          </w:tcPr>
          <w:p>
            <w:pPr>
              <w:ind w:left="500"/>
              <w:spacing w:after="0" w:line="270" w:lineRule="exact"/>
              <w:rPr>
                <w:sz w:val="20"/>
                <w:szCs w:val="20"/>
                <w:color w:val="auto"/>
              </w:rPr>
            </w:pPr>
            <w:r>
              <w:rPr>
                <w:rFonts w:ascii="Arial" w:cs="Arial" w:eastAsia="Arial" w:hAnsi="Arial"/>
                <w:sz w:val="18"/>
                <w:szCs w:val="18"/>
                <w:color w:val="auto"/>
                <w:w w:val="95"/>
              </w:rPr>
              <w:t xml:space="preserve">n/a </w:t>
            </w:r>
            <w:r>
              <w:rPr>
                <w:rFonts w:ascii="Arial" w:cs="Arial" w:eastAsia="Arial" w:hAnsi="Arial"/>
                <w:sz w:val="25"/>
                <w:szCs w:val="25"/>
                <w:color w:val="auto"/>
                <w:w w:val="95"/>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1.19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7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0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w w:val="95"/>
              </w:rPr>
              <w:t xml:space="preserve">n/a </w:t>
            </w:r>
            <w:r>
              <w:rPr>
                <w:rFonts w:ascii="Arial" w:cs="Arial" w:eastAsia="Arial" w:hAnsi="Arial"/>
                <w:sz w:val="25"/>
                <w:szCs w:val="25"/>
                <w:color w:val="auto"/>
                <w:w w:val="95"/>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bl>
    <w:p>
      <w:pPr>
        <w:spacing w:after="0" w:line="20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These amounts are presented in the unaudited Condensed Consolidated Statement of Income for the quarter ended March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Pelichem Industrial Cleaning Services, LLC</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December 31, 2012, the Company acquired substantially all of the assets of Pelichem Industrial Cleaning Services, LLC (“Pelichem”). Pelichem is an industrial cleaning company based in Reserve, Louisiana that performs hydroblasting, vacuum services, chemical cleaning and industrial services. Pelichem's operating results are included in the Oil Gas &amp; Chemical Segment.</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previously issued March 31, 2013 financial statements contained certain provisional amounts that were recorded on the preliminary information that was available at the time they were issued. The provisional amounts have been retroactively adjusted in the March 31, 2013 financial statements contained in this Quarterly Report on Form 10-Q. As a result, certain reclassification adjustments to the nine months ended March 31, 2013 Condensed Consolidated Statement of Cash Flows were recorded.</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360"/>
          </w:cols>
          <w:pgMar w:left="240" w:top="665" w:right="29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The purchase price was allocated to the major categories of assets and liabilities based on their estimated fair value at the acquisition date. The following table summarizes the final purchase price allocation: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4,299</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deductible goodwill</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1,853</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9,394</w:t>
            </w:r>
          </w:p>
        </w:tc>
      </w:tr>
      <w:tr>
        <w:trPr>
          <w:trHeight w:val="20"/>
        </w:trPr>
        <w:tc>
          <w:tcPr>
            <w:tcW w:w="9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operating data related to this acquisition was not material. The acquisition was funded with cash on hand.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9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26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7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1,347,946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802,588</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Billings on uncompleted contracts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1,350,282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791,663</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10,925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Shown on balance sheet as: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98,278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73,773</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100,614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62,848</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10,925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Progress billings in accounts receivable at March 31, 2014 and June 30, 2013 included retentions to be collected within one year of $27.4 million and $19.9 million, respectively. Contract retentions collectible beyond one year totaled $4.9 million at March 31, 2014 and $3.1 million at June 30, 2013.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SME Receivables</w:t>
      </w:r>
    </w:p>
    <w:p>
      <w:pPr>
        <w:spacing w:after="0" w:line="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continues to pursue collection of a certain receivable acquired in connection with the purchase of S.M. Electric Company, Inc. in February 2009. The recorded values at March 31, 2014 include $0.7 million in claim receivables, which represents the Company’s best estimate of the amount to be collected under a claim, and an additional $2.9 million for amounts due under the related contract. Recovering the remaining receivables will require mediation or litigation and the ultimate amount realized may be significantly different than the recorded amounts, which could result in a material adjustment to future earnings.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the nine months ended March 31, 2014, our results of operations were materially impacted by a charge resulting from a change in estimate on an aboveground storage tank project. The charge resulted in a $5.4 million decrease in operating income for the nine months ended March 31, 2014. The project is a loss project; therefore, the entire projected loss has been recorded. The charge reflects management's best estimate of the total contract revenues to be recognized and total costs at completion. In the nine months ended March 31, 2013, we recognized a project charge on a separate aboveground storage tank project due to a change in estimate that resulted in a $3.1 million decrease in operating income.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420"/>
          </w:cols>
          <w:pgMar w:left="240" w:top="746"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2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Unallocated</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5"/>
          </w:tcPr>
          <w:p>
            <w:pPr>
              <w:ind w:left="68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10,985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55,836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Cumulative impairment loss (A)</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2013</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30,836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Acquisition of Matrix NAC (B)</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36,176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36,176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 (C)</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Net balance at March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5,088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9,940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35,876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66,589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$25.0 million impairment charge was recorded in February 2005 as a result of the Company’s operating performance in fiscal 2005.</w:t>
      </w:r>
    </w:p>
    <w:p>
      <w:pPr>
        <w:spacing w:after="0" w:line="23" w:lineRule="exact"/>
        <w:rPr>
          <w:rFonts w:ascii="Arial" w:cs="Arial" w:eastAsia="Arial" w:hAnsi="Arial"/>
          <w:sz w:val="18"/>
          <w:szCs w:val="18"/>
          <w:color w:val="auto"/>
        </w:rPr>
      </w:pPr>
    </w:p>
    <w:p>
      <w:pPr>
        <w:ind w:left="540" w:hanging="316"/>
        <w:spacing w:after="0" w:line="281"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unallocated portion of goodwill relates to the acquisition of Matrix NAC. We are currently assessing the impact of the acquisition on our reporting units and expect to have the analysis complete in the fourth quarter of fiscal 2014. The acquisition is discussed further in Note 2 - Acquisitions.</w:t>
      </w:r>
    </w:p>
    <w:p>
      <w:pPr>
        <w:spacing w:after="0" w:line="1" w:lineRule="exact"/>
        <w:rPr>
          <w:rFonts w:ascii="Arial" w:cs="Arial" w:eastAsia="Arial" w:hAnsi="Arial"/>
          <w:sz w:val="16"/>
          <w:szCs w:val="16"/>
          <w:color w:val="auto"/>
        </w:rPr>
      </w:pPr>
    </w:p>
    <w:p>
      <w:pPr>
        <w:ind w:left="540" w:right="280" w:hanging="316"/>
        <w:spacing w:after="0" w:line="277"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translation adjustment relates to the periodic translation of Canadian Dollar denominated goodwill recorded as a part of prior Canadian acquisitions. The acquisition that created the goodwill attributable to the Storage Solutions segment occurred in a prior fiscal year. The purchase of Matrix NAC as discussed in Note 2 - Acquisitions, created the goodwill that has not been allocated to the operating segments.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At March 31, 2014</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24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(Years)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(In thousands)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6 to 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 to 15</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27,513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25,620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5</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intangibles</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28,255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540" w:type="dxa"/>
            <w:vAlign w:val="bottom"/>
            <w:gridSpan w:val="2"/>
          </w:tcPr>
          <w:p>
            <w:pPr>
              <w:ind w:left="260"/>
              <w:spacing w:after="0"/>
              <w:rPr>
                <w:sz w:val="20"/>
                <w:szCs w:val="20"/>
                <w:color w:val="auto"/>
              </w:rPr>
            </w:pPr>
            <w:r>
              <w:rPr>
                <w:rFonts w:ascii="Arial" w:cs="Arial" w:eastAsia="Arial" w:hAnsi="Arial"/>
                <w:sz w:val="18"/>
                <w:szCs w:val="18"/>
                <w:color w:val="auto"/>
              </w:rPr>
              <w:t>Indefinite</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32,941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29,705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40" w:type="dxa"/>
            <w:vAlign w:val="bottom"/>
            <w:vMerge w:val="restart"/>
          </w:tcPr>
          <w:p>
            <w:pPr>
              <w:jc w:val="right"/>
              <w:ind w:right="254"/>
              <w:spacing w:after="0"/>
              <w:rPr>
                <w:sz w:val="20"/>
                <w:szCs w:val="20"/>
                <w:color w:val="auto"/>
              </w:rPr>
            </w:pPr>
            <w:r>
              <w:rPr>
                <w:rFonts w:ascii="Arial" w:cs="Arial" w:eastAsia="Arial" w:hAnsi="Arial"/>
                <w:sz w:val="18"/>
                <w:szCs w:val="18"/>
                <w:color w:val="auto"/>
              </w:rPr>
              <w:t>- 11-</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At June 30, 2013</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24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(Years)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 thousands)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6 to 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 to 15</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5</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intangibles</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540" w:type="dxa"/>
            <w:vAlign w:val="bottom"/>
            <w:gridSpan w:val="2"/>
          </w:tcPr>
          <w:p>
            <w:pPr>
              <w:ind w:left="260"/>
              <w:spacing w:after="0"/>
              <w:rPr>
                <w:sz w:val="20"/>
                <w:szCs w:val="20"/>
                <w:color w:val="auto"/>
              </w:rPr>
            </w:pPr>
            <w:r>
              <w:rPr>
                <w:rFonts w:ascii="Arial" w:cs="Arial" w:eastAsia="Arial" w:hAnsi="Arial"/>
                <w:sz w:val="18"/>
                <w:szCs w:val="18"/>
                <w:color w:val="auto"/>
              </w:rPr>
              <w:t>Indefinite</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increase in other intangible assets at March 31, 2014 compared to June 30, 2013 is due to the acquisition of Matrix NAC. The Matrix NAC intangible assets consist of amortizing intangible assets including customer-based intangibles with a fair value of $23.5 million and useful life ranging from 1.5 to 15 years and a non-compete agreement with a fair value of $0.5 million and a useful life of 4 years. Please refer to Note 2 - Acquisitions for additional information.</w:t>
      </w:r>
    </w:p>
    <w:p>
      <w:pPr>
        <w:spacing w:after="0" w:line="13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Amortization expense totaled $1.7 million in the nine months ended March 31, 2014 and $0.4 million in the nine months ended March 31, 2013. Amortization expense is expected to be $2.7 million in fiscal year 2014, $4.3 million in fiscal year 2015, $3.3 million in fiscal year 2016, $2.7 million in fiscal 2017 and $2.6 million in fiscal year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March 13, 2014, the Company entered into the First Amendment to the Third Amended and Restated Credit Agreement (the "Amendment"), by and among the Company and certain of its Canadian subsidiaries party thereto, as Borrowers, JPMorgan Chase Bank, N.A., as Administrative Agent, and the other Lenders party to the Credit Agreement and the Amendment, which amends the Third Amended and Restated Credit Agreement dated as of November 7, 2011 (the "Credit Agreement"). The Amendment provides for a five-year, $200.0 million senior secured revolving credit facility that expires March 13, 2019. Advances may be used for working capital, acquisitions, capital expenditures, and other lawful corporate purposes.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Senior Leverage Ratio, as defined in the agreement, may not exceed 2.50 to 1.00, determined as of the end of each fiscal quarter.</w:t>
      </w:r>
    </w:p>
    <w:p>
      <w:pPr>
        <w:spacing w:after="0" w:line="194" w:lineRule="exact"/>
        <w:rPr>
          <w:rFonts w:ascii="Arial" w:cs="Arial" w:eastAsia="Arial" w:hAnsi="Arial"/>
          <w:sz w:val="16"/>
          <w:szCs w:val="16"/>
          <w:color w:val="auto"/>
        </w:rPr>
      </w:pPr>
    </w:p>
    <w:p>
      <w:pPr>
        <w:ind w:left="1300" w:right="140" w:hanging="48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determined as of the end of each fiscal quarter.</w:t>
      </w:r>
    </w:p>
    <w:p>
      <w:pPr>
        <w:spacing w:after="0" w:line="116" w:lineRule="exact"/>
        <w:rPr>
          <w:rFonts w:ascii="Arial" w:cs="Arial" w:eastAsia="Arial" w:hAnsi="Arial"/>
          <w:sz w:val="18"/>
          <w:szCs w:val="18"/>
          <w:color w:val="auto"/>
        </w:rPr>
      </w:pPr>
    </w:p>
    <w:p>
      <w:pPr>
        <w:ind w:left="1300" w:right="140" w:hanging="48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116" w:lineRule="exact"/>
        <w:rPr>
          <w:sz w:val="20"/>
          <w:szCs w:val="20"/>
          <w:color w:val="auto"/>
        </w:rPr>
      </w:pPr>
    </w:p>
    <w:p>
      <w:pPr>
        <w:ind w:left="60" w:right="38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0.20% and 0.35% based on the Senior Leverage Ratio.</w:t>
      </w:r>
    </w:p>
    <w:p>
      <w:pPr>
        <w:spacing w:after="0" w:line="17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Credit Agreement includes a Senior Leverage Ratio covenant which provides that Consolidated Funded Indebtedness, determined as of the end of any fiscal quarter, may not exceed 2.5 times Consolidated EBITDA, as defined in the Credit Agreement, over the previous four quarters. For the four quarters ended March 31, 2014, Consolidated EBITDA, as defined in the Credit Agreement, was $87.4 million. Accordingly, at March 31, 2014, there were no restrictions on our ability to access the full amount of the credit facility. Consolidated Funded Indebtedness at March 31, 2014 was $55.3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was as follows:</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1140" w:type="dxa"/>
            <w:vAlign w:val="bottom"/>
          </w:tcPr>
          <w:p>
            <w:pPr>
              <w:jc w:val="right"/>
              <w:ind w:right="476"/>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7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2013</w:t>
            </w:r>
          </w:p>
        </w:tc>
      </w:tr>
      <w:tr>
        <w:trPr>
          <w:trHeight w:val="196"/>
        </w:trPr>
        <w:tc>
          <w:tcPr>
            <w:tcW w:w="7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125,000</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Borrowings outstanding</w:t>
            </w:r>
          </w:p>
        </w:tc>
        <w:tc>
          <w:tcPr>
            <w:tcW w:w="2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45,103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16,950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13,372</w:t>
            </w:r>
          </w:p>
        </w:tc>
      </w:tr>
      <w:tr>
        <w:trPr>
          <w:trHeight w:val="257"/>
        </w:trPr>
        <w:tc>
          <w:tcPr>
            <w:tcW w:w="7200" w:type="dxa"/>
            <w:vAlign w:val="bottom"/>
          </w:tcPr>
          <w:p>
            <w:pPr>
              <w:ind w:left="20"/>
              <w:spacing w:after="0"/>
              <w:rPr>
                <w:sz w:val="20"/>
                <w:szCs w:val="20"/>
                <w:color w:val="auto"/>
              </w:rPr>
            </w:pPr>
            <w:r>
              <w:rPr>
                <w:rFonts w:ascii="Arial" w:cs="Arial" w:eastAsia="Arial" w:hAnsi="Arial"/>
                <w:sz w:val="18"/>
                <w:szCs w:val="18"/>
                <w:color w:val="auto"/>
              </w:rPr>
              <w:t>Availability under the senior credit facility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137,947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111,628</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Outstanding borrowings at March 31, 2014 included advances used to assist in the funding of a recent business acquisition, Canadian dollar advances to fund our Canadian operations including amounts to settle intercompany cross currency billings and other borrowings to finance our short-term working capital requirements . The acquisition is discussed further in Note 2 - Acquisitions.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94"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Company complies with ASC 740, “Income Taxes”. Deferred income taxes are computed using the liability method whereby deferred tax assets and liabilities are recognized based on temporary differences between the financial and tax basis of assets and liabilities using presently enacted tax rates. Valuation allowances are established against deferred tax assets to the extent management believes that it is not probable the assets will be recovered.</w:t>
      </w:r>
    </w:p>
    <w:p>
      <w:pPr>
        <w:spacing w:after="0" w:line="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340"/>
          </w:cols>
          <w:pgMar w:left="240" w:top="125" w:right="3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$11.0 million at March 31, 2014 and $9.1 million at June 30, 2013. Generally, collection of amounts related to unapproved change orders and claims is expected within twelve months. However, since customers may not pay these amounts until final resolution of related claims, collection of these amounts may extend beyond one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96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r>
      <w:tr>
        <w:trPr>
          <w:trHeight w:val="196"/>
        </w:trPr>
        <w:tc>
          <w:tcPr>
            <w:tcW w:w="6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5"/>
          </w:tcPr>
          <w:p>
            <w:pPr>
              <w:spacing w:after="0"/>
              <w:rPr>
                <w:sz w:val="20"/>
                <w:szCs w:val="20"/>
                <w:color w:val="auto"/>
              </w:rPr>
            </w:pPr>
            <w:r>
              <w:rPr>
                <w:rFonts w:ascii="Arial" w:cs="Arial" w:eastAsia="Arial" w:hAnsi="Arial"/>
                <w:sz w:val="14"/>
                <w:szCs w:val="14"/>
                <w:color w:val="auto"/>
              </w:rPr>
              <w:t>(In thousands, except per share data)</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30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11,396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6,521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28,254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16,641</w:t>
            </w:r>
          </w:p>
        </w:tc>
      </w:tr>
      <w:tr>
        <w:trPr>
          <w:trHeight w:val="251"/>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26,374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25,921</w:t>
            </w: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1"/>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EPS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0.64</w:t>
            </w: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8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26,374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26,039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26,244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25,921</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18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277</w:t>
            </w: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27,040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26,411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26,898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26,269</w:t>
            </w: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0.63</w:t>
            </w: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6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57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940" w:type="dxa"/>
            <w:vAlign w:val="bottom"/>
          </w:tcPr>
          <w:p>
            <w:pPr>
              <w:jc w:val="center"/>
              <w:ind w:left="208"/>
              <w:spacing w:after="0" w:line="153" w:lineRule="exact"/>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9"/>
              </w:rPr>
              <w:t>March 31,</w:t>
            </w:r>
          </w:p>
        </w:tc>
        <w:tc>
          <w:tcPr>
            <w:tcW w:w="13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9"/>
              </w:rPr>
              <w:t>March 31,</w:t>
            </w:r>
          </w:p>
        </w:tc>
        <w:tc>
          <w:tcPr>
            <w:tcW w:w="124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9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2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4"/>
          </w:tcPr>
          <w:p>
            <w:pPr>
              <w:ind w:left="900"/>
              <w:spacing w:after="0"/>
              <w:rPr>
                <w:sz w:val="20"/>
                <w:szCs w:val="20"/>
                <w:color w:val="auto"/>
              </w:rPr>
            </w:pPr>
            <w:r>
              <w:rPr>
                <w:rFonts w:ascii="Arial" w:cs="Arial" w:eastAsia="Arial" w:hAnsi="Arial"/>
                <w:sz w:val="14"/>
                <w:szCs w:val="14"/>
                <w:color w:val="auto"/>
              </w:rPr>
              <w:t>(In thousands)</w:t>
            </w: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Nonvested deferred shares</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jc w:val="right"/>
              <w:ind w:right="94"/>
              <w:spacing w:after="0"/>
              <w:rPr>
                <w:sz w:val="20"/>
                <w:szCs w:val="20"/>
                <w:color w:val="auto"/>
              </w:rPr>
            </w:pPr>
            <w:r>
              <w:rPr>
                <w:rFonts w:ascii="Arial" w:cs="Arial" w:eastAsia="Arial" w:hAnsi="Arial"/>
                <w:sz w:val="18"/>
                <w:szCs w:val="18"/>
                <w:color w:val="auto"/>
              </w:rPr>
              <w:t>- 14-</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gas fired power stations, and renewable energy installations.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industrial and natural gas, gas processing and compression, and upstream petroleum markets.</w:t>
      </w:r>
    </w:p>
    <w:p>
      <w:pPr>
        <w:spacing w:after="0" w:line="12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Storage Solutions segment includes new construction of crude and refined products aboveground storage tanks, as well as planned and emergency maintenance services.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Industrial segment includes work in the iron and steel and mining and minerals industries, bulk material handling and fertilizer production facilities, as well as work for clients in other industrial markets.</w:t>
      </w:r>
    </w:p>
    <w:p>
      <w:pPr>
        <w:spacing w:after="0" w:line="11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evaluates performance and allocates resources based on operating income. The accounting policies of the reportable segments are the same as those described in the summary of significant accounting policies. Intersegment sales and transfers are recorded at cost; therefore, no intercompany profit or loss is recognized.</w:t>
      </w:r>
    </w:p>
    <w:p>
      <w:pPr>
        <w:spacing w:after="0" w:line="12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4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0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62,144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41,709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132,201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125,102</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188,025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207,370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182,129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95,200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471,330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298,801</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128,398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27,849</w:t>
            </w:r>
          </w:p>
        </w:tc>
      </w:tr>
      <w:tr>
        <w:trPr>
          <w:trHeight w:val="29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381,962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226,388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919,954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659,122</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2,064</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inter-segment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2,108</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62,144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41,709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132,201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125,102</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73,594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207,326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181,801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94,826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470,532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296,737</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128,398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27,849</w:t>
            </w:r>
          </w:p>
        </w:tc>
      </w:tr>
      <w:tr>
        <w:trPr>
          <w:trHeight w:val="29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consolidated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381,516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225,970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918,731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657,014</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13,155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16,329</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19,269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8,828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51,894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26,545</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r>
      <w:tr>
        <w:trPr>
          <w:trHeight w:val="29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profit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39,944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23,126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99,570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67,703</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8,439</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26,676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7,446</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9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18,819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44,398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25,127</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assets (A)</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98,502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58,640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98,502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58,640</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84,499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220,155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155,739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220,155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155,739</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122,013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23,683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Unallocated assets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73,640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56,614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73,640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56,614</w:t>
            </w: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597,815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379,175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597,815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379,175</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540" w:right="80" w:hanging="316"/>
        <w:spacing w:after="0" w:line="315"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March 31, 2014 balances include the assets of Matrix NAC and are allocated to the Electrical Infrastructure, Oil Gas &amp; Chemical, and Industrial segments in the amounts of $34.8 million, $2.8 million and $78.9 million, respectively. Unallocated assets includes $35.9 million of Goodwill related to the acquisition. As previously noted, we are currently assessing the impact of the acquisition on our reporting units and expect to complete the Goodwill analysis in the fourth quarter of fiscal 2014.</w:t>
      </w:r>
    </w:p>
    <w:p>
      <w:pPr>
        <w:sectPr>
          <w:pgSz w:w="11900" w:h="16838" w:orient="portrait"/>
          <w:cols w:equalWidth="0" w:num="1">
            <w:col w:w="11420"/>
          </w:cols>
          <w:pgMar w:left="240" w:top="125"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ind w:right="3960"/>
        <w:spacing w:after="0" w:line="34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CRITICAL ACCOUNTING ESTIMATES</w:t>
      </w:r>
    </w:p>
    <w:p>
      <w:pPr>
        <w:spacing w:after="0" w:line="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2013 Annual Report on Form 10-K filed with the SEC. For more information on our critical accounting policies, see Part II, Item 7 of our fiscal 2013 Annual Report on Form 10-K. The following section provides certain information with respect to our critical accounting estimates as of the close of our most recent quarterly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has five significant reporting units with goodwill representing 39%, 19%, 13%, 10% and 10% of the total goodwill balance. Our most recent annual goodwill impairment test, performed in the fourth quarter of fiscal 2013, indicated that the fair value of these reporting units exceeded their respective carrying values by 64%, 224%, 144%, 149% and 123%. The remaining 9% of total goodwill is spread between two other reporting units. Based on the excess of estimated fair value over carrying value and the absence of any indicators of impairment at March 31, 2014, the Company does not currently anticipate recording a goodwill impairment charge for any of its operating units. The Company is currently assessing the impact of the KNAC acquisition on its reporting units and expects to complete the analysis in the fourth quarter of fiscal 2014.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Intangible assets that have finite useful lives are amortized by the straight-line method over their useful lives ranging from 1 to 15 years. Intangible assets that have indefinite useful lives are not amortized but are tested at least annually for impairment. Annually, we evaluate the remaining useful lives of intangible assets not being amortized to determine whether facts and circumstances continue to support an indefinite useful life and review both amortizing and non-amortizing intangible assets for impairment indicators. Based on these reviews, the Company has determined that the indefinite lives assigned to its indefinite lived intangible assets are appropriate and no impairment indicators exist at March 31, 2014.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9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$11.0 million at March 31, 2014 and $9.1 million at June 30, 2013. The amounts ultimately realized may be significantly different than the recorded amounts resulting in a material adjustment to future earnings.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SME Receivables</w:t>
      </w:r>
    </w:p>
    <w:p>
      <w:pPr>
        <w:spacing w:after="0" w:line="9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continues to pursue collection of certain receivables acquired in connection with the purchase of S.M. Electric Company, Inc. in February 2009. The recorded values at March 31, 2014 include $0.7 million in claim receivables, which represents the Company’s best estimate of the amount to be collected under a claim, and an additional $2.9 million for amounts due under the related contract. Recovering the remaining receivables will require mediation or litigation and the ultimate amount realized may be significantly different than the recorded amounts, which could result in an adjustment to future earnings.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Accounting Standards Update 2013-04, Liabilities (Topic 405): Obligations Resulting from Joint and Several Liability Arrangements for Which the Total Amount of the Obligation Is Fixed at the Reporting Date</w:t>
      </w:r>
    </w:p>
    <w:p>
      <w:pPr>
        <w:spacing w:after="0" w:line="3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February 2013, the FASB issued Accounting Standards Update No. 2013-04, "Liabilities (Topic 405): Obligations Resulting from Joint and Several Liability Arrangements for Which the Total Amount of the Obligation Is Fixed at the Reporting Date" (ASU 2013-04). ASU 2013-04 addresses the recognition, measurement and disclosure of obligations when multiple parties incur joint liabilities where the total amount of the obligation is fixed at the financial reporting date. This standard requires the recognition of the total amount of the liability that the parties are obligated to pay under an arrangement, along</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380"/>
          </w:cols>
          <w:pgMar w:left="240" w:top="580" w:right="279" w:bottom="1440" w:gutter="0" w:footer="0" w:header="0"/>
        </w:sectPr>
      </w:pPr>
    </w:p>
    <w:bookmarkStart w:id="19" w:name="page20"/>
    <w:bookmarkEnd w:id="19"/>
    <w:p>
      <w:pPr>
        <w:ind w:right="180"/>
        <w:spacing w:after="0" w:line="342" w:lineRule="auto"/>
        <w:rPr>
          <w:sz w:val="20"/>
          <w:szCs w:val="20"/>
          <w:color w:val="auto"/>
        </w:rPr>
      </w:pPr>
      <w:r>
        <w:rPr>
          <w:rFonts w:ascii="Arial" w:cs="Arial" w:eastAsia="Arial" w:hAnsi="Arial"/>
          <w:sz w:val="16"/>
          <w:szCs w:val="16"/>
          <w:color w:val="auto"/>
        </w:rPr>
        <w:t>with any additional amount the company might expect to pay on behalf of other parties to the liability. ASU 2013-04 is effective for periods beginning after December 15, 2013. We currently do not expect the adoption of this standard to have a material impact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the following four segments:</w:t>
      </w:r>
    </w:p>
    <w:p>
      <w:pPr>
        <w:spacing w:after="0" w:line="225" w:lineRule="exact"/>
        <w:rPr>
          <w:sz w:val="20"/>
          <w:szCs w:val="20"/>
          <w:color w:val="auto"/>
        </w:rPr>
      </w:pPr>
    </w:p>
    <w:p>
      <w:pPr>
        <w:ind w:left="980" w:right="14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coal fired power stations, and renewable energy installations.</w:t>
      </w:r>
    </w:p>
    <w:p>
      <w:pPr>
        <w:spacing w:after="0" w:line="186" w:lineRule="exact"/>
        <w:rPr>
          <w:rFonts w:ascii="Arial" w:cs="Arial" w:eastAsia="Arial" w:hAnsi="Arial"/>
          <w:sz w:val="18"/>
          <w:szCs w:val="18"/>
          <w:color w:val="auto"/>
        </w:rPr>
      </w:pPr>
    </w:p>
    <w:p>
      <w:pPr>
        <w:jc w:val="both"/>
        <w:ind w:left="980" w:right="80" w:hanging="324"/>
        <w:spacing w:after="0" w:line="31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Oil Gas &amp; Chemical segment includes our traditional turnaround activities, plant maintenance services and construction in the downstream petroleum industry. Another key offering is industrial cleaning services, which includes hydroblasting, hydroexcavating, chemical cleaning and vacuum services. We also perform work in the industrial and natural gas, gas processing and compression, and upstream petroleum markets.</w:t>
      </w:r>
    </w:p>
    <w:p>
      <w:pPr>
        <w:spacing w:after="0" w:line="146" w:lineRule="exact"/>
        <w:rPr>
          <w:rFonts w:ascii="Arial" w:cs="Arial" w:eastAsia="Arial" w:hAnsi="Arial"/>
          <w:sz w:val="16"/>
          <w:szCs w:val="16"/>
          <w:color w:val="auto"/>
        </w:rPr>
      </w:pPr>
    </w:p>
    <w:p>
      <w:pPr>
        <w:ind w:left="980" w:hanging="324"/>
        <w:spacing w:after="0" w:line="27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Storage Solutions segment includes new construction of crude and refined products aboveground storage tanks, as well as planned and emergency maintenance services.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171" w:lineRule="exact"/>
        <w:rPr>
          <w:rFonts w:ascii="Arial" w:cs="Arial" w:eastAsia="Arial" w:hAnsi="Arial"/>
          <w:sz w:val="17"/>
          <w:szCs w:val="17"/>
          <w:color w:val="auto"/>
        </w:rPr>
      </w:pPr>
    </w:p>
    <w:p>
      <w:pPr>
        <w:ind w:left="980" w:right="1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Industrial segment includes work in the iron and steel and mining and minerals industries, bulk material handling and fertilizer production facilities, as well as work for clients in other industrial markets.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March 31, 2014 Compared to the Three Months Ended March 31, 2013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Consolidated revenues were $381.5 million for the three months ended March 31, 2014, an increase of $155.5 million, or 68.8%, from consolidated revenues of $226.0 million in the same period in the prior fiscal year. As discussed in Note 2 - Acquisitions, the Company acquired Kvaerner North American Construction, which we refer to as Matrix NAC, in the second quarter of fiscal 2014. Accordingly, third quarter results include three full months, or $64.0 million, of Matrix NAC revenues. The remaining revenue increase of $91.5 million was attributable to our existing business. On a segment basis, consolidated revenues increased in the Storage Solutions, Industrial and Electrical Infrastructure segments by $87.0 million, $58.7 million and $20.4 million respectively, partially offset by a decrease in the Oil Gas &amp; Chemical segment of $10.6 million.</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Consolidated gross profit increased from $23.1 million in the three months ended March 31, 2013 to $39.9 million in the three months ended March 31, 2014. The increase of $16.8 million was due to both higher revenues and higher gross margins which increased to 10.5% in fiscal 2014 compared to 10.2% a year earlier.</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Consolidated SG&amp;A expenses were $21.1 million in the three months ended March 31, 2014 compared to $14.7 million in the same period a year earlier, an increase of $6.4 million, or 43.5%. The increase is attributable to the inclusion of a full quarter of Matrix NAC expenses along with higher incentive compensation costs and increased support costs related to higher business volumes. SG&amp;A expense as a percentage of revenue decreased to 5.5% in the three months ended March 31, 2014 compared to 6.5% for the three months ended March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$0.3 million in the three months ended March 31, 2014 and $0.2 million in the same period a year earlier.</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effective tax rate was 36.4% for the three months ended March 31, 2014 and 21.2% for the three months ended March 31, 2013. The fiscal 2013 tax rate was positively impacted by the effect of retroactive tax legislation enacted in the third quarter of fiscal 2013 and a change in estimate related to a certain available tax credit.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400"/>
          </w:cols>
          <w:pgMar w:left="240" w:top="665" w:right="259" w:bottom="1440" w:gutter="0" w:footer="0" w:header="0"/>
        </w:sectPr>
      </w:pPr>
    </w:p>
    <w:bookmarkStart w:id="20" w:name="page21"/>
    <w:bookmarkEnd w:id="20"/>
    <w:p>
      <w:pPr>
        <w:ind w:right="200"/>
        <w:spacing w:after="0" w:line="277" w:lineRule="auto"/>
        <w:rPr>
          <w:sz w:val="20"/>
          <w:szCs w:val="20"/>
          <w:color w:val="auto"/>
        </w:rPr>
      </w:pPr>
      <w:r>
        <w:rPr>
          <w:rFonts w:ascii="Arial" w:cs="Arial" w:eastAsia="Arial" w:hAnsi="Arial"/>
          <w:sz w:val="18"/>
          <w:szCs w:val="18"/>
          <w:color w:val="auto"/>
        </w:rPr>
        <w:t>For the three months ended March 31, 2014, net income attributable to Matrix Service Company and the related fully diluted earnings per share were $11.4 million and $0.42 compared to $6.5 million and $0.25 in the same period a year earlier.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Revenues for the Electrical Infrastructure segment increased $20.4 million to $62.1 million in the three months ended March 31, 2014 compared to $41.7 million in the same period a year earlier. The increased revenue volume in fiscal 2014 was primarily due to the inclusion of a full quarter's activity related to Matrix NAC. Gross margins were 9.6% in the three months ended March 31, 2014 compared to 12.0% in the same period a year earlier. Fiscal 2014 margins were negatively affected by the mix of work leading to lower direct margins and lower recovery of overhead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Revenues for the Oil Gas &amp; Chemical segment decreased to $63.0 million in the three months ended March 31, 2014 compared to $73.6 million in the same period a year earlier. The decrease of $10.6 million, or 14.4%, was primarily due to lower levels of work across most of the business. Gross margins increased from 10.9% in fiscal 2013 to 11.7% in the three months ended March 31, 2014 primarily due to higher margins in both the turnaround and capital construction businesses partially offset by a lower absorption of construction overhead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Revenues for the Storage Solutions segment increased to $181.8 million in the three months ended March 31, 2014 compared to $94.8 million in the same period a year earlier. The increase of $87.0 million, or 91.8%, was primarily due to higher levels of work in our domestic and Canada aboveground storage tank business in addition to significant terminal balance of plant work. The fiscal 2014 gross margin increased to 10.6% compared to 9.3% in the same period in the prior year. The fiscal 2014 gross margin was negatively impacted by a project charge of $1.4 million. The fiscal 2013 gross margin was negatively impacted by a legal charge of $1.0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Revenues for the Industrial segment increased to $74.6 million in the three months ended March 31, 2014 compared to $15.8 million in the same period a year earlier. The increase of $58.8 million was primarily due to the inclusion of a full quarter's activity related to Matrix NAC, a higher level of mining work and ongoing work on a previously announced project for the engineering, procurement and construction of specialty tanks in a nitrogen fertilizer complex. Gross margins were 9.8% in the three months ended March 31, 2014 compared to 8.1% in the same period a year earlier. The improvement in gross margins is due to improved execution and higher recovery of construction overhead costs, partially offset by mix of work which led to lower direct margins.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March 31, 2014 Compared to the Nine Months Ended March 31,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Consolidated revenues were $918.7 million for the nine months ended March 31, 2014, an increase of $261.7 million, or 39.8%, from consolidated revenues of $657.0 million in the same period in the prior fiscal year. Organic revenues increased $192.3 million and MNAC revenues totaled $69.4 million in fiscal 2014. On a segment basis, consolidated revenues increased in the Storage Solutions, Industrial and Electrical Infrastructure segments by $173.8 million, $100.5 million and $7.1 million respectively, partially offset by a decrease in the Oil Gas &amp; Chemical segment of $19.7 million.</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Consolidated gross profit increased from $67.7 million in the nine months ended March 31, 2013 to $99.6 million in the nine months ended March 31, 2014. The increase of $31.9 million was due to both higher revenues and higher gross margins which increased to 10.8% in fiscal 2014 compared to 10.3% a year earlier.</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Consolidated SG&amp;A expenses were $55.2 million in the nine months ended March 31, 2014 compared to $42.6 million in the same period a year earlier. As discussed in Note 2 - Acquisitions, the Company acquired Matrix NAC in the second quarter of fiscal 2014. Therefore, SG&amp;A includes a full quarter of Matrix NAC operational expenses and $2.0 million of acquisition related fees. These expenses, along with higher incentive compensation costs, increased tax related professional fees and increased support costs related to higher business volumes caused SG&amp;A expense to increase by $12.6 million, or 29.6%.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00"/>
          </w:cols>
          <w:pgMar w:left="240" w:top="584" w:right="25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SG&amp;A expense as a percentage of revenue decreased to 6.0% in the nine months ended March 31, 2014 compared to 6.5% in the same period a year earlier.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$0.8 million in the nine months ended March 31, 2014 and $0.6 million in the same period a year earlier.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Other expense in the nine months ended March 31, 2014 was $0.1 million. Other income in the nine months ended March 31, 2013 was $0.1 million.</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effective tax rate was 34.0% for the nine months ended March 31, 2014 and 32.5% for the nine months ended March 31, 2013. We completed a fiscal 2013 R&amp;D study in the second quarter of fiscal 2014 resulting in a significantly higher credit than previously estimated, therefore, we recorded a discrete positive adjustment of approximately $1.0 million. In addition, we increased our estimate of the fiscal 2014 R&amp;D credit resulting in an additional benefit of approximately $0.7 million. The fiscal 2013 effective tax rate was positively impacted by the effect of retroactive tax legislation enacted in the third quarter of fiscal 2013 and a change in estimate related to a certain available tax credit.</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nine months ended March 31, 2014, net income attributable to Matrix Service Company and the related fully diluted earnings per share were $28.3 million and $1.05 compared to $16.6 million and $0.63 in the same period a year earlier.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Revenues for the Electrical Infrastructure segment increased $7.1 million to $132.2 million in the nine months ended March 31, 2014 compared to $125.1 million in the same period a year earlier. The increased revenue volume in fiscal 2014 was primarily due to the inclusion of post acquisition Matrix NAC activity partially offset by lower business volume in our existing business. The lower business volumes were due to lack of storm restoration services and lower high voltage work due to delays in customer spending. Gross margins were 10.0% in the nine months ended March 31, 2014 compared to 13.1% in the same period a year earlier. Fiscal 2014 margins were negatively affected by the mix of work leading to lower direct margins and higher unrecovered overhead costs. Fiscal 2013 margins were positively affected by storm restoration work.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Revenues for the Oil Gas &amp; Chemical segment decreased $19.7 million to $187.6 million in the nine months ended March 31, 2014 compared to $207.3 million in the same period a year earlier. The decrease of $19.7 million, or 9.5%, was primarily due to a lower level of capital construction projects partially offset by higher turnaround and industrial cleaning work. Gross margins were 11.5% in the nine months ended March 31, 2014 and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Revenues for the Storage Solutions segment increased to $470.5 million in the nine months ended March 31, 2014 compared to $296.7 million in the same period a year earlier. The increase of $173.8 million, or 58.6%, was primarily due to higher levels of work in our domestic and Canada aboveground storage tank business and significant terminal balance of plant work. The fiscal 2014 gross margin of 11.0% was reduced by a project charge of $5.4 million. Gross margins of 8.9% in fiscal 2013 were reduced due to a project charge of $3.1 million. The overall improvement in gross margins was due to strong project execution in fiscal 2014, particularly on certain key strategic projects.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Revenues for the Industrial segment increased to $128.4 million in the nine months ended March 31, 2014 compared to $27.8 million in the same period a year earlier. The increase of $100.5 million was primarily due to the inclusion of post acquisition Matrix NAC activity, a higher level of mining and material handling work and ongoing work on a previously announced project for the engineering, procurement and construction of specialty tanks in a nitrogen fertilizer complex. Gross margins were 10.1% in the nine months ended March 31, 2014 compared to 3.2% in the same period a year earlier. The improvement in gross margins is due to improved execution and a higher recovery of construction overhead costs, partially offset by mix of work with lower direct margins.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00"/>
          </w:cols>
          <w:pgMar w:left="240" w:top="58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Backlog</w:t>
      </w:r>
    </w:p>
    <w:p>
      <w:pPr>
        <w:spacing w:after="0" w:line="9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define backlog as the total dollar amount of revenues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For long-term maintenance contracts and other established customer arrangements, we include only the amounts that we expect to recognize into revenue over the next 12 months. For all other arrangements, we calculate backlog as the estimated contract amount less revenues recognized as of the reporting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March 31, 2014:</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212,495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142,363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353,480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174,292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882,630</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Net awards</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46,070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49,484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242,199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66,204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403,957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(74,577)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(381,516)</w:t>
            </w:r>
          </w:p>
        </w:tc>
        <w:tc>
          <w:tcPr>
            <w:tcW w:w="0" w:type="dxa"/>
            <w:vAlign w:val="bottom"/>
          </w:tcPr>
          <w:p>
            <w:pPr>
              <w:spacing w:after="0"/>
              <w:rPr>
                <w:sz w:val="1"/>
                <w:szCs w:val="1"/>
                <w:color w:val="auto"/>
              </w:rPr>
            </w:pPr>
          </w:p>
        </w:tc>
      </w:tr>
      <w:tr>
        <w:trPr>
          <w:trHeight w:val="257"/>
        </w:trPr>
        <w:tc>
          <w:tcPr>
            <w:tcW w:w="3740" w:type="dxa"/>
            <w:vAlign w:val="bottom"/>
          </w:tcPr>
          <w:p>
            <w:pPr>
              <w:ind w:left="20"/>
              <w:spacing w:after="0"/>
              <w:rPr>
                <w:sz w:val="20"/>
                <w:szCs w:val="20"/>
                <w:color w:val="auto"/>
              </w:rPr>
            </w:pPr>
            <w:r>
              <w:rPr>
                <w:rFonts w:ascii="Arial" w:cs="Arial" w:eastAsia="Arial" w:hAnsi="Arial"/>
                <w:sz w:val="18"/>
                <w:szCs w:val="18"/>
                <w:color w:val="auto"/>
              </w:rPr>
              <w:t>Backlog as of March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196,421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128,853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413,878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165,919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905,071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nine months ended March 31, 2014:</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June 30,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103,520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120,138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319,718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83,361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626,737</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Backlog acquired</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123,492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115,723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242,040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awards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101,610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564,692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95,233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955,025</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(470,532)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(128,398)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(918,731)</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March 31, 2014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196,421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128,853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413,878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165,919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905,071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necessarily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180" w:hanging="324"/>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5640" w:hanging="98"/>
        <w:spacing w:after="0"/>
        <w:tabs>
          <w:tab w:leader="none" w:pos="5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21-</w:t>
      </w:r>
    </w:p>
    <w:p>
      <w:pPr>
        <w:sectPr>
          <w:pgSz w:w="11900" w:h="16838" w:orient="portrait"/>
          <w:cols w:equalWidth="0" w:num="1">
            <w:col w:w="11380"/>
          </w:cols>
          <w:pgMar w:left="240" w:top="827" w:right="279" w:bottom="1440" w:gutter="0" w:footer="0" w:header="0"/>
        </w:sectPr>
      </w:pPr>
    </w:p>
    <w:bookmarkStart w:id="23" w:name="page24"/>
    <w:bookmarkEnd w:id="23"/>
    <w:p>
      <w:pPr>
        <w:ind w:left="980" w:right="4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4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r>
      <w:tr>
        <w:trPr>
          <w:trHeight w:val="196"/>
        </w:trPr>
        <w:tc>
          <w:tcPr>
            <w:tcW w:w="6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11,792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28,655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16,641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605</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14,755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7,999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5,394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12,945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9,211</w:t>
            </w: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24,266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11,894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57,253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34,456</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define liquidity as the ongoing ability to pay our liabilities as they become due, fund business operations and meet all monetary contractual obligations. Our primary sources of liquidity for the nine months ended March 31, 2014 were cash on hand at the beginning of the fiscal year, capacity under our senior revolving credit facility and cash generated from operations. Cash on hand at March 31, 2014 totaled $59.8 million and availability under the senior revolving credit facility totaled $137.9 million resulting in available liquidity of $197.7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225" w:lineRule="exact"/>
        <w:rPr>
          <w:sz w:val="20"/>
          <w:szCs w:val="20"/>
          <w:color w:val="auto"/>
        </w:rPr>
      </w:pPr>
    </w:p>
    <w:p>
      <w:pPr>
        <w:ind w:left="980" w:right="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1620" w:right="960" w:hanging="315"/>
        <w:spacing w:after="0" w:line="277"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280" w:hanging="315"/>
        <w:spacing w:after="0" w:line="277"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Contract disputes or collection issues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584" w:right="239" w:bottom="1440" w:gutter="0" w:footer="0" w:header="0"/>
        </w:sectPr>
      </w:pPr>
    </w:p>
    <w:bookmarkStart w:id="24" w:name="page25"/>
    <w:bookmarkEnd w:id="24"/>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Capacity constraints under our senior revolving credit facility and remaining in compliance with all covenants contained in the credit agreement</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acquisition discussed in Note 2 of the Notes to Condensed Consolidated Financial Statements included in Part 1, Item 1 of this Quarterly Report on Form 10-Q was funded with cash on hand and $15.0 million of borrowings under the senior credit facility. Although the acquisition did result in a reduction to our liquidity, the Company believes that the remaining availability under the expanded credit facility, as discussed under the caption Senior Revolving Credit Facility included in this Financial Condition and Liquidity section of the Form 10-Q, along with cash on hand and cash generated from operations will provide sufficient liquidity to achieve both our short and long-term business objectives.</w:t>
      </w:r>
    </w:p>
    <w:p>
      <w:pPr>
        <w:spacing w:after="0" w:line="13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have an effective shelf registration statement on file with the SEC under which we may issue, from time to time, up to $400 million of senior debt securities, subordinated debt securities, common stock, preferred stock and warrants. This shelf registration statement gives us additional flexibility, when capital market conditions are favorable, to grow our business, finance acquisitions or to optimize our balance sheet in order to improve or maintain our financial flexibility. We may also elect to issue term debt or access the accordion feature to increase our borrowing capacity under our revolving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Nine Months Ended March 31, 2014</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Cash flows provided by operating activities for the nine months ended March 31, 2014 totaled $20.2 million. The various components of cash flows from operating activities are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333" w:lineRule="exact"/>
        <w:rPr>
          <w:sz w:val="20"/>
          <w:szCs w:val="20"/>
          <w:color w:val="auto"/>
        </w:rPr>
      </w:pPr>
    </w:p>
    <w:tbl>
      <w:tblPr>
        <w:tblLayout w:type="fixed"/>
        <w:tblInd w:w="500" w:type="dxa"/>
        <w:tblCellMar>
          <w:top w:w="0" w:type="dxa"/>
          <w:left w:w="0" w:type="dxa"/>
          <w:bottom w:w="0" w:type="dxa"/>
          <w:right w:w="0" w:type="dxa"/>
        </w:tblCellMar>
      </w:tblPr>
      <w:tr>
        <w:trPr>
          <w:trHeight w:val="27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28,655</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16,730</w:t>
            </w:r>
          </w:p>
        </w:tc>
      </w:tr>
      <w:tr>
        <w:trPr>
          <w:trHeight w:val="27"/>
        </w:trPr>
        <w:tc>
          <w:tcPr>
            <w:tcW w:w="9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Cash effect of changes in operating assets and liabilities</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(20,879)</w:t>
            </w:r>
          </w:p>
        </w:tc>
      </w:tr>
      <w:tr>
        <w:trPr>
          <w:trHeight w:val="27"/>
        </w:trPr>
        <w:tc>
          <w:tcPr>
            <w:tcW w:w="9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57"/>
        </w:trPr>
        <w:tc>
          <w:tcPr>
            <w:tcW w:w="90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20,155</w:t>
            </w:r>
          </w:p>
        </w:tc>
      </w:tr>
      <w:tr>
        <w:trPr>
          <w:trHeight w:val="20"/>
        </w:trPr>
        <w:tc>
          <w:tcPr>
            <w:tcW w:w="9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cash effect of significant changes in operating assets and liabilities include the following:</w:t>
      </w:r>
    </w:p>
    <w:p>
      <w:pPr>
        <w:spacing w:after="0" w:line="225"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change in accounts receivable caused a decrease in cash of $59.0 million. The negative variance is primarily due to higher business volumes and the timing of project billings, particularly in the Storage Solutions and Industrial segments.</w:t>
      </w:r>
    </w:p>
    <w:p>
      <w:pPr>
        <w:spacing w:after="0" w:line="170" w:lineRule="exact"/>
        <w:rPr>
          <w:rFonts w:ascii="Arial" w:cs="Arial" w:eastAsia="Arial" w:hAnsi="Arial"/>
          <w:sz w:val="18"/>
          <w:szCs w:val="18"/>
          <w:color w:val="auto"/>
        </w:rPr>
      </w:pPr>
    </w:p>
    <w:p>
      <w:pPr>
        <w:ind w:left="980" w:right="8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change in the combined balance of costs and estimated earnings in excess of billings on uncompleted contracts and billings on uncompleted contracts in excess of costs and estimated earnings caused a decrease to cash of $15.6 million at March 31, 2014. The unfavorable variance is primarily attributable to higher business volumes and an increase in costs and estimated earnings in excess of billings due to significant cost plus and time and material projects that are billed in arrears.</w:t>
      </w:r>
    </w:p>
    <w:p>
      <w:pPr>
        <w:spacing w:after="0" w:line="186"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change in accounts payable resulted in a increase to cash of $38.7 million. The favorable variance is primarily due to higher business volumes and the timing of vendor payments.</w:t>
      </w:r>
    </w:p>
    <w:p>
      <w:pPr>
        <w:spacing w:after="0" w:line="170" w:lineRule="exact"/>
        <w:rPr>
          <w:rFonts w:ascii="Arial" w:cs="Arial" w:eastAsia="Arial" w:hAnsi="Arial"/>
          <w:sz w:val="18"/>
          <w:szCs w:val="18"/>
          <w:color w:val="auto"/>
        </w:rPr>
      </w:pPr>
    </w:p>
    <w:p>
      <w:pPr>
        <w:jc w:val="both"/>
        <w:ind w:left="980" w:right="16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change in accrued liabilities resulted in an increase to cash of $9.3 million. The favorable variance is primarily attributable to higher short and long-term incentive accruals due to increased earnings and increased payroll and payroll related benefit accruals due to increased business volumes.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Investing activities used $68.9 million of cash in the first nine months of fiscal 2014. This was primarily due to the purchase of Kvaerner North American Construction in the amount of $51.4 million, net of cash acquired. The acquisition is discussed in Note 2 of the Notes to Condensed Consolidated Financial Statements included in Part 1, Item 1 of this Quarterly Report on Form 10-Q. Capital expenditures used $17.8 million of cash and proceeds from asset dispositions generated cash of $0.3</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00"/>
          </w:cols>
          <w:pgMar w:left="240" w:top="584" w:right="259" w:bottom="1440" w:gutter="0" w:footer="0" w:header="0"/>
        </w:sectPr>
      </w:pPr>
    </w:p>
    <w:bookmarkStart w:id="25" w:name="page26"/>
    <w:bookmarkEnd w:id="25"/>
    <w:p>
      <w:pPr>
        <w:ind w:right="200"/>
        <w:spacing w:after="0" w:line="277" w:lineRule="auto"/>
        <w:rPr>
          <w:sz w:val="20"/>
          <w:szCs w:val="20"/>
          <w:color w:val="auto"/>
        </w:rPr>
      </w:pPr>
      <w:r>
        <w:rPr>
          <w:rFonts w:ascii="Arial" w:cs="Arial" w:eastAsia="Arial" w:hAnsi="Arial"/>
          <w:sz w:val="18"/>
          <w:szCs w:val="18"/>
          <w:color w:val="auto"/>
        </w:rPr>
        <w:t>million. Capital expenditures consisted of $11.1 million for the purchase of construction equipment, $4.2 million for transportation equipment, $1.9 million for office equipment and software and $0.6 million for land and buildings.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9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Financing activities provided $45.7 million of cash in the first nine months of fiscal 2014 primarily due to net cash borrowings of $45.1 million, excess tax benefit from the exercise of stock options and vesting of deferred shares of $1.6 million, and stock issuances of $1.1 million, partially offset by treasury share purchases of $1.7 million and the payment of debt amendment fees of $0.5 million. Cash borrowings included a $15.0 million borrowing used to assist in the funding of a recent business acquisition, Canadian dollar advances to fund our existing Canadian operations including amounts to settle intercompany cross currency billings and other borrowings to finance our short-term working capital requirements. The acquisition is discussed in Note 2 of the Notes to Condensed Consolidated Financial Statements included in Part 1, Item 1 of this Quarterly Report on Form 10-Q.</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Revolving Credit Facility</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13, 2014, in order to facilitate the growth of the Company and to provide additional financial flexibility, the Company entered into the First Amendment to the Third Amended and Restated Credit Agreement (the "Amendment"), by and among the Company and certain of its Canadian subsidiaries party thereto, as Borrowers, JPMorgan Chase Bank, N.A., as Administrative Agent, and the other Lenders party to the Credit Agreement and the Amendment, which amends the Third Amended and Restated Credit Agreement dated as of November 7, 2011 (the "Credit Agreement"). The Amendment provides for a five-year, $200.0 million senior secured revolving credit facility that expires March 13, 2019. Advances may be used for working capital, acquisitions, capital expenditures,and other lawful corporate purposes.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Senior Leverage Ratio, as defined in the agreement, may not exceed 2.50 to 1.00, determined as of the end of each fiscal quarter.</w:t>
      </w:r>
    </w:p>
    <w:p>
      <w:pPr>
        <w:spacing w:after="0" w:line="236" w:lineRule="exact"/>
        <w:rPr>
          <w:rFonts w:ascii="Arial" w:cs="Arial" w:eastAsia="Arial" w:hAnsi="Arial"/>
          <w:sz w:val="17"/>
          <w:szCs w:val="17"/>
          <w:color w:val="auto"/>
        </w:rPr>
      </w:pPr>
    </w:p>
    <w:p>
      <w:pPr>
        <w:ind w:left="980" w:right="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determined as of the end of each fiscal quarter.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0.20% and 0.35% based on the Senior Leverage Ratio.</w:t>
      </w:r>
    </w:p>
    <w:p>
      <w:pPr>
        <w:spacing w:after="0" w:line="17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noted previously, the Credit Agreement includes a Senior Leverage Ratio covenant which provides that Consolidated Funded Indebtedness may not exceed 2.5 times Consolidated EBITDA, as defined in the agreement, over the previous four quarters. For the four quarters ended March 31, 2014, Consolidated EBITDA was $87.4 million. Accordingly, at March 31, 2014, there were no restrictions on our ability to access the full amount of the credit facility. Consolidated Funded Indebtedness at March 31, 2014 was $55.3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00"/>
          </w:cols>
          <w:pgMar w:left="240" w:top="665"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Availability under the senior credit facility at March 31, 2014 and June 30, 2013 was as follows:</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1120" w:type="dxa"/>
            <w:vAlign w:val="bottom"/>
          </w:tcPr>
          <w:p>
            <w:pPr>
              <w:jc w:val="right"/>
              <w:ind w:right="456"/>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2013</w:t>
            </w:r>
          </w:p>
        </w:tc>
      </w:tr>
      <w:tr>
        <w:trPr>
          <w:trHeight w:val="196"/>
        </w:trPr>
        <w:tc>
          <w:tcPr>
            <w:tcW w:w="7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20" w:type="dxa"/>
            <w:vAlign w:val="bottom"/>
          </w:tcPr>
          <w:p>
            <w:pPr>
              <w:spacing w:after="0"/>
              <w:rPr>
                <w:sz w:val="17"/>
                <w:szCs w:val="17"/>
                <w:color w:val="auto"/>
              </w:rPr>
            </w:pPr>
          </w:p>
        </w:tc>
      </w:tr>
      <w:tr>
        <w:trPr>
          <w:trHeight w:val="25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125,000</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Borrowings outstanding</w:t>
            </w:r>
          </w:p>
        </w:tc>
        <w:tc>
          <w:tcPr>
            <w:tcW w:w="2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45,103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16,950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13,372</w:t>
            </w:r>
          </w:p>
        </w:tc>
      </w:tr>
      <w:tr>
        <w:trPr>
          <w:trHeight w:val="257"/>
        </w:trPr>
        <w:tc>
          <w:tcPr>
            <w:tcW w:w="7200" w:type="dxa"/>
            <w:vAlign w:val="bottom"/>
          </w:tcPr>
          <w:p>
            <w:pPr>
              <w:ind w:left="20"/>
              <w:spacing w:after="0"/>
              <w:rPr>
                <w:sz w:val="20"/>
                <w:szCs w:val="20"/>
                <w:color w:val="auto"/>
              </w:rPr>
            </w:pPr>
            <w:r>
              <w:rPr>
                <w:rFonts w:ascii="Arial" w:cs="Arial" w:eastAsia="Arial" w:hAnsi="Arial"/>
                <w:sz w:val="18"/>
                <w:szCs w:val="18"/>
                <w:color w:val="auto"/>
              </w:rPr>
              <w:t>Availability under the senior credit facility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137,947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111,628</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Outstanding borrowings at March 31, 2014 included advances used to assist in the funding of a recent business acquisition, Canadian dollar advances to fund our existing Canadian operations including amounts to settle intercompany cross currency billings and other borrowings to finance our short-term working capital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November 6, 2012, our Board of Directors approved an extension of a stock buyback program through calendar year 2014. The program allows the Company to purchase up to 2,113,497 shares provided that such purchases do not exceed $25.0 million in any calendar year if sufficient liquidity exists and we believe that it is in the best interest of the stockholders. The Company has not purchased any shares under this program since the Board of Directors approved the extension.</w:t>
      </w:r>
    </w:p>
    <w:p>
      <w:pPr>
        <w:spacing w:after="0" w:line="13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76,868 shares in the first nine months of fiscal 2014 to satisfy these obligations. These shares were returned to the Company’s pool of treasury shares.</w:t>
      </w:r>
    </w:p>
    <w:p>
      <w:pPr>
        <w:spacing w:after="0" w:line="12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Company has 1,476,765 treasury shares as of March 31, 2014 and intends to utilize these treasury shares solely in connection with equity awards under the Company’s stock incentive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generate sufficient cash from operations or to raise cash in order to meet our short and long-term capital requirements;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98"/>
        <w:spacing w:after="0"/>
        <w:tabs>
          <w:tab w:leader="none" w:pos="5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25-</w:t>
      </w:r>
    </w:p>
    <w:p>
      <w:pPr>
        <w:sectPr>
          <w:pgSz w:w="11900" w:h="16838" w:orient="portrait"/>
          <w:cols w:equalWidth="0" w:num="1">
            <w:col w:w="11360"/>
          </w:cols>
          <w:pgMar w:left="240" w:top="746" w:right="299" w:bottom="1440" w:gutter="0" w:footer="0" w:header="0"/>
        </w:sectPr>
      </w:pPr>
    </w:p>
    <w:bookmarkStart w:id="27" w:name="page28"/>
    <w:bookmarkEnd w:id="27"/>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2013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and mining and minerals industries in particular;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340"/>
          </w:cols>
          <w:pgMar w:left="240" w:top="584"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2013, filed with the Securities and Exchange Commission. For more information on market risk, see Part II, Item 7A in our fiscal 2013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March 31, 2014. Based on the foregoing, our Chief Executive Officer and Chief Financial Officer concluded that our disclosure controls and procedures were effective at the reasonable assurance level at March 31, 2014.</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completed the acquisition of Matrix NAC effective December 21, 2013. We are in the process of assessing and, to the extent necessary, making changes to the internal control over financial reporting of Matrix NAC to conform such internal control to that used on our other operations. However, we are not yet required to evaluate, and have not yet fully evaluated, changes in Matrix NAC's internal control over financial reporting. Subject to the foregoing, there have been no changes in our internal controls over financial reporting that have materially affected, or are reasonably likely to materially affect our internal controls over financial reporting during the quarter ended March 31, 2014.</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420"/>
          </w:cols>
          <w:pgMar w:left="240" w:top="823" w:right="23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There were no material changes in our Risk Factors from those reported in Item 1A of Part I of our Annual Report on Form 10-K for the fiscal year ended June 30, 2013, except for those previously described in Item 1A of Part II in our Quarterly Report on Form 10-Q for the quarter ended December 31,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third quarter of fiscal year 2014.</w:t>
      </w:r>
    </w:p>
    <w:p>
      <w:pPr>
        <w:spacing w:after="0" w:line="36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Price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Announced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Shares</w:t>
            </w:r>
          </w:p>
        </w:tc>
        <w:tc>
          <w:tcPr>
            <w:tcW w:w="1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Plans or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 Share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50"/>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1 to January 31, 2014</w:t>
            </w: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2,113,497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$26.24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February 1 to February 28, 2014</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2,113,497</w:t>
            </w: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Employee Transactions (B)</w:t>
            </w: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871</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$31.89</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1 to March 31, 2014</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2,113,497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right="60" w:hanging="316"/>
        <w:spacing w:after="0" w:line="261"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360"/>
          </w:cols>
          <w:pgMar w:left="240" w:top="580"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1940" w:right="240" w:hanging="1903"/>
        <w:spacing w:after="0" w:line="279" w:lineRule="auto"/>
        <w:tabs>
          <w:tab w:leader="none" w:pos="1920" w:val="left"/>
        </w:tabs>
        <w:rPr>
          <w:sz w:val="20"/>
          <w:szCs w:val="20"/>
          <w:color w:val="auto"/>
        </w:rPr>
      </w:pPr>
      <w:r>
        <w:rPr>
          <w:rFonts w:ascii="Arial" w:cs="Arial" w:eastAsia="Arial" w:hAnsi="Arial"/>
          <w:sz w:val="18"/>
          <w:szCs w:val="18"/>
          <w:color w:val="auto"/>
        </w:rPr>
        <w:t>Exhibit 10:</w:t>
      </w:r>
      <w:r>
        <w:rPr>
          <w:sz w:val="20"/>
          <w:szCs w:val="20"/>
          <w:color w:val="auto"/>
        </w:rPr>
        <w:tab/>
      </w:r>
      <w:r>
        <w:rPr>
          <w:rFonts w:ascii="Arial" w:cs="Arial" w:eastAsia="Arial" w:hAnsi="Arial"/>
          <w:sz w:val="17"/>
          <w:szCs w:val="17"/>
          <w:color w:val="auto"/>
        </w:rPr>
        <w:t>First Amendment, effective as of March 31, 2014, to the Third Amended and Restated Credit Agreement by and among Matrix Service Company and certain of its Canadian subsidiaries party thereto, as Borrowers, JPMorgan Chase Bank, N.A., as Administrative Agent, and the lenders party to the credit agreement and the amendment (Exhibit 10 to the Company's Current Report on Form 8-K (File No. 1-15461) filed on March 19, 2014 is hereby incorporated by reference).</w:t>
      </w:r>
    </w:p>
    <w:p>
      <w:pPr>
        <w:spacing w:after="0" w:line="131"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Pursuant to Section 302 of Sarbanes-Oxley Act of 2002 – CEO.</w:t>
      </w:r>
    </w:p>
    <w:p>
      <w:pPr>
        <w:spacing w:after="0" w:line="18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6"/>
          <w:szCs w:val="16"/>
          <w:color w:val="auto"/>
        </w:rPr>
        <w:t>Certification Pursuant to Section 302 of Sarbanes-Oxley Act of 2002 – CFO.</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32.1:</w:t>
            </w:r>
          </w:p>
        </w:tc>
        <w:tc>
          <w:tcPr>
            <w:tcW w:w="2320" w:type="dxa"/>
            <w:vAlign w:val="bottom"/>
          </w:tcPr>
          <w:p>
            <w:pPr>
              <w:ind w:left="300"/>
              <w:spacing w:after="0"/>
              <w:rPr>
                <w:sz w:val="20"/>
                <w:szCs w:val="20"/>
                <w:color w:val="auto"/>
              </w:rPr>
            </w:pPr>
            <w:r>
              <w:rPr>
                <w:rFonts w:ascii="Arial" w:cs="Arial" w:eastAsia="Arial" w:hAnsi="Arial"/>
                <w:sz w:val="18"/>
                <w:szCs w:val="18"/>
                <w:color w:val="auto"/>
                <w:w w:val="92"/>
              </w:rPr>
              <w:t>Certification Pursuant to 18</w:t>
            </w:r>
          </w:p>
        </w:tc>
        <w:tc>
          <w:tcPr>
            <w:tcW w:w="940" w:type="dxa"/>
            <w:vAlign w:val="bottom"/>
          </w:tcPr>
          <w:p>
            <w:pPr>
              <w:ind w:left="20"/>
              <w:spacing w:after="0"/>
              <w:rPr>
                <w:sz w:val="20"/>
                <w:szCs w:val="20"/>
                <w:color w:val="auto"/>
              </w:rPr>
            </w:pPr>
            <w:r>
              <w:rPr>
                <w:rFonts w:ascii="Arial" w:cs="Arial" w:eastAsia="Arial" w:hAnsi="Arial"/>
                <w:sz w:val="18"/>
                <w:szCs w:val="18"/>
                <w:color w:val="auto"/>
                <w:w w:val="91"/>
              </w:rPr>
              <w:t>U.S.C. 1350</w:t>
            </w:r>
          </w:p>
        </w:tc>
        <w:tc>
          <w:tcPr>
            <w:tcW w:w="3840" w:type="dxa"/>
            <w:vAlign w:val="bottom"/>
          </w:tcPr>
          <w:p>
            <w:pPr>
              <w:ind w:left="20"/>
              <w:spacing w:after="0"/>
              <w:rPr>
                <w:sz w:val="20"/>
                <w:szCs w:val="20"/>
                <w:color w:val="auto"/>
              </w:rPr>
            </w:pPr>
            <w:r>
              <w:rPr>
                <w:rFonts w:ascii="Arial" w:cs="Arial" w:eastAsia="Arial" w:hAnsi="Arial"/>
                <w:sz w:val="18"/>
                <w:szCs w:val="18"/>
                <w:color w:val="auto"/>
                <w:w w:val="90"/>
              </w:rPr>
              <w:t>(section 906 of Sarbanes-Oxley Act of 2002) – CEO.</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32.2:</w:t>
            </w:r>
          </w:p>
        </w:tc>
        <w:tc>
          <w:tcPr>
            <w:tcW w:w="2320" w:type="dxa"/>
            <w:vAlign w:val="bottom"/>
          </w:tcPr>
          <w:p>
            <w:pPr>
              <w:ind w:left="300"/>
              <w:spacing w:after="0"/>
              <w:rPr>
                <w:sz w:val="20"/>
                <w:szCs w:val="20"/>
                <w:color w:val="auto"/>
              </w:rPr>
            </w:pPr>
            <w:r>
              <w:rPr>
                <w:rFonts w:ascii="Arial" w:cs="Arial" w:eastAsia="Arial" w:hAnsi="Arial"/>
                <w:sz w:val="18"/>
                <w:szCs w:val="18"/>
                <w:color w:val="auto"/>
                <w:w w:val="92"/>
              </w:rPr>
              <w:t>Certification Pursuant to 18</w:t>
            </w:r>
          </w:p>
        </w:tc>
        <w:tc>
          <w:tcPr>
            <w:tcW w:w="940" w:type="dxa"/>
            <w:vAlign w:val="bottom"/>
          </w:tcPr>
          <w:p>
            <w:pPr>
              <w:ind w:left="20"/>
              <w:spacing w:after="0"/>
              <w:rPr>
                <w:sz w:val="20"/>
                <w:szCs w:val="20"/>
                <w:color w:val="auto"/>
              </w:rPr>
            </w:pPr>
            <w:r>
              <w:rPr>
                <w:rFonts w:ascii="Arial" w:cs="Arial" w:eastAsia="Arial" w:hAnsi="Arial"/>
                <w:sz w:val="18"/>
                <w:szCs w:val="18"/>
                <w:color w:val="auto"/>
                <w:w w:val="91"/>
              </w:rPr>
              <w:t>U.S.C. 1350</w:t>
            </w:r>
          </w:p>
        </w:tc>
        <w:tc>
          <w:tcPr>
            <w:tcW w:w="3840" w:type="dxa"/>
            <w:vAlign w:val="bottom"/>
          </w:tcPr>
          <w:p>
            <w:pPr>
              <w:ind w:left="20"/>
              <w:spacing w:after="0"/>
              <w:rPr>
                <w:sz w:val="20"/>
                <w:szCs w:val="20"/>
                <w:color w:val="auto"/>
              </w:rPr>
            </w:pPr>
            <w:r>
              <w:rPr>
                <w:rFonts w:ascii="Arial" w:cs="Arial" w:eastAsia="Arial" w:hAnsi="Arial"/>
                <w:sz w:val="18"/>
                <w:szCs w:val="18"/>
                <w:color w:val="auto"/>
                <w:w w:val="91"/>
              </w:rPr>
              <w:t>(section 906 of Sarbanes-Oxley Act of 2002) – CFO.</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95:</w:t>
            </w:r>
          </w:p>
        </w:tc>
        <w:tc>
          <w:tcPr>
            <w:tcW w:w="2320" w:type="dxa"/>
            <w:vAlign w:val="bottom"/>
          </w:tcPr>
          <w:p>
            <w:pPr>
              <w:ind w:left="300"/>
              <w:spacing w:after="0"/>
              <w:rPr>
                <w:sz w:val="20"/>
                <w:szCs w:val="20"/>
                <w:color w:val="auto"/>
              </w:rPr>
            </w:pPr>
            <w:r>
              <w:rPr>
                <w:rFonts w:ascii="Arial" w:cs="Arial" w:eastAsia="Arial" w:hAnsi="Arial"/>
                <w:sz w:val="18"/>
                <w:szCs w:val="18"/>
                <w:color w:val="auto"/>
              </w:rPr>
              <w:t>Mine Safety Disclosure.</w:t>
            </w:r>
          </w:p>
        </w:tc>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101.INS:</w:t>
            </w:r>
          </w:p>
        </w:tc>
        <w:tc>
          <w:tcPr>
            <w:tcW w:w="2320" w:type="dxa"/>
            <w:vAlign w:val="bottom"/>
          </w:tcPr>
          <w:p>
            <w:pPr>
              <w:ind w:left="300"/>
              <w:spacing w:after="0"/>
              <w:rPr>
                <w:sz w:val="20"/>
                <w:szCs w:val="20"/>
                <w:color w:val="auto"/>
              </w:rPr>
            </w:pPr>
            <w:r>
              <w:rPr>
                <w:rFonts w:ascii="Arial" w:cs="Arial" w:eastAsia="Arial" w:hAnsi="Arial"/>
                <w:sz w:val="18"/>
                <w:szCs w:val="18"/>
                <w:color w:val="auto"/>
                <w:w w:val="94"/>
              </w:rPr>
              <w:t>XBRL Instance Document.</w:t>
            </w:r>
          </w:p>
        </w:tc>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101.SCH:</w:t>
            </w: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98"/>
              </w:rPr>
              <w:t>XBRL Taxonomy Schema Document.</w:t>
            </w: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101.CAL:</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101.DEF:</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101.LAB:</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101.PRE:</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2014</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34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- 29-</w:t>
      </w:r>
    </w:p>
    <w:p>
      <w:pPr>
        <w:sectPr>
          <w:pgSz w:w="11900" w:h="16838" w:orient="portrait"/>
          <w:cols w:equalWidth="0" w:num="1">
            <w:col w:w="11340"/>
          </w:cols>
          <w:pgMar w:left="240" w:top="580"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720" w:type="dxa"/>
            <w:vAlign w:val="bottom"/>
          </w:tcPr>
          <w:p>
            <w:pPr>
              <w:spacing w:after="0"/>
              <w:rPr>
                <w:sz w:val="17"/>
                <w:szCs w:val="17"/>
                <w:color w:val="auto"/>
              </w:rPr>
            </w:pPr>
          </w:p>
        </w:tc>
      </w:tr>
      <w:tr>
        <w:trPr>
          <w:trHeight w:val="573"/>
        </w:trPr>
        <w:tc>
          <w:tcPr>
            <w:tcW w:w="1620" w:type="dxa"/>
            <w:vAlign w:val="bottom"/>
          </w:tcPr>
          <w:p>
            <w:pPr>
              <w:spacing w:after="0"/>
              <w:rPr>
                <w:sz w:val="20"/>
                <w:szCs w:val="20"/>
                <w:color w:val="auto"/>
              </w:rPr>
            </w:pPr>
            <w:r>
              <w:rPr>
                <w:rFonts w:ascii="Arial" w:cs="Arial" w:eastAsia="Arial" w:hAnsi="Arial"/>
                <w:sz w:val="18"/>
                <w:szCs w:val="18"/>
                <w:color w:val="auto"/>
              </w:rPr>
              <w:t>Exhibit 10:</w:t>
            </w:r>
          </w:p>
        </w:tc>
        <w:tc>
          <w:tcPr>
            <w:tcW w:w="9480" w:type="dxa"/>
            <w:vAlign w:val="bottom"/>
            <w:gridSpan w:val="3"/>
          </w:tcPr>
          <w:p>
            <w:pPr>
              <w:ind w:left="320"/>
              <w:spacing w:after="0"/>
              <w:rPr>
                <w:sz w:val="20"/>
                <w:szCs w:val="20"/>
                <w:color w:val="auto"/>
              </w:rPr>
            </w:pPr>
            <w:r>
              <w:rPr>
                <w:rFonts w:ascii="Arial" w:cs="Arial" w:eastAsia="Arial" w:hAnsi="Arial"/>
                <w:sz w:val="18"/>
                <w:szCs w:val="18"/>
                <w:color w:val="auto"/>
                <w:w w:val="91"/>
              </w:rPr>
              <w:t>First Amendment, effective as of March 31, 2014, to the Third Amended and Restated Credit Agreement by and among Matrix</w:t>
            </w:r>
          </w:p>
        </w:tc>
      </w:tr>
      <w:tr>
        <w:trPr>
          <w:trHeight w:val="216"/>
        </w:trPr>
        <w:tc>
          <w:tcPr>
            <w:tcW w:w="1620" w:type="dxa"/>
            <w:vAlign w:val="bottom"/>
          </w:tcPr>
          <w:p>
            <w:pPr>
              <w:spacing w:after="0"/>
              <w:rPr>
                <w:sz w:val="18"/>
                <w:szCs w:val="18"/>
                <w:color w:val="auto"/>
              </w:rPr>
            </w:pPr>
          </w:p>
        </w:tc>
        <w:tc>
          <w:tcPr>
            <w:tcW w:w="9480" w:type="dxa"/>
            <w:vAlign w:val="bottom"/>
            <w:gridSpan w:val="3"/>
          </w:tcPr>
          <w:p>
            <w:pPr>
              <w:ind w:left="320"/>
              <w:spacing w:after="0"/>
              <w:rPr>
                <w:sz w:val="20"/>
                <w:szCs w:val="20"/>
                <w:color w:val="auto"/>
              </w:rPr>
            </w:pPr>
            <w:r>
              <w:rPr>
                <w:rFonts w:ascii="Arial" w:cs="Arial" w:eastAsia="Arial" w:hAnsi="Arial"/>
                <w:sz w:val="18"/>
                <w:szCs w:val="18"/>
                <w:color w:val="auto"/>
                <w:w w:val="95"/>
              </w:rPr>
              <w:t>Service Company and certain of its Canadian subsidiaries party thereto, as Borrowers, JPMorgan Chase Bank, N.A., as</w:t>
            </w:r>
          </w:p>
        </w:tc>
      </w:tr>
      <w:tr>
        <w:trPr>
          <w:trHeight w:val="216"/>
        </w:trPr>
        <w:tc>
          <w:tcPr>
            <w:tcW w:w="1620" w:type="dxa"/>
            <w:vAlign w:val="bottom"/>
          </w:tcPr>
          <w:p>
            <w:pPr>
              <w:spacing w:after="0"/>
              <w:rPr>
                <w:sz w:val="18"/>
                <w:szCs w:val="18"/>
                <w:color w:val="auto"/>
              </w:rPr>
            </w:pPr>
          </w:p>
        </w:tc>
        <w:tc>
          <w:tcPr>
            <w:tcW w:w="9480" w:type="dxa"/>
            <w:vAlign w:val="bottom"/>
            <w:gridSpan w:val="3"/>
          </w:tcPr>
          <w:p>
            <w:pPr>
              <w:ind w:left="320"/>
              <w:spacing w:after="0"/>
              <w:rPr>
                <w:sz w:val="20"/>
                <w:szCs w:val="20"/>
                <w:color w:val="auto"/>
              </w:rPr>
            </w:pPr>
            <w:r>
              <w:rPr>
                <w:rFonts w:ascii="Arial" w:cs="Arial" w:eastAsia="Arial" w:hAnsi="Arial"/>
                <w:sz w:val="18"/>
                <w:szCs w:val="18"/>
                <w:color w:val="auto"/>
                <w:w w:val="91"/>
              </w:rPr>
              <w:t>Administrative Agent, and the lenders party to the credit agreement and the amendment (Exhibit 10 to the Company's Current</w:t>
            </w:r>
          </w:p>
        </w:tc>
      </w:tr>
      <w:tr>
        <w:trPr>
          <w:trHeight w:val="230"/>
        </w:trPr>
        <w:tc>
          <w:tcPr>
            <w:tcW w:w="1620" w:type="dxa"/>
            <w:vAlign w:val="bottom"/>
          </w:tcPr>
          <w:p>
            <w:pPr>
              <w:spacing w:after="0"/>
              <w:rPr>
                <w:sz w:val="20"/>
                <w:szCs w:val="20"/>
                <w:color w:val="auto"/>
              </w:rPr>
            </w:pPr>
          </w:p>
        </w:tc>
        <w:tc>
          <w:tcPr>
            <w:tcW w:w="9480" w:type="dxa"/>
            <w:vAlign w:val="bottom"/>
            <w:gridSpan w:val="3"/>
          </w:tcPr>
          <w:p>
            <w:pPr>
              <w:ind w:left="320"/>
              <w:spacing w:after="0"/>
              <w:rPr>
                <w:sz w:val="20"/>
                <w:szCs w:val="20"/>
                <w:color w:val="auto"/>
              </w:rPr>
            </w:pPr>
            <w:r>
              <w:rPr>
                <w:rFonts w:ascii="Arial" w:cs="Arial" w:eastAsia="Arial" w:hAnsi="Arial"/>
                <w:sz w:val="18"/>
                <w:szCs w:val="18"/>
                <w:color w:val="auto"/>
              </w:rPr>
              <w:t>Report on Form 8-K (File No. 1-15461) filed on March 19, 2014 is hereby incorporated by reference).</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31.1:</w:t>
            </w:r>
          </w:p>
        </w:tc>
        <w:tc>
          <w:tcPr>
            <w:tcW w:w="948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31.2:</w:t>
            </w:r>
          </w:p>
        </w:tc>
        <w:tc>
          <w:tcPr>
            <w:tcW w:w="948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32.1:</w:t>
            </w:r>
          </w:p>
        </w:tc>
        <w:tc>
          <w:tcPr>
            <w:tcW w:w="948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18 U.S.C. 1350 (section 906 of Sarbanes-Oxley Act of 2002) – CEO.</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32.2:</w:t>
            </w:r>
          </w:p>
        </w:tc>
        <w:tc>
          <w:tcPr>
            <w:tcW w:w="948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18 U.S.C. 1350 (section 906 of Sarbanes-Oxley Act of 2002) – CFO.</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95:</w:t>
            </w:r>
          </w:p>
        </w:tc>
        <w:tc>
          <w:tcPr>
            <w:tcW w:w="9480" w:type="dxa"/>
            <w:vAlign w:val="bottom"/>
            <w:gridSpan w:val="3"/>
          </w:tcPr>
          <w:p>
            <w:pPr>
              <w:ind w:left="320"/>
              <w:spacing w:after="0"/>
              <w:rPr>
                <w:sz w:val="20"/>
                <w:szCs w:val="20"/>
                <w:color w:val="auto"/>
              </w:rPr>
            </w:pPr>
            <w:r>
              <w:rPr>
                <w:rFonts w:ascii="Arial" w:cs="Arial" w:eastAsia="Arial" w:hAnsi="Arial"/>
                <w:sz w:val="18"/>
                <w:szCs w:val="18"/>
                <w:color w:val="auto"/>
              </w:rPr>
              <w:t>Mine Safety Disclosure.</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101.INS:</w:t>
            </w:r>
          </w:p>
        </w:tc>
        <w:tc>
          <w:tcPr>
            <w:tcW w:w="9480" w:type="dxa"/>
            <w:vAlign w:val="bottom"/>
            <w:gridSpan w:val="3"/>
          </w:tcPr>
          <w:p>
            <w:pPr>
              <w:ind w:left="320"/>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101.SCH:</w:t>
            </w:r>
          </w:p>
        </w:tc>
        <w:tc>
          <w:tcPr>
            <w:tcW w:w="9480" w:type="dxa"/>
            <w:vAlign w:val="bottom"/>
            <w:gridSpan w:val="3"/>
          </w:tcPr>
          <w:p>
            <w:pPr>
              <w:ind w:left="32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101.CAL:</w:t>
            </w:r>
          </w:p>
        </w:tc>
        <w:tc>
          <w:tcPr>
            <w:tcW w:w="948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101.DEF:</w:t>
            </w:r>
          </w:p>
        </w:tc>
        <w:tc>
          <w:tcPr>
            <w:tcW w:w="948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101.LAB:</w:t>
            </w:r>
          </w:p>
        </w:tc>
        <w:tc>
          <w:tcPr>
            <w:tcW w:w="948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101.PRE:</w:t>
            </w:r>
          </w:p>
        </w:tc>
        <w:tc>
          <w:tcPr>
            <w:tcW w:w="948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620" w:type="dxa"/>
            <w:vAlign w:val="bottom"/>
          </w:tcPr>
          <w:p>
            <w:pPr>
              <w:spacing w:after="0"/>
              <w:rPr>
                <w:sz w:val="24"/>
                <w:szCs w:val="24"/>
                <w:color w:val="auto"/>
              </w:rPr>
            </w:pPr>
          </w:p>
        </w:tc>
        <w:tc>
          <w:tcPr>
            <w:tcW w:w="4760" w:type="dxa"/>
            <w:vAlign w:val="bottom"/>
            <w:gridSpan w:val="2"/>
          </w:tcPr>
          <w:p>
            <w:pPr>
              <w:ind w:left="3880"/>
              <w:spacing w:after="0"/>
              <w:rPr>
                <w:sz w:val="20"/>
                <w:szCs w:val="20"/>
                <w:color w:val="auto"/>
              </w:rPr>
            </w:pPr>
            <w:r>
              <w:rPr>
                <w:rFonts w:ascii="Arial" w:cs="Arial" w:eastAsia="Arial" w:hAnsi="Arial"/>
                <w:sz w:val="18"/>
                <w:szCs w:val="18"/>
                <w:color w:val="auto"/>
              </w:rPr>
              <w:t>- 30-</w:t>
            </w:r>
          </w:p>
        </w:tc>
        <w:tc>
          <w:tcPr>
            <w:tcW w:w="4720" w:type="dxa"/>
            <w:vAlign w:val="bottom"/>
          </w:tcPr>
          <w:p>
            <w:pPr>
              <w:spacing w:after="0"/>
              <w:rPr>
                <w:sz w:val="24"/>
                <w:szCs w:val="24"/>
                <w:color w:val="auto"/>
              </w:rPr>
            </w:pPr>
          </w:p>
        </w:tc>
      </w:tr>
    </w:tbl>
    <w:p>
      <w:pPr>
        <w:sectPr>
          <w:pgSz w:w="11900" w:h="16838" w:orient="portrait"/>
          <w:cols w:equalWidth="0" w:num="1">
            <w:col w:w="11100"/>
          </w:cols>
          <w:pgMar w:left="280" w:top="567" w:right="5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May 9, 2014</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2014</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March 31, 2014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May 9, 2014</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March 31, 2014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2014</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36" w:name="page37"/>
    <w:bookmarkEnd w:id="36"/>
    <w:p>
      <w:pPr>
        <w:ind w:left="10620"/>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March 31, 2014:</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40" w:type="dxa"/>
            <w:vAlign w:val="bottom"/>
            <w:tcBorders>
              <w:top w:val="single" w:sz="8" w:color="auto"/>
              <w:left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Received</w:t>
            </w:r>
          </w:p>
        </w:tc>
        <w:tc>
          <w:tcPr>
            <w:tcW w:w="78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r>
      <w:tr>
        <w:trPr>
          <w:trHeight w:val="149"/>
        </w:trPr>
        <w:tc>
          <w:tcPr>
            <w:tcW w:w="114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r>
      <w:tr>
        <w:trPr>
          <w:trHeight w:val="149"/>
        </w:trPr>
        <w:tc>
          <w:tcPr>
            <w:tcW w:w="114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r>
      <w:tr>
        <w:trPr>
          <w:trHeight w:val="149"/>
        </w:trPr>
        <w:tc>
          <w:tcPr>
            <w:tcW w:w="11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Mine or</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Received Notice</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Legal</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r>
      <w:tr>
        <w:trPr>
          <w:trHeight w:val="149"/>
        </w:trPr>
        <w:tc>
          <w:tcPr>
            <w:tcW w:w="11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Operating</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of Pattern of</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Violations</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r>
      <w:tr>
        <w:trPr>
          <w:trHeight w:val="149"/>
        </w:trPr>
        <w:tc>
          <w:tcPr>
            <w:tcW w:w="11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Violations Under</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Pending as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1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Identification</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S&amp;S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Section 110(b)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Section 104(e)</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104(e)</w:t>
            </w:r>
            <w:r>
              <w:rPr>
                <w:rFonts w:ascii="Arial" w:cs="Arial" w:eastAsia="Arial" w:hAnsi="Arial"/>
                <w:sz w:val="8"/>
                <w:szCs w:val="8"/>
                <w:color w:val="auto"/>
                <w:w w:val="95"/>
              </w:rPr>
              <w:t>(7)</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r>
      <w:tr>
        <w:trPr>
          <w:trHeight w:val="188"/>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Number</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Citations</w:t>
            </w:r>
            <w:r>
              <w:rPr>
                <w:rFonts w:ascii="Arial" w:cs="Arial" w:eastAsia="Arial" w:hAnsi="Arial"/>
                <w:sz w:val="8"/>
                <w:szCs w:val="8"/>
                <w:color w:val="auto"/>
                <w:w w:val="96"/>
              </w:rPr>
              <w:t>(1)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(2) Violations</w:t>
            </w:r>
            <w:r>
              <w:rPr>
                <w:rFonts w:ascii="Arial" w:cs="Arial" w:eastAsia="Arial" w:hAnsi="Arial"/>
                <w:sz w:val="8"/>
                <w:szCs w:val="8"/>
                <w:color w:val="auto"/>
                <w:w w:val="98"/>
              </w:rPr>
              <w:t>(4)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93"/>
              </w:rPr>
              <w:t xml:space="preserve">(6) </w:t>
            </w:r>
            <w:r>
              <w:rPr>
                <w:rFonts w:ascii="Arial" w:cs="Arial" w:eastAsia="Arial" w:hAnsi="Arial"/>
                <w:sz w:val="14"/>
                <w:szCs w:val="14"/>
                <w:color w:val="auto"/>
                <w:w w:val="93"/>
              </w:rPr>
              <w:t>(yes/no)</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of Period</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r>
      <w:tr>
        <w:trPr>
          <w:trHeight w:val="156"/>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Freeport</w:t>
            </w: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McMoran</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Morenci Inc. 02-</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00024 5CP</w:t>
            </w:r>
          </w:p>
        </w:tc>
        <w:tc>
          <w:tcPr>
            <w:tcW w:w="880" w:type="dxa"/>
            <w:vAlign w:val="bottom"/>
          </w:tcPr>
          <w:p>
            <w:pPr>
              <w:jc w:val="center"/>
              <w:spacing w:after="0"/>
              <w:rPr>
                <w:sz w:val="20"/>
                <w:szCs w:val="20"/>
                <w:color w:val="auto"/>
              </w:rPr>
            </w:pPr>
            <w:r>
              <w:rPr>
                <w:rFonts w:ascii="Arial" w:cs="Arial" w:eastAsia="Arial" w:hAnsi="Arial"/>
                <w:sz w:val="14"/>
                <w:szCs w:val="14"/>
                <w:color w:val="auto"/>
              </w:rPr>
              <w:t>1</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No</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78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r>
    </w:tbl>
    <w:p>
      <w:pPr>
        <w:ind w:left="260" w:right="360" w:hanging="252"/>
        <w:spacing w:after="0" w:line="256" w:lineRule="auto"/>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20" w:hanging="212"/>
        <w:spacing w:after="0"/>
        <w:tabs>
          <w:tab w:leader="none" w:pos="2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39" w:lineRule="exact"/>
        <w:rPr>
          <w:rFonts w:ascii="Arial" w:cs="Arial" w:eastAsia="Arial" w:hAnsi="Arial"/>
          <w:sz w:val="13"/>
          <w:szCs w:val="13"/>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58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upperLetter"/>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upperLetter"/>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lvl w:ilvl="1">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lvl w:ilvl="1">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lvl w:ilvl="1">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upperLetter"/>
      <w:start w:val="1"/>
    </w:lvl>
  </w:abstractNum>
  <w:abstractNum w:abstractNumId="18">
    <w:nsid w:val="628C895D"/>
    <w:multiLevelType w:val="hybridMultilevel"/>
    <w:lvl w:ilvl="0">
      <w:lvlJc w:val="left"/>
      <w:lvlText w:val="%1."/>
      <w:numFmt w:val="decimal"/>
      <w:start w:val="1"/>
    </w:lvl>
    <w:lvl w:ilvl="1">
      <w:lvlJc w:val="left"/>
      <w:lvlText w:val="%2."/>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2019-12-06T03:58:51Z</dcterms:created>
  <dcterms:modified xsi:type="dcterms:W3CDTF">2019-12-06T03:58:51Z</dcterms:modified>
</cp:coreProperties>
</file>