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529590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5"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78" w:lineRule="exact"/>
        <w:rPr>
          <w:sz w:val="24"/>
          <w:szCs w:val="24"/>
          <w:color w:val="auto"/>
        </w:rPr>
      </w:pPr>
    </w:p>
    <w:p>
      <w:pPr>
        <w:ind w:left="4140"/>
        <w:spacing w:after="0"/>
        <w:rPr>
          <w:sz w:val="20"/>
          <w:szCs w:val="20"/>
          <w:color w:val="auto"/>
        </w:rPr>
      </w:pPr>
      <w:r>
        <w:rPr>
          <w:rFonts w:ascii="Arial" w:cs="Arial" w:eastAsia="Arial" w:hAnsi="Arial"/>
          <w:sz w:val="16"/>
          <w:szCs w:val="16"/>
          <w:b w:val="1"/>
          <w:bCs w:val="1"/>
          <w:color w:val="auto"/>
        </w:rPr>
        <w:t>_______________________________________</w:t>
      </w:r>
    </w:p>
    <w:p>
      <w:pPr>
        <w:spacing w:after="0" w:line="1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720" w:hanging="422"/>
        <w:spacing w:after="0"/>
        <w:tabs>
          <w:tab w:leader="none" w:pos="720" w:val="left"/>
        </w:tabs>
        <w:numPr>
          <w:ilvl w:val="0"/>
          <w:numId w:val="1"/>
        </w:numPr>
        <w:rPr>
          <w:rFonts w:ascii="Arial" w:cs="Arial" w:eastAsia="Arial" w:hAnsi="Arial"/>
          <w:sz w:val="19"/>
          <w:szCs w:val="19"/>
          <w:color w:val="auto"/>
        </w:rPr>
      </w:pPr>
      <w:r>
        <w:rPr>
          <w:rFonts w:ascii="Arial" w:cs="Arial" w:eastAsia="Arial" w:hAnsi="Arial"/>
          <w:sz w:val="19"/>
          <w:szCs w:val="19"/>
          <w:b w:val="1"/>
          <w:bCs w:val="1"/>
          <w:color w:val="auto"/>
        </w:rPr>
        <w:t>Quarterly Report Pursuant to Section 13 or 15(d) of the Securities Exchange Act of 1934</w:t>
      </w:r>
    </w:p>
    <w:p>
      <w:pPr>
        <w:spacing w:after="0" w:line="22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For the quarterly period ended December 31, 2016</w:t>
      </w:r>
    </w:p>
    <w:p>
      <w:pPr>
        <w:spacing w:after="0" w:line="22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hanging="449"/>
        <w:spacing w:after="0"/>
        <w:tabs>
          <w:tab w:leader="none" w:pos="720" w:val="left"/>
        </w:tabs>
        <w:numPr>
          <w:ilvl w:val="0"/>
          <w:numId w:val="2"/>
        </w:numPr>
        <w:rPr>
          <w:rFonts w:ascii="Arial" w:cs="Arial" w:eastAsia="Arial" w:hAnsi="Arial"/>
          <w:sz w:val="19"/>
          <w:szCs w:val="19"/>
          <w:color w:val="auto"/>
        </w:rPr>
      </w:pPr>
      <w:r>
        <w:rPr>
          <w:rFonts w:ascii="Arial" w:cs="Arial" w:eastAsia="Arial" w:hAnsi="Arial"/>
          <w:sz w:val="19"/>
          <w:szCs w:val="19"/>
          <w:b w:val="1"/>
          <w:bCs w:val="1"/>
          <w:color w:val="auto"/>
        </w:rPr>
        <w:t>Transition Report Pursuant to Section 13 or 15 (d) of the Securities Exchange Act of 1934</w:t>
      </w:r>
    </w:p>
    <w:p>
      <w:pPr>
        <w:spacing w:after="0" w:line="277"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3990975</wp:posOffset>
            </wp:positionH>
            <wp:positionV relativeFrom="paragraph">
              <wp:posOffset>-7620</wp:posOffset>
            </wp:positionV>
            <wp:extent cx="781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81050" cy="8890"/>
                    </a:xfrm>
                    <a:prstGeom prst="rect">
                      <a:avLst/>
                    </a:prstGeom>
                    <a:noFill/>
                  </pic:spPr>
                </pic:pic>
              </a:graphicData>
            </a:graphic>
          </wp:anchor>
        </w:drawing>
      </w:r>
    </w:p>
    <w:p>
      <w:pPr>
        <w:spacing w:after="0" w:line="205"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No. 1-15461</w:t>
      </w:r>
    </w:p>
    <w:p>
      <w:pPr>
        <w:spacing w:after="0" w:line="2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pacing w:after="0" w:line="52" w:lineRule="exact"/>
        <w:rPr>
          <w:sz w:val="24"/>
          <w:szCs w:val="24"/>
          <w:color w:val="auto"/>
        </w:rPr>
      </w:pPr>
    </w:p>
    <w:p>
      <w:pPr>
        <w:jc w:val="center"/>
        <w:ind w:right="-39"/>
        <w:spacing w:after="0"/>
        <w:rPr>
          <w:sz w:val="20"/>
          <w:szCs w:val="20"/>
          <w:color w:val="auto"/>
        </w:rPr>
      </w:pPr>
      <w:r>
        <w:rPr>
          <w:rFonts w:ascii="Arial" w:cs="Arial" w:eastAsia="Arial" w:hAnsi="Arial"/>
          <w:sz w:val="40"/>
          <w:szCs w:val="40"/>
          <w:b w:val="1"/>
          <w:bCs w:val="1"/>
          <w:color w:val="auto"/>
        </w:rPr>
        <w:t>MATRIX SERVICE COMPANY</w:t>
      </w:r>
    </w:p>
    <w:p>
      <w:pPr>
        <w:spacing w:after="0" w:line="4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020"/>
        <w:spacing w:after="0"/>
        <w:rPr>
          <w:sz w:val="20"/>
          <w:szCs w:val="20"/>
          <w:color w:val="auto"/>
        </w:rPr>
      </w:pPr>
      <w:r>
        <w:rPr>
          <w:rFonts w:ascii="Arial" w:cs="Arial" w:eastAsia="Arial" w:hAnsi="Arial"/>
          <w:sz w:val="16"/>
          <w:szCs w:val="16"/>
          <w:b w:val="1"/>
          <w:bCs w:val="1"/>
          <w:color w:val="auto"/>
        </w:rPr>
        <w:t>__________________________________________</w:t>
      </w:r>
    </w:p>
    <w:p>
      <w:pPr>
        <w:sectPr>
          <w:pgSz w:w="11900" w:h="16838" w:orient="portrait"/>
          <w:cols w:equalWidth="0" w:num="1">
            <w:col w:w="11380"/>
          </w:cols>
          <w:pgMar w:left="240" w:top="449" w:right="279" w:bottom="1440" w:gutter="0" w:footer="0" w:header="0"/>
        </w:sectPr>
      </w:pPr>
    </w:p>
    <w:p>
      <w:pPr>
        <w:spacing w:after="0" w:line="149" w:lineRule="exact"/>
        <w:rPr>
          <w:sz w:val="24"/>
          <w:szCs w:val="24"/>
          <w:color w:val="auto"/>
        </w:rPr>
      </w:pPr>
    </w:p>
    <w:p>
      <w:pPr>
        <w:ind w:left="2160"/>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73-1352174</w:t>
      </w:r>
    </w:p>
    <w:p>
      <w:pPr>
        <w:spacing w:after="0" w:line="81" w:lineRule="exact"/>
        <w:rPr>
          <w:sz w:val="24"/>
          <w:szCs w:val="24"/>
          <w:color w:val="auto"/>
        </w:rPr>
      </w:pPr>
    </w:p>
    <w:p>
      <w:pPr>
        <w:sectPr>
          <w:pgSz w:w="11900" w:h="16838" w:orient="portrait"/>
          <w:cols w:equalWidth="0" w:num="2">
            <w:col w:w="7080" w:space="720"/>
            <w:col w:w="3580"/>
          </w:cols>
          <w:pgMar w:left="240" w:top="449" w:right="279" w:bottom="1440" w:gutter="0" w:footer="0" w:header="0"/>
          <w:type w:val="continuous"/>
        </w:sectPr>
      </w:pPr>
    </w:p>
    <w:p>
      <w:pPr>
        <w:ind w:left="194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93" w:lineRule="exact"/>
        <w:rPr>
          <w:sz w:val="24"/>
          <w:szCs w:val="24"/>
          <w:color w:val="auto"/>
        </w:rPr>
      </w:pPr>
    </w:p>
    <w:p>
      <w:pPr>
        <w:sectPr>
          <w:pgSz w:w="11900" w:h="16838" w:orient="portrait"/>
          <w:cols w:equalWidth="0" w:num="2">
            <w:col w:w="6420" w:space="720"/>
            <w:col w:w="4240"/>
          </w:cols>
          <w:pgMar w:left="240" w:top="449" w:right="279" w:bottom="1440" w:gutter="0" w:footer="0" w:header="0"/>
          <w:type w:val="continuous"/>
        </w:sectPr>
      </w:pPr>
    </w:p>
    <w:p>
      <w:pPr>
        <w:jc w:val="center"/>
        <w:ind w:right="-59"/>
        <w:spacing w:after="0"/>
        <w:rPr>
          <w:sz w:val="20"/>
          <w:szCs w:val="20"/>
          <w:color w:val="auto"/>
        </w:rPr>
      </w:pPr>
      <w:r>
        <w:rPr>
          <w:rFonts w:ascii="Arial" w:cs="Arial" w:eastAsia="Arial" w:hAnsi="Arial"/>
          <w:sz w:val="18"/>
          <w:szCs w:val="18"/>
          <w:b w:val="1"/>
          <w:bCs w:val="1"/>
          <w:color w:val="auto"/>
        </w:rPr>
        <w:t>5100 East Skelly Drive, Suite 500, Tulsa, Oklahoma 74135</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(Address of principal executive offices and zip code)</w:t>
      </w:r>
    </w:p>
    <w:p>
      <w:pPr>
        <w:spacing w:after="0" w:line="1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(918) 838-8822</w:t>
      </w:r>
    </w:p>
    <w:p>
      <w:pPr>
        <w:spacing w:after="0" w:line="17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080"/>
        <w:spacing w:after="0"/>
        <w:rPr>
          <w:sz w:val="20"/>
          <w:szCs w:val="20"/>
          <w:color w:val="auto"/>
        </w:rPr>
      </w:pPr>
      <w:r>
        <w:rPr>
          <w:rFonts w:ascii="Arial" w:cs="Arial" w:eastAsia="Arial" w:hAnsi="Arial"/>
          <w:sz w:val="18"/>
          <w:szCs w:val="18"/>
          <w:color w:val="auto"/>
        </w:rPr>
        <w:t>____________________________________</w:t>
      </w:r>
    </w:p>
    <w:p>
      <w:pPr>
        <w:spacing w:after="0" w:line="74" w:lineRule="exact"/>
        <w:rPr>
          <w:sz w:val="24"/>
          <w:szCs w:val="24"/>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 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36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62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2460" w:type="dxa"/>
            <w:vAlign w:val="bottom"/>
          </w:tcPr>
          <w:p>
            <w:pPr>
              <w:ind w:left="10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92"/>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6220" w:type="dxa"/>
            <w:vAlign w:val="bottom"/>
          </w:tcPr>
          <w:p>
            <w:pPr>
              <w:ind w:left="400"/>
              <w:spacing w:after="0"/>
              <w:rPr>
                <w:sz w:val="20"/>
                <w:szCs w:val="20"/>
                <w:color w:val="auto"/>
              </w:rPr>
            </w:pPr>
            <w:r>
              <w:rPr>
                <w:rFonts w:ascii="Arial" w:cs="Arial" w:eastAsia="Arial" w:hAnsi="Arial"/>
                <w:sz w:val="18"/>
                <w:szCs w:val="18"/>
                <w:color w:val="auto"/>
              </w:rPr>
              <w:t>o</w:t>
            </w:r>
          </w:p>
        </w:tc>
        <w:tc>
          <w:tcPr>
            <w:tcW w:w="2460" w:type="dxa"/>
            <w:vAlign w:val="bottom"/>
          </w:tcPr>
          <w:p>
            <w:pPr>
              <w:ind w:left="10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405"/>
        </w:trPr>
        <w:tc>
          <w:tcPr>
            <w:tcW w:w="8280" w:type="dxa"/>
            <w:vAlign w:val="bottom"/>
            <w:gridSpan w:val="2"/>
          </w:tcPr>
          <w:p>
            <w:pPr>
              <w:spacing w:after="0"/>
              <w:rPr>
                <w:sz w:val="20"/>
                <w:szCs w:val="20"/>
                <w:color w:val="auto"/>
              </w:rPr>
            </w:pPr>
            <w:r>
              <w:rPr>
                <w:rFonts w:ascii="Arial" w:cs="Arial" w:eastAsia="Arial" w:hAnsi="Arial"/>
                <w:sz w:val="18"/>
                <w:szCs w:val="18"/>
                <w:color w:val="auto"/>
                <w:w w:val="91"/>
              </w:rPr>
              <w:t>Indicate by check mark whether the registrant is a shell company (as defined in Rule 12b-2 of the Exchange Act).</w:t>
            </w:r>
          </w:p>
        </w:tc>
        <w:tc>
          <w:tcPr>
            <w:tcW w:w="246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540" w:type="dxa"/>
            <w:vAlign w:val="bottom"/>
          </w:tcPr>
          <w:p>
            <w:pPr>
              <w:spacing w:after="0"/>
              <w:rPr>
                <w:sz w:val="24"/>
                <w:szCs w:val="24"/>
                <w:color w:val="auto"/>
              </w:rPr>
            </w:pPr>
          </w:p>
        </w:tc>
      </w:tr>
    </w:tbl>
    <w:p>
      <w:pPr>
        <w:spacing w:after="0" w:line="128"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7, 2017 there were 27,888,217 shares of the Company’s common stock, $0.01 par value per share, issued and 26,593,791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114935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49" w:right="27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TABLE OF CONTENTS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gridSpan w:val="3"/>
          </w:tcPr>
          <w:p>
            <w:pPr>
              <w:ind w:left="140"/>
              <w:spacing w:after="0"/>
              <w:rPr>
                <w:sz w:val="20"/>
                <w:szCs w:val="20"/>
                <w:color w:val="auto"/>
              </w:rPr>
            </w:pPr>
            <w:r>
              <w:rPr>
                <w:rFonts w:ascii="Arial" w:cs="Arial" w:eastAsia="Arial" w:hAnsi="Arial"/>
                <w:sz w:val="14"/>
                <w:szCs w:val="14"/>
                <w:b w:val="1"/>
                <w:bCs w:val="1"/>
                <w:color w:val="auto"/>
                <w:w w:val="95"/>
              </w:rPr>
              <w:t>PAGE</w:t>
            </w:r>
          </w:p>
        </w:tc>
      </w:tr>
      <w:tr>
        <w:trPr>
          <w:trHeight w:val="215"/>
        </w:trPr>
        <w:tc>
          <w:tcPr>
            <w:tcW w:w="1020" w:type="dxa"/>
            <w:vAlign w:val="bottom"/>
            <w:gridSpan w:val="3"/>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140" w:type="dxa"/>
            <w:vAlign w:val="bottom"/>
            <w:gridSpan w:val="9"/>
          </w:tcPr>
          <w:p>
            <w:pPr>
              <w:jc w:val="center"/>
              <w:ind w:right="2500"/>
              <w:spacing w:after="0"/>
              <w:rPr>
                <w:sz w:val="20"/>
                <w:szCs w:val="20"/>
                <w:color w:val="auto"/>
              </w:rPr>
            </w:pPr>
            <w:r>
              <w:rPr>
                <w:rFonts w:ascii="Arial" w:cs="Arial" w:eastAsia="Arial" w:hAnsi="Arial"/>
                <w:sz w:val="18"/>
                <w:szCs w:val="18"/>
                <w:b w:val="1"/>
                <w:bCs w:val="1"/>
                <w:color w:val="auto"/>
              </w:rPr>
              <w:t>FINANCIAL INFORMATION</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2"/>
        </w:trPr>
        <w:tc>
          <w:tcPr>
            <w:tcW w:w="58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Item 1.</w:t>
            </w:r>
          </w:p>
        </w:tc>
        <w:tc>
          <w:tcPr>
            <w:tcW w:w="440" w:type="dxa"/>
            <w:vAlign w:val="bottom"/>
            <w:gridSpan w:val="2"/>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Financial Statements (Unaudited)</w:t>
              </w:r>
            </w:hyperlink>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60" w:type="dxa"/>
            <w:vAlign w:val="bottom"/>
            <w:gridSpan w:val="12"/>
          </w:tcPr>
          <w:p>
            <w:pPr>
              <w:spacing w:after="0"/>
              <w:rPr>
                <w:rFonts w:ascii="Arial" w:cs="Arial" w:eastAsia="Arial" w:hAnsi="Arial"/>
                <w:sz w:val="18"/>
                <w:szCs w:val="18"/>
                <w:color w:val="0000FF"/>
                <w:w w:val="89"/>
              </w:rPr>
            </w:pPr>
            <w:hyperlink w:anchor="page3">
              <w:r>
                <w:rPr>
                  <w:rFonts w:ascii="Arial" w:cs="Arial" w:eastAsia="Arial" w:hAnsi="Arial"/>
                  <w:sz w:val="18"/>
                  <w:szCs w:val="18"/>
                  <w:color w:val="0000FF"/>
                  <w:w w:val="89"/>
                </w:rPr>
                <w:t>Condensed Consolidated Statements of Income for the Three and Six Months Ended December 31, 2016 and 2015</w:t>
              </w:r>
            </w:hyperlink>
          </w:p>
        </w:tc>
        <w:tc>
          <w:tcPr>
            <w:tcW w:w="1300" w:type="dxa"/>
            <w:vAlign w:val="bottom"/>
            <w:gridSpan w:val="3"/>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560" w:type="dxa"/>
            <w:vAlign w:val="bottom"/>
            <w:gridSpan w:val="15"/>
          </w:tcPr>
          <w:p>
            <w:pPr>
              <w:spacing w:after="0"/>
              <w:rPr>
                <w:rFonts w:ascii="Arial" w:cs="Arial" w:eastAsia="Arial" w:hAnsi="Arial"/>
                <w:sz w:val="18"/>
                <w:szCs w:val="18"/>
                <w:color w:val="0000FF"/>
                <w:w w:val="90"/>
              </w:rPr>
            </w:pPr>
            <w:hyperlink w:anchor="page4">
              <w:r>
                <w:rPr>
                  <w:rFonts w:ascii="Arial" w:cs="Arial" w:eastAsia="Arial" w:hAnsi="Arial"/>
                  <w:sz w:val="18"/>
                  <w:szCs w:val="18"/>
                  <w:color w:val="0000FF"/>
                  <w:w w:val="90"/>
                </w:rPr>
                <w:t>Condensed Consolidated Statements of Comprehensive Income for the Three and Six Months Ended December 31, 2016 and 2015</w:t>
              </w:r>
            </w:hyperlink>
          </w:p>
        </w:tc>
        <w:tc>
          <w:tcPr>
            <w:tcW w:w="380" w:type="dxa"/>
            <w:vAlign w:val="bottom"/>
            <w:gridSpan w:val="2"/>
          </w:tcPr>
          <w:p>
            <w:pPr>
              <w:jc w:val="center"/>
              <w:ind w:left="211"/>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2</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140" w:type="dxa"/>
            <w:vAlign w:val="bottom"/>
            <w:gridSpan w:val="9"/>
          </w:tcPr>
          <w:p>
            <w:pPr>
              <w:spacing w:after="0"/>
              <w:rPr>
                <w:rFonts w:ascii="Arial" w:cs="Arial" w:eastAsia="Arial" w:hAnsi="Arial"/>
                <w:sz w:val="18"/>
                <w:szCs w:val="18"/>
                <w:color w:val="0000FF"/>
                <w:w w:val="88"/>
              </w:rPr>
            </w:pPr>
            <w:hyperlink w:anchor="page5">
              <w:r>
                <w:rPr>
                  <w:rFonts w:ascii="Arial" w:cs="Arial" w:eastAsia="Arial" w:hAnsi="Arial"/>
                  <w:sz w:val="18"/>
                  <w:szCs w:val="18"/>
                  <w:color w:val="0000FF"/>
                  <w:w w:val="88"/>
                </w:rPr>
                <w:t>Condensed Consolidated Balance Sheets as of December 31, 2016 and June 30, 2016</w:t>
              </w:r>
            </w:hyperlink>
          </w:p>
        </w:tc>
        <w:tc>
          <w:tcPr>
            <w:tcW w:w="3280" w:type="dxa"/>
            <w:vAlign w:val="bottom"/>
            <w:gridSpan w:val="5"/>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5">
              <w:r>
                <w:rPr>
                  <w:rFonts w:ascii="Arial" w:cs="Arial" w:eastAsia="Arial" w:hAnsi="Arial"/>
                  <w:sz w:val="18"/>
                  <w:szCs w:val="18"/>
                  <w:color w:val="0000EE"/>
                  <w:w w:val="79"/>
                </w:rPr>
                <w:t>3</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78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0" w:type="dxa"/>
            <w:vAlign w:val="bottom"/>
            <w:gridSpan w:val="11"/>
          </w:tcPr>
          <w:p>
            <w:pPr>
              <w:spacing w:after="0"/>
              <w:rPr>
                <w:rFonts w:ascii="Arial" w:cs="Arial" w:eastAsia="Arial" w:hAnsi="Arial"/>
                <w:sz w:val="18"/>
                <w:szCs w:val="18"/>
                <w:color w:val="0000FF"/>
                <w:w w:val="89"/>
              </w:rPr>
            </w:pPr>
            <w:hyperlink w:anchor="page7">
              <w:r>
                <w:rPr>
                  <w:rFonts w:ascii="Arial" w:cs="Arial" w:eastAsia="Arial" w:hAnsi="Arial"/>
                  <w:sz w:val="18"/>
                  <w:szCs w:val="18"/>
                  <w:color w:val="0000FF"/>
                  <w:w w:val="89"/>
                </w:rPr>
                <w:t>Condensed Consolidated Statements of Cash Flows for the Six Months Ended December 31, 2016 and 2015</w:t>
              </w:r>
            </w:hyperlink>
          </w:p>
        </w:tc>
        <w:tc>
          <w:tcPr>
            <w:tcW w:w="1760" w:type="dxa"/>
            <w:vAlign w:val="bottom"/>
            <w:gridSpan w:val="4"/>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5</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320" w:type="dxa"/>
            <w:vAlign w:val="bottom"/>
            <w:gridSpan w:val="13"/>
          </w:tcPr>
          <w:p>
            <w:pPr>
              <w:spacing w:after="0"/>
              <w:rPr>
                <w:rFonts w:ascii="Arial" w:cs="Arial" w:eastAsia="Arial" w:hAnsi="Arial"/>
                <w:sz w:val="18"/>
                <w:szCs w:val="18"/>
                <w:color w:val="0000FF"/>
                <w:w w:val="90"/>
              </w:rPr>
            </w:pPr>
            <w:hyperlink w:anchor="page9">
              <w:r>
                <w:rPr>
                  <w:rFonts w:ascii="Arial" w:cs="Arial" w:eastAsia="Arial" w:hAnsi="Arial"/>
                  <w:sz w:val="18"/>
                  <w:szCs w:val="18"/>
                  <w:color w:val="0000FF"/>
                  <w:w w:val="90"/>
                </w:rPr>
                <w:t>Condensed Consolidated Statements of Changes in Stockholders’ Equity for the Six Months Ended December 31, 2016 and 2015</w:t>
              </w:r>
            </w:hyperlink>
          </w:p>
        </w:tc>
        <w:tc>
          <w:tcPr>
            <w:tcW w:w="24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9">
              <w:r>
                <w:rPr>
                  <w:rFonts w:ascii="Arial" w:cs="Arial" w:eastAsia="Arial" w:hAnsi="Arial"/>
                  <w:sz w:val="18"/>
                  <w:szCs w:val="18"/>
                  <w:color w:val="0000EE"/>
                  <w:w w:val="79"/>
                </w:rPr>
                <w:t>7</w:t>
              </w:r>
            </w:hyperlink>
          </w:p>
        </w:tc>
        <w:tc>
          <w:tcPr>
            <w:tcW w:w="16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286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0" w:type="dxa"/>
            <w:vAlign w:val="bottom"/>
            <w:gridSpan w:val="7"/>
          </w:tcPr>
          <w:p>
            <w:pPr>
              <w:spacing w:after="0"/>
              <w:rPr>
                <w:rFonts w:ascii="Arial" w:cs="Arial" w:eastAsia="Arial" w:hAnsi="Arial"/>
                <w:sz w:val="18"/>
                <w:szCs w:val="18"/>
                <w:color w:val="0000FF"/>
                <w:w w:val="88"/>
              </w:rPr>
            </w:pPr>
            <w:hyperlink w:anchor="page10">
              <w:r>
                <w:rPr>
                  <w:rFonts w:ascii="Arial" w:cs="Arial" w:eastAsia="Arial" w:hAnsi="Arial"/>
                  <w:sz w:val="18"/>
                  <w:szCs w:val="18"/>
                  <w:color w:val="0000FF"/>
                  <w:w w:val="88"/>
                </w:rPr>
                <w:t>Notes to Condensed Consolidated Financial Statements</w:t>
              </w:r>
            </w:hyperlink>
          </w:p>
        </w:tc>
        <w:tc>
          <w:tcPr>
            <w:tcW w:w="5320" w:type="dxa"/>
            <w:vAlign w:val="bottom"/>
            <w:gridSpan w:val="6"/>
          </w:tcPr>
          <w:p>
            <w:pPr>
              <w:spacing w:after="0"/>
              <w:rPr>
                <w:sz w:val="24"/>
                <w:szCs w:val="24"/>
                <w:color w:val="auto"/>
              </w:rPr>
            </w:pPr>
          </w:p>
        </w:tc>
        <w:tc>
          <w:tcPr>
            <w:tcW w:w="240" w:type="dxa"/>
            <w:vAlign w:val="bottom"/>
            <w:gridSpan w:val="2"/>
          </w:tcPr>
          <w:p>
            <w:pPr>
              <w:spacing w:after="0"/>
              <w:rPr>
                <w:sz w:val="24"/>
                <w:szCs w:val="24"/>
                <w:color w:val="auto"/>
              </w:rPr>
            </w:pPr>
          </w:p>
        </w:tc>
        <w:tc>
          <w:tcPr>
            <w:tcW w:w="380" w:type="dxa"/>
            <w:vAlign w:val="bottom"/>
            <w:gridSpan w:val="2"/>
          </w:tcPr>
          <w:p>
            <w:pPr>
              <w:jc w:val="center"/>
              <w:ind w:left="211"/>
              <w:spacing w:after="0"/>
              <w:rPr>
                <w:rFonts w:ascii="Arial" w:cs="Arial" w:eastAsia="Arial" w:hAnsi="Arial"/>
                <w:sz w:val="18"/>
                <w:szCs w:val="18"/>
                <w:color w:val="0000EE"/>
                <w:w w:val="79"/>
              </w:rPr>
            </w:pPr>
            <w:hyperlink w:anchor="page10">
              <w:r>
                <w:rPr>
                  <w:rFonts w:ascii="Arial" w:cs="Arial" w:eastAsia="Arial" w:hAnsi="Arial"/>
                  <w:sz w:val="18"/>
                  <w:szCs w:val="18"/>
                  <w:color w:val="0000EE"/>
                  <w:w w:val="79"/>
                </w:rPr>
                <w:t>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68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5"/>
          </w:tcPr>
          <w:p>
            <w:pPr>
              <w:spacing w:after="0"/>
              <w:rPr>
                <w:rFonts w:ascii="Arial" w:cs="Arial" w:eastAsia="Arial" w:hAnsi="Arial"/>
                <w:sz w:val="18"/>
                <w:szCs w:val="18"/>
                <w:color w:val="0000FF"/>
              </w:rPr>
            </w:pPr>
            <w:hyperlink w:anchor="page23">
              <w:r>
                <w:rPr>
                  <w:rFonts w:ascii="Arial" w:cs="Arial" w:eastAsia="Arial" w:hAnsi="Arial"/>
                  <w:sz w:val="18"/>
                  <w:szCs w:val="18"/>
                  <w:color w:val="0000FF"/>
                </w:rPr>
                <w:t>Management’s Discussion and Analysis of Financial Condition and Results of Operations</w:t>
              </w:r>
            </w:hyperlink>
          </w:p>
        </w:tc>
        <w:tc>
          <w:tcPr>
            <w:tcW w:w="380" w:type="dxa"/>
            <w:vAlign w:val="bottom"/>
            <w:gridSpan w:val="2"/>
          </w:tcPr>
          <w:p>
            <w:pPr>
              <w:jc w:val="center"/>
              <w:ind w:left="111"/>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21</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210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5"/>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w w:val="91"/>
              </w:rPr>
            </w:pPr>
            <w:hyperlink w:anchor="page38">
              <w:r>
                <w:rPr>
                  <w:rFonts w:ascii="Arial" w:cs="Arial" w:eastAsia="Arial" w:hAnsi="Arial"/>
                  <w:sz w:val="18"/>
                  <w:szCs w:val="18"/>
                  <w:color w:val="0000FF"/>
                  <w:w w:val="91"/>
                </w:rPr>
                <w:t>Quantitative and Qualitative Disclosures About Market Risk</w:t>
              </w:r>
            </w:hyperlink>
          </w:p>
        </w:tc>
        <w:tc>
          <w:tcPr>
            <w:tcW w:w="2100" w:type="dxa"/>
            <w:vAlign w:val="bottom"/>
            <w:gridSpan w:val="2"/>
          </w:tcPr>
          <w:p>
            <w:pPr>
              <w:spacing w:after="0"/>
              <w:rPr>
                <w:sz w:val="24"/>
                <w:szCs w:val="24"/>
                <w:color w:val="auto"/>
              </w:rPr>
            </w:pPr>
          </w:p>
        </w:tc>
        <w:tc>
          <w:tcPr>
            <w:tcW w:w="3100" w:type="dxa"/>
            <w:vAlign w:val="bottom"/>
            <w:gridSpan w:val="5"/>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tcBorders>
              <w:left w:val="single" w:sz="8" w:color="0000FF"/>
            </w:tcBorders>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4360" w:type="dxa"/>
            <w:vAlign w:val="bottom"/>
            <w:gridSpan w:val="8"/>
          </w:tcPr>
          <w:p>
            <w:pPr>
              <w:spacing w:after="0"/>
              <w:rPr>
                <w:rFonts w:ascii="Arial" w:cs="Arial" w:eastAsia="Arial" w:hAnsi="Arial"/>
                <w:sz w:val="18"/>
                <w:szCs w:val="18"/>
                <w:color w:val="0000FF"/>
              </w:rPr>
            </w:pPr>
            <w:hyperlink w:anchor="page38">
              <w:r>
                <w:rPr>
                  <w:rFonts w:ascii="Arial" w:cs="Arial" w:eastAsia="Arial" w:hAnsi="Arial"/>
                  <w:sz w:val="18"/>
                  <w:szCs w:val="18"/>
                  <w:color w:val="0000FF"/>
                </w:rPr>
                <w:t>Controls and Procedures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36</w:t>
              </w:r>
            </w:hyperlink>
          </w:p>
        </w:tc>
        <w:tc>
          <w:tcPr>
            <w:tcW w:w="160" w:type="dxa"/>
            <w:vAlign w:val="bottom"/>
          </w:tcPr>
          <w:p>
            <w:pPr>
              <w:spacing w:after="0"/>
              <w:rPr>
                <w:sz w:val="24"/>
                <w:szCs w:val="24"/>
                <w:color w:val="auto"/>
              </w:rPr>
            </w:pPr>
          </w:p>
        </w:tc>
      </w:tr>
      <w:tr>
        <w:trPr>
          <w:trHeight w:val="574"/>
        </w:trPr>
        <w:tc>
          <w:tcPr>
            <w:tcW w:w="680" w:type="dxa"/>
            <w:vAlign w:val="bottom"/>
            <w:tcBorders>
              <w:bottom w:val="single" w:sz="8" w:color="0000EE"/>
            </w:tcBorders>
            <w:gridSpan w:val="2"/>
          </w:tcPr>
          <w:p>
            <w:pPr>
              <w:spacing w:after="0"/>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PART II</w:t>
              </w:r>
            </w:hyperlink>
          </w:p>
        </w:tc>
        <w:tc>
          <w:tcPr>
            <w:tcW w:w="34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14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rPr>
              <w:t>OTHER INFORMATION</w:t>
            </w: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w:t>
            </w:r>
          </w:p>
        </w:tc>
        <w:tc>
          <w:tcPr>
            <w:tcW w:w="1320" w:type="dxa"/>
            <w:vAlign w:val="bottom"/>
            <w:gridSpan w:val="3"/>
          </w:tcPr>
          <w:p>
            <w:pPr>
              <w:spacing w:after="0"/>
              <w:rPr>
                <w:rFonts w:ascii="Arial" w:cs="Arial" w:eastAsia="Arial" w:hAnsi="Arial"/>
                <w:sz w:val="18"/>
                <w:szCs w:val="18"/>
                <w:color w:val="0000FF"/>
                <w:w w:val="85"/>
              </w:rPr>
            </w:pPr>
            <w:hyperlink w:anchor="page39">
              <w:r>
                <w:rPr>
                  <w:rFonts w:ascii="Arial" w:cs="Arial" w:eastAsia="Arial" w:hAnsi="Arial"/>
                  <w:sz w:val="18"/>
                  <w:szCs w:val="18"/>
                  <w:color w:val="0000FF"/>
                  <w:w w:val="85"/>
                </w:rPr>
                <w:t>Legal Proceedings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0" w:type="dxa"/>
            <w:vAlign w:val="bottom"/>
            <w:tcBorders>
              <w:left w:val="single" w:sz="8" w:color="0000FF"/>
            </w:tcBorders>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1A.</w:t>
            </w:r>
          </w:p>
        </w:tc>
        <w:tc>
          <w:tcPr>
            <w:tcW w:w="1320" w:type="dxa"/>
            <w:vAlign w:val="bottom"/>
            <w:gridSpan w:val="3"/>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Risk Factors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2.</w:t>
            </w:r>
          </w:p>
        </w:tc>
        <w:tc>
          <w:tcPr>
            <w:tcW w:w="4360" w:type="dxa"/>
            <w:vAlign w:val="bottom"/>
            <w:gridSpan w:val="8"/>
          </w:tcPr>
          <w:p>
            <w:pPr>
              <w:spacing w:after="0"/>
              <w:rPr>
                <w:rFonts w:ascii="Arial" w:cs="Arial" w:eastAsia="Arial" w:hAnsi="Arial"/>
                <w:sz w:val="18"/>
                <w:szCs w:val="18"/>
                <w:color w:val="0000FF"/>
                <w:w w:val="89"/>
              </w:rPr>
            </w:pPr>
            <w:hyperlink w:anchor="page39">
              <w:r>
                <w:rPr>
                  <w:rFonts w:ascii="Arial" w:cs="Arial" w:eastAsia="Arial" w:hAnsi="Arial"/>
                  <w:sz w:val="18"/>
                  <w:szCs w:val="18"/>
                  <w:color w:val="0000FF"/>
                  <w:w w:val="89"/>
                </w:rPr>
                <w:t>Unregistered Sales of Equity Securities and Use of Proceeds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39">
              <w:r>
                <w:rPr>
                  <w:rFonts w:ascii="Arial" w:cs="Arial" w:eastAsia="Arial" w:hAnsi="Arial"/>
                  <w:sz w:val="18"/>
                  <w:szCs w:val="18"/>
                  <w:color w:val="0000EE"/>
                  <w:w w:val="89"/>
                </w:rPr>
                <w:t>37</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5200" w:type="dxa"/>
            <w:vAlign w:val="bottom"/>
            <w:gridSpan w:val="7"/>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3.</w:t>
            </w:r>
          </w:p>
        </w:tc>
        <w:tc>
          <w:tcPr>
            <w:tcW w:w="4360" w:type="dxa"/>
            <w:vAlign w:val="bottom"/>
            <w:gridSpan w:val="8"/>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Defaults Upon Senior Securities</w:t>
              </w:r>
            </w:hyperlink>
          </w:p>
        </w:tc>
        <w:tc>
          <w:tcPr>
            <w:tcW w:w="5200" w:type="dxa"/>
            <w:vAlign w:val="bottom"/>
            <w:gridSpan w:val="7"/>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2"/>
            <w:shd w:val="clear" w:color="auto" w:fill="0000FF"/>
          </w:tcPr>
          <w:p>
            <w:pPr>
              <w:spacing w:after="0" w:line="20" w:lineRule="exact"/>
              <w:rPr>
                <w:sz w:val="1"/>
                <w:szCs w:val="1"/>
                <w:color w:val="auto"/>
              </w:rPr>
            </w:pPr>
          </w:p>
        </w:tc>
        <w:tc>
          <w:tcPr>
            <w:tcW w:w="7240" w:type="dxa"/>
            <w:vAlign w:val="bottom"/>
            <w:gridSpan w:val="10"/>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4.</w:t>
            </w:r>
          </w:p>
        </w:tc>
        <w:tc>
          <w:tcPr>
            <w:tcW w:w="1780" w:type="dxa"/>
            <w:vAlign w:val="bottom"/>
            <w:gridSpan w:val="4"/>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Mine Safety Disclosures</w:t>
              </w:r>
            </w:hyperlink>
          </w:p>
        </w:tc>
        <w:tc>
          <w:tcPr>
            <w:tcW w:w="540" w:type="dxa"/>
            <w:vAlign w:val="bottom"/>
          </w:tcPr>
          <w:p>
            <w:pPr>
              <w:spacing w:after="0"/>
              <w:rPr>
                <w:sz w:val="24"/>
                <w:szCs w:val="24"/>
                <w:color w:val="auto"/>
              </w:rPr>
            </w:pPr>
          </w:p>
        </w:tc>
        <w:tc>
          <w:tcPr>
            <w:tcW w:w="7240" w:type="dxa"/>
            <w:vAlign w:val="bottom"/>
            <w:gridSpan w:val="10"/>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780" w:type="dxa"/>
            <w:vAlign w:val="bottom"/>
            <w:gridSpan w:val="11"/>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5.</w:t>
            </w:r>
          </w:p>
        </w:tc>
        <w:tc>
          <w:tcPr>
            <w:tcW w:w="1320" w:type="dxa"/>
            <w:vAlign w:val="bottom"/>
            <w:gridSpan w:val="3"/>
          </w:tcPr>
          <w:p>
            <w:pPr>
              <w:spacing w:after="0"/>
              <w:rPr>
                <w:rFonts w:ascii="Arial" w:cs="Arial" w:eastAsia="Arial" w:hAnsi="Arial"/>
                <w:sz w:val="18"/>
                <w:szCs w:val="18"/>
                <w:color w:val="0000FF"/>
                <w:w w:val="91"/>
              </w:rPr>
            </w:pPr>
            <w:hyperlink w:anchor="page40">
              <w:r>
                <w:rPr>
                  <w:rFonts w:ascii="Arial" w:cs="Arial" w:eastAsia="Arial" w:hAnsi="Arial"/>
                  <w:sz w:val="18"/>
                  <w:szCs w:val="18"/>
                  <w:color w:val="0000FF"/>
                  <w:w w:val="91"/>
                </w:rPr>
                <w:t>Other Information</w:t>
              </w:r>
            </w:hyperlink>
          </w:p>
        </w:tc>
        <w:tc>
          <w:tcPr>
            <w:tcW w:w="460" w:type="dxa"/>
            <w:vAlign w:val="bottom"/>
          </w:tcPr>
          <w:p>
            <w:pPr>
              <w:spacing w:after="0"/>
              <w:rPr>
                <w:sz w:val="24"/>
                <w:szCs w:val="24"/>
                <w:color w:val="auto"/>
              </w:rPr>
            </w:pPr>
          </w:p>
        </w:tc>
        <w:tc>
          <w:tcPr>
            <w:tcW w:w="7780" w:type="dxa"/>
            <w:vAlign w:val="bottom"/>
            <w:gridSpan w:val="11"/>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38</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8240" w:type="dxa"/>
            <w:vAlign w:val="bottom"/>
            <w:gridSpan w:val="12"/>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sz w:val="20"/>
                <w:szCs w:val="20"/>
                <w:color w:val="auto"/>
              </w:rPr>
            </w:pPr>
            <w:r>
              <w:rPr>
                <w:rFonts w:ascii="Arial" w:cs="Arial" w:eastAsia="Arial" w:hAnsi="Arial"/>
                <w:sz w:val="18"/>
                <w:szCs w:val="18"/>
                <w:color w:val="auto"/>
              </w:rPr>
              <w:t>Item 6.</w:t>
            </w:r>
          </w:p>
        </w:tc>
        <w:tc>
          <w:tcPr>
            <w:tcW w:w="132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8240" w:type="dxa"/>
            <w:vAlign w:val="bottom"/>
            <w:gridSpan w:val="12"/>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160" w:type="dxa"/>
            <w:vAlign w:val="bottom"/>
          </w:tcPr>
          <w:p>
            <w:pPr>
              <w:spacing w:after="0"/>
              <w:rPr>
                <w:sz w:val="24"/>
                <w:szCs w:val="24"/>
                <w:color w:val="auto"/>
              </w:rPr>
            </w:pPr>
          </w:p>
        </w:tc>
      </w:tr>
      <w:tr>
        <w:trPr>
          <w:trHeight w:val="20"/>
        </w:trPr>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r>
        <w:trPr>
          <w:trHeight w:val="372"/>
        </w:trPr>
        <w:tc>
          <w:tcPr>
            <w:tcW w:w="1020" w:type="dxa"/>
            <w:vAlign w:val="bottom"/>
            <w:gridSpan w:val="3"/>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gridSpan w:val="2"/>
          </w:tcPr>
          <w:p>
            <w:pPr>
              <w:jc w:val="center"/>
              <w:ind w:left="111"/>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39</w:t>
              </w:r>
            </w:hyperlink>
          </w:p>
        </w:tc>
        <w:tc>
          <w:tcPr>
            <w:tcW w:w="160" w:type="dxa"/>
            <w:vAlign w:val="bottom"/>
          </w:tcPr>
          <w:p>
            <w:pPr>
              <w:spacing w:after="0"/>
              <w:rPr>
                <w:sz w:val="24"/>
                <w:szCs w:val="24"/>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r>
    </w:tbl>
    <w:p>
      <w:pPr>
        <w:sectPr>
          <w:pgSz w:w="11900" w:h="16838" w:orient="portrait"/>
          <w:cols w:equalWidth="0" w:num="1">
            <w:col w:w="11160"/>
          </w:cols>
          <w:pgMar w:left="240" w:top="341" w:right="4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90"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312,655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323,529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654,436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642,860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284,443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293,524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593,946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578,271</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28,212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30,005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60,490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64,589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19,975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25,070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37,952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44,553</w:t>
            </w: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4,935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22,538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20,036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before income tax expense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7,813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4,595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21,890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19,410</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federal, state and foreign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6,553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3,118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12,857</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Net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5,250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5,431</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14,592</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15,372</w:t>
            </w: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78"/>
        </w:trPr>
        <w:tc>
          <w:tcPr>
            <w:tcW w:w="5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0.58</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26,553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26,721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26,470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26,598</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1200" w:type="dxa"/>
            <w:vAlign w:val="bottom"/>
          </w:tcPr>
          <w:p>
            <w:pPr>
              <w:jc w:val="right"/>
              <w:ind w:right="13"/>
              <w:spacing w:after="0"/>
              <w:rPr>
                <w:sz w:val="20"/>
                <w:szCs w:val="20"/>
                <w:color w:val="auto"/>
              </w:rPr>
            </w:pPr>
            <w:r>
              <w:rPr>
                <w:rFonts w:ascii="Arial" w:cs="Arial" w:eastAsia="Arial" w:hAnsi="Arial"/>
                <w:sz w:val="18"/>
                <w:szCs w:val="18"/>
                <w:color w:val="auto"/>
              </w:rPr>
              <w:t>26,832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27,248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26,842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27,229</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w:t>
      </w:r>
    </w:p>
    <w:p>
      <w:pPr>
        <w:sectPr>
          <w:pgSz w:w="11900" w:h="16838" w:orient="portrait"/>
          <w:cols w:equalWidth="0" w:num="1">
            <w:col w:w="11420"/>
          </w:cols>
          <w:pgMar w:left="240" w:top="34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3,118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loss, net of tax:</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7"/>
              </w:rPr>
              <w:t>Foreign currency translation loss (net of tax of $69 and $106 for the</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three and six months ended December 31, 2016, respectively, and $204</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16"/>
        </w:trPr>
        <w:tc>
          <w:tcPr>
            <w:tcW w:w="56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9"/>
              </w:rPr>
              <w:t>and $384 for the three and six months ended December 31, 2015,</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57"/>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(3,815)</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1,752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12,595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9,042</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Comprehensive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attributable to Matrix Service Company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3,532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4,065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12,595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11,557</w:t>
            </w: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w:t>
      </w:r>
    </w:p>
    <w:p>
      <w:pPr>
        <w:sectPr>
          <w:pgSz w:w="11900" w:h="16838" w:orient="portrait"/>
          <w:cols w:equalWidth="0" w:num="1">
            <w:col w:w="11420"/>
          </w:cols>
          <w:pgMar w:left="240" w:top="34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0"/>
        </w:trPr>
        <w:tc>
          <w:tcPr>
            <w:tcW w:w="880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66,230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71,656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Accounts receivable, less allowances (December 31, 2016— $8,313 and June 30, 2016—$8,403)</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248,712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190,434</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80,296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104,001</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4,194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3,935</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current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8,318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5,411</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408,236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375,446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Property, plant and equipment at cost:</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Land and buildings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39,348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39,224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Construction equipment</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91,587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90,386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Transportation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48,254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49,046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Office equipment and software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34,946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29,577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Construction in progress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4,563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7,475</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Total property, plant and equipment - at cost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218,698</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215,708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depreciation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(137,414)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(130,977)</w:t>
            </w:r>
          </w:p>
        </w:tc>
      </w:tr>
      <w:tr>
        <w:trPr>
          <w:trHeight w:val="237"/>
        </w:trPr>
        <w:tc>
          <w:tcPr>
            <w:tcW w:w="8800" w:type="dxa"/>
            <w:vAlign w:val="bottom"/>
          </w:tcPr>
          <w:p>
            <w:pPr>
              <w:ind w:left="180"/>
              <w:spacing w:after="0"/>
              <w:rPr>
                <w:sz w:val="20"/>
                <w:szCs w:val="20"/>
                <w:color w:val="auto"/>
              </w:rPr>
            </w:pPr>
            <w:r>
              <w:rPr>
                <w:rFonts w:ascii="Arial" w:cs="Arial" w:eastAsia="Arial" w:hAnsi="Arial"/>
                <w:sz w:val="18"/>
                <w:szCs w:val="18"/>
                <w:color w:val="auto"/>
              </w:rPr>
              <w:t>Property, plant and equipment - net</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81,284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84,731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113,019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78,293</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29,351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20,999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3,719</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1,779</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635,790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564,967</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- 3-</w:t>
      </w:r>
    </w:p>
    <w:p>
      <w:pPr>
        <w:sectPr>
          <w:pgSz w:w="11900" w:h="16838" w:orient="portrait"/>
          <w:cols w:equalWidth="0" w:num="1">
            <w:col w:w="11420"/>
          </w:cols>
          <w:pgMar w:left="240" w:top="341" w:right="239" w:bottom="1440" w:gutter="0" w:footer="0" w:header="0"/>
          <w:type w:val="continuous"/>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020" w:type="dxa"/>
            <w:vAlign w:val="bottom"/>
          </w:tcPr>
          <w:p>
            <w:pPr>
              <w:jc w:val="right"/>
              <w:ind w:right="312"/>
              <w:spacing w:after="0"/>
              <w:rPr>
                <w:sz w:val="20"/>
                <w:szCs w:val="20"/>
                <w:color w:val="auto"/>
              </w:rPr>
            </w:pPr>
            <w:r>
              <w:rPr>
                <w:rFonts w:ascii="Arial" w:cs="Arial" w:eastAsia="Arial" w:hAnsi="Arial"/>
                <w:sz w:val="14"/>
                <w:szCs w:val="14"/>
                <w:b w:val="1"/>
                <w:bCs w:val="1"/>
                <w:color w:val="auto"/>
              </w:rPr>
              <w:t>June 30,</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108,260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141,445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74,858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58,327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wages and benefits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21,162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27,716</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9,171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9,246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Income taxes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2,675</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accrued expenses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6,621</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230,283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246,030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2,855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3,198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Borrowings under senior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72,412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173</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305,961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249,401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Matrix Service Company stockholders' equity:</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9"/>
        </w:trPr>
        <w:tc>
          <w:tcPr>
            <w:tcW w:w="88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stock—$.01 par value; 60,000,000 shares authorized; 27,888,217 shares issued as of December 31, 2016,</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7"/>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3"/>
              </w:rPr>
              <w:t>and June 30, 2016; 26,588,643 and 26,297,145 shares outstanding as of December 31, 2016 and June 30, 2016</w:t>
            </w:r>
          </w:p>
        </w:tc>
        <w:tc>
          <w:tcPr>
            <w:tcW w:w="1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124,659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127,058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237,749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223,157</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(8,842)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(6,845)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353,845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343,649</w:t>
            </w:r>
          </w:p>
        </w:tc>
      </w:tr>
      <w:tr>
        <w:trPr>
          <w:trHeight w:val="229"/>
        </w:trPr>
        <w:tc>
          <w:tcPr>
            <w:tcW w:w="8800" w:type="dxa"/>
            <w:vAlign w:val="bottom"/>
          </w:tcPr>
          <w:p>
            <w:pPr>
              <w:ind w:left="380"/>
              <w:spacing w:after="0"/>
              <w:rPr>
                <w:sz w:val="20"/>
                <w:szCs w:val="20"/>
                <w:color w:val="auto"/>
              </w:rPr>
            </w:pPr>
            <w:r>
              <w:rPr>
                <w:rFonts w:ascii="Arial" w:cs="Arial" w:eastAsia="Arial" w:hAnsi="Arial"/>
                <w:sz w:val="18"/>
                <w:szCs w:val="18"/>
                <w:color w:val="auto"/>
                <w:w w:val="92"/>
              </w:rPr>
              <w:t>Less: Treasury stock, at cost — 1,299,574 shares as of December 31, 2016, and 1,591,072 shares as of June 30,</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8800" w:type="dxa"/>
            <w:vAlign w:val="bottom"/>
          </w:tcPr>
          <w:p>
            <w:pPr>
              <w:ind w:left="3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(22,840)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(26,907)</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Matrix Service Company stockholders’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331,005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316,742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(1,176)</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329,829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315,566</w:t>
            </w:r>
          </w:p>
        </w:tc>
      </w:tr>
      <w:tr>
        <w:trPr>
          <w:trHeight w:val="257"/>
        </w:trPr>
        <w:tc>
          <w:tcPr>
            <w:tcW w:w="880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635,790</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564,967</w:t>
            </w: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w:t>
      </w:r>
    </w:p>
    <w:p>
      <w:pPr>
        <w:sectPr>
          <w:pgSz w:w="11900" w:h="16838" w:orient="portrait"/>
          <w:cols w:equalWidth="0" w:num="1">
            <w:col w:w="11420"/>
          </w:cols>
          <w:pgMar w:left="240" w:top="341"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14,592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12,857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used by operating activities, net of effects from acquisitions: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9,988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10,720</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1,390</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Gain on sale of property, plant and equipment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uncollectible accounts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5,544</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3,509</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119</w:t>
            </w:r>
          </w:p>
        </w:tc>
      </w:tr>
      <w:tr>
        <w:trPr>
          <w:trHeight w:val="243"/>
        </w:trPr>
        <w:tc>
          <w:tcPr>
            <w:tcW w:w="8800" w:type="dxa"/>
            <w:vAlign w:val="bottom"/>
          </w:tcPr>
          <w:p>
            <w:pPr>
              <w:ind w:left="380"/>
              <w:spacing w:after="0"/>
              <w:rPr>
                <w:sz w:val="20"/>
                <w:szCs w:val="20"/>
                <w:color w:val="auto"/>
              </w:rPr>
            </w:pPr>
            <w:r>
              <w:rPr>
                <w:rFonts w:ascii="Arial" w:cs="Arial" w:eastAsia="Arial" w:hAnsi="Arial"/>
                <w:sz w:val="18"/>
                <w:szCs w:val="18"/>
                <w:color w:val="auto"/>
              </w:rPr>
              <w:t>Changes in operating assets and liabilities increasing (decreasing) cash, net of effects from acquisitions:</w:t>
            </w: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(13,820)</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24,451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4,328</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Other assets and liabilities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(8,861)</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(34,276)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(16,743)</w:t>
            </w:r>
          </w:p>
        </w:tc>
      </w:tr>
      <w:tr>
        <w:trPr>
          <w:trHeight w:val="243"/>
        </w:trPr>
        <w:tc>
          <w:tcPr>
            <w:tcW w:w="8800" w:type="dxa"/>
            <w:vAlign w:val="bottom"/>
          </w:tcPr>
          <w:p>
            <w:pPr>
              <w:ind w:left="72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4,883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17,436</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expenses</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(6,840)</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(used) by operating activities</w:t>
            </w: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(30,908)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9,687</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Acquisitions (Note 2)</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(39,798)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property, plant and equipment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(7,516)</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asset sales</w:t>
            </w:r>
          </w:p>
        </w:tc>
        <w:tc>
          <w:tcPr>
            <w:tcW w:w="16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145</w:t>
            </w: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by investing activities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(7,371)</w:t>
            </w:r>
          </w:p>
        </w:tc>
      </w:tr>
      <w:tr>
        <w:trPr>
          <w:trHeight w:val="27"/>
        </w:trPr>
        <w:tc>
          <w:tcPr>
            <w:tcW w:w="88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34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- 5-</w:t>
      </w:r>
    </w:p>
    <w:p>
      <w:pPr>
        <w:sectPr>
          <w:pgSz w:w="11900" w:h="16838" w:orient="portrait"/>
          <w:cols w:equalWidth="0" w:num="1">
            <w:col w:w="11420"/>
          </w:cols>
          <w:pgMar w:left="240" w:top="341"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8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3"/>
                <w:szCs w:val="13"/>
                <w:color w:val="auto"/>
              </w:rPr>
            </w:pPr>
          </w:p>
        </w:tc>
        <w:tc>
          <w:tcPr>
            <w:tcW w:w="110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Advances under senior revolving credit facility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102,084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2,753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advances under senior revolving credit facility</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(4,331)</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Payment of debt amendment fees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Issuances of common stock</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Proceeds from issuance of common stock under employee stock purchase plan</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Repurchase of common stock for payment of statutory taxes due on equity-based compensation</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Capital contributions from noncontrolling interest</w:t>
            </w: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8,433</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70,365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2,990</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(2,114)</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3,192</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Pr>
          <w:p>
            <w:pPr>
              <w:spacing w:after="0"/>
              <w:rPr>
                <w:sz w:val="21"/>
                <w:szCs w:val="21"/>
                <w:color w:val="auto"/>
              </w:rPr>
            </w:pPr>
          </w:p>
        </w:tc>
        <w:tc>
          <w:tcPr>
            <w:tcW w:w="1100" w:type="dxa"/>
            <w:vAlign w:val="bottom"/>
          </w:tcPr>
          <w:p>
            <w:pPr>
              <w:jc w:val="right"/>
              <w:ind w:right="33"/>
              <w:spacing w:after="0"/>
              <w:rPr>
                <w:sz w:val="20"/>
                <w:szCs w:val="20"/>
                <w:color w:val="auto"/>
              </w:rPr>
            </w:pPr>
            <w:r>
              <w:rPr>
                <w:rFonts w:ascii="Arial" w:cs="Arial" w:eastAsia="Arial" w:hAnsi="Arial"/>
                <w:sz w:val="18"/>
                <w:szCs w:val="18"/>
                <w:color w:val="auto"/>
              </w:rPr>
              <w:t>71,656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79,239</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66,230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82,431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during the period for:</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88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Income taxes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8,361</w:t>
            </w: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9,112</w:t>
            </w:r>
          </w:p>
        </w:tc>
        <w:tc>
          <w:tcPr>
            <w:tcW w:w="0" w:type="dxa"/>
            <w:vAlign w:val="bottom"/>
          </w:tcPr>
          <w:p>
            <w:pPr>
              <w:spacing w:after="0"/>
              <w:rPr>
                <w:sz w:val="1"/>
                <w:szCs w:val="1"/>
                <w:color w:val="auto"/>
              </w:rPr>
            </w:pPr>
          </w:p>
        </w:tc>
      </w:tr>
      <w:tr>
        <w:trPr>
          <w:trHeight w:val="251"/>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40"/>
              <w:spacing w:after="0"/>
              <w:rPr>
                <w:sz w:val="20"/>
                <w:szCs w:val="20"/>
                <w:color w:val="auto"/>
              </w:rPr>
            </w:pPr>
            <w:r>
              <w:rPr>
                <w:rFonts w:ascii="Arial" w:cs="Arial" w:eastAsia="Arial" w:hAnsi="Arial"/>
                <w:sz w:val="18"/>
                <w:szCs w:val="18"/>
                <w:color w:val="auto"/>
              </w:rPr>
              <w:t>Non-cash investing and financing activities:</w:t>
            </w: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8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88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Purchases of property, plant and equipment on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0"/>
        </w:trPr>
        <w:tc>
          <w:tcPr>
            <w:tcW w:w="8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ectPr>
          <w:pgSz w:w="11900" w:h="16838" w:orient="portrait"/>
          <w:cols w:equalWidth="0" w:num="1">
            <w:col w:w="11420"/>
          </w:cols>
          <w:pgMar w:left="240" w:top="34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Non-</w:t>
            </w: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Common</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2"/>
                <w:szCs w:val="12"/>
                <w:color w:val="auto"/>
              </w:rPr>
            </w:pPr>
          </w:p>
        </w:tc>
        <w:tc>
          <w:tcPr>
            <w:tcW w:w="9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8"/>
              </w:rPr>
              <w:t>Paid-In</w:t>
            </w: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Controlling</w:t>
            </w:r>
          </w:p>
        </w:tc>
        <w:tc>
          <w:tcPr>
            <w:tcW w:w="24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Capital</w:t>
            </w:r>
          </w:p>
        </w:tc>
        <w:tc>
          <w:tcPr>
            <w:tcW w:w="140" w:type="dxa"/>
            <w:vAlign w:val="bottom"/>
          </w:tcPr>
          <w:p>
            <w:pPr>
              <w:spacing w:after="0"/>
              <w:rPr>
                <w:sz w:val="16"/>
                <w:szCs w:val="16"/>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Income(Loss)</w:t>
            </w:r>
          </w:p>
        </w:tc>
        <w:tc>
          <w:tcPr>
            <w:tcW w:w="14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Interest</w:t>
            </w:r>
          </w:p>
        </w:tc>
        <w:tc>
          <w:tcPr>
            <w:tcW w:w="24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2016</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126,958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223,257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rPr>
              <w:t>Retrospective adjustment upon adoption of ASU</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2016-09 (see Note 1)</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2016, as adjusted</w:t>
            </w:r>
          </w:p>
        </w:tc>
        <w:tc>
          <w:tcPr>
            <w:tcW w:w="1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127,058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223,157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315,566</w:t>
            </w:r>
          </w:p>
        </w:tc>
        <w:tc>
          <w:tcPr>
            <w:tcW w:w="0" w:type="dxa"/>
            <w:vAlign w:val="bottom"/>
          </w:tcPr>
          <w:p>
            <w:pPr>
              <w:spacing w:after="0"/>
              <w:rPr>
                <w:sz w:val="1"/>
                <w:szCs w:val="1"/>
                <w:color w:val="auto"/>
              </w:rPr>
            </w:pPr>
          </w:p>
        </w:tc>
      </w:tr>
      <w:tr>
        <w:trPr>
          <w:trHeight w:val="217"/>
        </w:trPr>
        <w:tc>
          <w:tcPr>
            <w:tcW w:w="35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14,592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14,592</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(1,997)</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Plan (9,577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stock options (21,713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Issuance of deferred shares (393,530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(5,685)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5,685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obligations (133,322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3,547</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December 31, 2016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237,749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(8,842)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329,829</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July 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123,038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194,394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(18,489)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284,554</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Capital contributions from noncontrolling interest</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20"/>
              <w:spacing w:after="0"/>
              <w:rPr>
                <w:sz w:val="20"/>
                <w:szCs w:val="20"/>
                <w:color w:val="auto"/>
              </w:rPr>
            </w:pPr>
            <w:r>
              <w:rPr>
                <w:rFonts w:ascii="Arial" w:cs="Arial" w:eastAsia="Arial" w:hAnsi="Arial"/>
                <w:sz w:val="16"/>
                <w:szCs w:val="16"/>
                <w:color w:val="auto"/>
              </w:rPr>
              <w:t>8,433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8,433</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 (loss)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15,372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12,857</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(3,815)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(3,815)</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6"/>
              </w:rPr>
              <w:t>Treasury shares sold to Employee Stock Purchase</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Plan (8,382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Exercise of stock options (50,337 shares)</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840" w:type="dxa"/>
            <w:vAlign w:val="bottom"/>
          </w:tcPr>
          <w:p>
            <w:pPr>
              <w:jc w:val="right"/>
              <w:ind w:right="20"/>
              <w:spacing w:after="0"/>
              <w:rPr>
                <w:sz w:val="20"/>
                <w:szCs w:val="20"/>
                <w:color w:val="auto"/>
              </w:rPr>
            </w:pPr>
            <w:r>
              <w:rPr>
                <w:rFonts w:ascii="Arial" w:cs="Arial" w:eastAsia="Arial" w:hAnsi="Arial"/>
                <w:sz w:val="16"/>
                <w:szCs w:val="16"/>
                <w:color w:val="auto"/>
              </w:rPr>
              <w:t>464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Issuance of deferred shares (615,395 shares)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5,706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3540" w:type="dxa"/>
            <w:vAlign w:val="bottom"/>
          </w:tcPr>
          <w:p>
            <w:pPr>
              <w:ind w:left="40"/>
              <w:spacing w:after="0"/>
              <w:rPr>
                <w:sz w:val="20"/>
                <w:szCs w:val="20"/>
                <w:color w:val="auto"/>
              </w:rPr>
            </w:pPr>
            <w:r>
              <w:rPr>
                <w:rFonts w:ascii="Arial" w:cs="Arial" w:eastAsia="Arial" w:hAnsi="Arial"/>
                <w:sz w:val="16"/>
                <w:szCs w:val="16"/>
                <w:color w:val="auto"/>
                <w:w w:val="93"/>
              </w:rPr>
              <w:t>Treasury shares purchased to satisfy tax withholding</w:t>
            </w: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540" w:type="dxa"/>
            <w:vAlign w:val="bottom"/>
          </w:tcPr>
          <w:p>
            <w:pPr>
              <w:ind w:left="40"/>
              <w:spacing w:after="0"/>
              <w:rPr>
                <w:sz w:val="20"/>
                <w:szCs w:val="20"/>
                <w:color w:val="auto"/>
              </w:rPr>
            </w:pPr>
            <w:r>
              <w:rPr>
                <w:rFonts w:ascii="Arial" w:cs="Arial" w:eastAsia="Arial" w:hAnsi="Arial"/>
                <w:sz w:val="16"/>
                <w:szCs w:val="16"/>
                <w:color w:val="auto"/>
              </w:rPr>
              <w:t>obligations (200,019 shares)</w:t>
            </w:r>
          </w:p>
        </w:tc>
        <w:tc>
          <w:tcPr>
            <w:tcW w:w="16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(4,488)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(4,488)</w:t>
            </w:r>
          </w:p>
        </w:tc>
        <w:tc>
          <w:tcPr>
            <w:tcW w:w="0" w:type="dxa"/>
            <w:vAlign w:val="bottom"/>
          </w:tcPr>
          <w:p>
            <w:pPr>
              <w:spacing w:after="0"/>
              <w:rPr>
                <w:sz w:val="1"/>
                <w:szCs w:val="1"/>
                <w:color w:val="auto"/>
              </w:rPr>
            </w:pPr>
          </w:p>
        </w:tc>
      </w:tr>
      <w:tr>
        <w:trPr>
          <w:trHeight w:val="33"/>
        </w:trPr>
        <w:tc>
          <w:tcPr>
            <w:tcW w:w="3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5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5"/>
              </w:rPr>
              <w:t>Tax effect of exercised stock options and vesting of</w:t>
            </w: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shares</w:t>
            </w:r>
          </w:p>
        </w:tc>
        <w:tc>
          <w:tcPr>
            <w:tcW w:w="1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3,245</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3,245</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Arial" w:cs="Arial" w:eastAsia="Arial" w:hAnsi="Arial"/>
                <w:sz w:val="16"/>
                <w:szCs w:val="16"/>
                <w:color w:val="auto"/>
              </w:rPr>
              <w:t>Stock-based compensation expense</w:t>
            </w:r>
          </w:p>
        </w:tc>
        <w:tc>
          <w:tcPr>
            <w:tcW w:w="16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820" w:type="dxa"/>
            <w:vAlign w:val="bottom"/>
          </w:tcPr>
          <w:p>
            <w:pPr>
              <w:jc w:val="right"/>
              <w:ind w:right="40"/>
              <w:spacing w:after="0"/>
              <w:rPr>
                <w:sz w:val="20"/>
                <w:szCs w:val="20"/>
                <w:color w:val="auto"/>
              </w:rPr>
            </w:pPr>
            <w:r>
              <w:rPr>
                <w:rFonts w:ascii="Arial" w:cs="Arial" w:eastAsia="Arial" w:hAnsi="Arial"/>
                <w:sz w:val="16"/>
                <w:szCs w:val="16"/>
                <w:color w:val="auto"/>
              </w:rPr>
              <w:t>3,509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3,509</w:t>
            </w:r>
          </w:p>
        </w:tc>
        <w:tc>
          <w:tcPr>
            <w:tcW w:w="0" w:type="dxa"/>
            <w:vAlign w:val="bottom"/>
          </w:tcPr>
          <w:p>
            <w:pPr>
              <w:spacing w:after="0"/>
              <w:rPr>
                <w:sz w:val="1"/>
                <w:szCs w:val="1"/>
                <w:color w:val="auto"/>
              </w:rPr>
            </w:pPr>
          </w:p>
        </w:tc>
      </w:tr>
      <w:tr>
        <w:trPr>
          <w:trHeight w:val="33"/>
        </w:trPr>
        <w:tc>
          <w:tcPr>
            <w:tcW w:w="35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Balances, December 31, 2015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124,168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209,766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(9,741)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304,918</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ectPr>
          <w:pgSz w:w="11900" w:h="16838" w:orient="portrait"/>
          <w:cols w:equalWidth="0" w:num="1">
            <w:col w:w="11420"/>
          </w:cols>
          <w:pgMar w:left="240" w:top="34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Accounting Policies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condensed consolidated financial statements include the accounts of Matrix Service Company (“Matrix”, “we”, “our”, “us”, “its” or the “Company”) and its subsidiaries, unless otherwise indicated. Intercompany balances and transactions have been eliminated in consolidation.</w:t>
      </w:r>
    </w:p>
    <w:p>
      <w:pPr>
        <w:spacing w:after="0" w:line="11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Rule 10-01 of Regulation S-X for interim financial statements required to be filed with the Securities and Exchange Commission and do not include all information and footnotes required by generally accepted accounting principles for complete financial statements. The information furnished reflects all adjustments, consisting of normal recurring adjustments, that are, in the opinion of management, necessary for a fair statement of the results of operations, cash flows and financial position for the interim periods presented. The accompanying condensed financial statements should be read in conjunction with the audited financial statements for the year ended June 30, 2016, included in the Company’s Annual Report on Form 10-K for the year then ended. The results of operations for the six month period ended December 31, 2016 may not necessarily be indicative of the results of operations for the full year ending June 30, 2017.</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annual reporting periods beginning after December 15, 2017, with early adoption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w:t>
      </w:r>
    </w:p>
    <w:p>
      <w:pPr>
        <w:sectPr>
          <w:pgSz w:w="11900" w:h="16838" w:orient="portrait"/>
          <w:cols w:equalWidth="0" w:num="1">
            <w:col w:w="11420"/>
          </w:cols>
          <w:pgMar w:left="240" w:top="34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are currently evaluating the ASU's expected impact on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adopted the ASU during its first fiscal quarter ending September 30, 2016. The following is a description of the key provisions of the ASU and their impacts to the Company's financial statements: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Accounting for Income Taxes</w:t>
      </w:r>
      <w:r>
        <w:rPr>
          <w:rFonts w:ascii="Arial" w:cs="Arial" w:eastAsia="Arial" w:hAnsi="Arial"/>
          <w:sz w:val="16"/>
          <w:szCs w:val="16"/>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applied the amendments requiring the recognition of excess tax benefits and tax deficiencies in income prospectively. As a result, the Company recognized $0.1 million and $0.5 million of excess tax benefits in its provision for income taxes during the three and six months ended December 31, 2016, respectively, which increased basic and diluted earnings per share by $0.01 and $0.02, respectively. Under the prior accounting standard, the Company would have recognized the excess tax benefits in equity as additional paid-in capital.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increased net cash provided by operating activities by $3.2 million and decreased net cash provided by financing activities by $3.2 million for the six months ended December 31, 2015. Net cash flows did not change as a result of the retrospective adjustment.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for Forfeitures</w:t>
      </w:r>
      <w:r>
        <w:rPr>
          <w:rFonts w:ascii="Arial" w:cs="Arial" w:eastAsia="Arial" w:hAnsi="Arial"/>
          <w:sz w:val="18"/>
          <w:szCs w:val="18"/>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additional paid-in capital balance by $0.1 million each.</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Statutory Tax Withholding Requirements</w:t>
      </w:r>
      <w:r>
        <w:rPr>
          <w:rFonts w:ascii="Arial" w:cs="Arial" w:eastAsia="Arial" w:hAnsi="Arial"/>
          <w:sz w:val="17"/>
          <w:szCs w:val="17"/>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the ASU during the first quarter of fiscal 2017. Since the Company did not have any awards classified as liabilities due to statutory tax withholding requirements as of December 31, 2016,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Acquisitions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Houston Interests, LLC</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December 12, 2016, the Company completed the acquisition of Houston Interests, LLC ("Houston Interests"), a premier global solutions company that provides consulting, engineering, design, construction services and systems integration. Houston Interests brings expertise to the Company in natural gas processing; sulfur recovery, processing and handling; liquid terminals, silos and other bulk storage; process plant design; power generation environmental controls and material handling; industrial power distribution; electrical, instrumentation and controls; marine structures; material handling systems and terminals for cement, sulfur, fertilizer, coal and grain; and process heaters. The business has been included in our Matrix PDM Engineering, Inc. subsidiary, and its operating results have been allocated between the Oil Gas &amp; Chemical and Industrial segments.</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purchased all of the equity interests of Houston Interests for $39.8 million in cash, net of working capital adjustments and cash acquired. The consideration paid is as follows (in thousands):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paid for equity interest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46,000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paid for working capital</w:t>
            </w:r>
          </w:p>
        </w:tc>
        <w:tc>
          <w:tcPr>
            <w:tcW w:w="7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4,129</w:t>
            </w:r>
          </w:p>
        </w:tc>
      </w:tr>
      <w:tr>
        <w:trPr>
          <w:trHeight w:val="27"/>
        </w:trPr>
        <w:tc>
          <w:tcPr>
            <w:tcW w:w="9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cash acquired</w:t>
            </w:r>
          </w:p>
        </w:tc>
        <w:tc>
          <w:tcPr>
            <w:tcW w:w="7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(10,331)</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7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39,798</w:t>
            </w:r>
          </w:p>
        </w:tc>
      </w:tr>
      <w:tr>
        <w:trPr>
          <w:trHeight w:val="20"/>
        </w:trPr>
        <w:tc>
          <w:tcPr>
            <w:tcW w:w="9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funded the equity interest portion of the consideration paid from borrowings under the Company's senior secured revolving credit facility (See Note 5). The remaining consideration was paid with cash on hand.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net purchase price was allocated to the major categories of assets and liabilities based on their estimated fair value at the acquisition date.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preliminary net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20,803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942</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35,028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10,220</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66,993</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16,674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50,129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10,331</w:t>
            </w:r>
          </w:p>
        </w:tc>
      </w:tr>
      <w:tr>
        <w:trPr>
          <w:trHeight w:val="257"/>
        </w:trPr>
        <w:tc>
          <w:tcPr>
            <w:tcW w:w="9360" w:type="dxa"/>
            <w:vAlign w:val="bottom"/>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39,798</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goodwill recognized from the acquisition is primarily attributable to the technical expertise of the acquired workforce and the complementary nature of Houston Interests' operations, which the Company believes will enable the combined entity to expand its service offerings and enter new markets. All of the goodwill recognized is deductible for income tax purposes. The fair value of the net assets acquired is preliminary pending the final valuation of those assets. As a result, goodwill is also preliminary since it has been recorded as the excess of the purchase price over the estimated fair value of the net assets acquired.</w:t>
      </w:r>
    </w:p>
    <w:p>
      <w:pPr>
        <w:spacing w:after="0" w:line="10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agreed to pay the previous owners up to $2.6 million for any unused portion of acquired warranty obligations outstanding as of June 30, 2017. In addition, the sellers have agreed to reimburse the Company for any warranty costs incurred in connection with the acquired warranties in excess of $2.6 million. All acquired warranties will expire by June 30, 2017. Any amounts paid to or received from the seller will be accounted for as a working capital adjustment, which will be reflected as a change to the net purchase price. None of the acquired warranties have expired as of December 31, 2016.</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incurred $0.4 million of expenses related to closing the acquisition during the three and six months ended December 31, 2016, which were included within selling, general and administrative expenses in the consolidated statements of income. The acquired business contributed revenues of $2.3 million and an operating loss of $0.2 million during the three and six months ended December 31, 2016.</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ectPr>
          <w:pgSz w:w="11900" w:h="16838" w:orient="portrait"/>
          <w:cols w:equalWidth="0" w:num="1">
            <w:col w:w="11420"/>
          </w:cols>
          <w:pgMar w:left="240" w:top="341"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Matrix Service Company and Houston Interests for the three and six months ended December 31, 2016 and 2015, on a pro forma basis, as though the companies had been combined as of July 1, 2015. The pro forma financial information presented in the table below is for informational purposes only and is not indicative of the results of operations that would have been achieved if the acquisition had taken place at July 1, 2015 nor should it be taken as indicative of future consolidated results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3"/>
          </w:tcPr>
          <w:p>
            <w:pPr>
              <w:jc w:val="right"/>
              <w:ind w:right="81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3"/>
          </w:tcPr>
          <w:p>
            <w:pPr>
              <w:jc w:val="right"/>
              <w:ind w:right="934"/>
              <w:spacing w:after="0"/>
              <w:rPr>
                <w:sz w:val="20"/>
                <w:szCs w:val="20"/>
                <w:color w:val="auto"/>
              </w:rPr>
            </w:pPr>
            <w:r>
              <w:rPr>
                <w:rFonts w:ascii="Arial" w:cs="Arial" w:eastAsia="Arial" w:hAnsi="Arial"/>
                <w:sz w:val="14"/>
                <w:szCs w:val="14"/>
                <w:b w:val="1"/>
                <w:bCs w:val="1"/>
                <w:color w:val="auto"/>
              </w:rPr>
              <w:t>Six Months Ended</w:t>
            </w:r>
          </w:p>
        </w:tc>
      </w:tr>
      <w:tr>
        <w:trPr>
          <w:trHeight w:val="250"/>
        </w:trPr>
        <w:tc>
          <w:tcPr>
            <w:tcW w:w="50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December 31, 2016</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5"/>
              </w:rPr>
              <w:t>December 31, 2015</w:t>
            </w: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3"/>
              </w:rPr>
              <w:t>December 31, 2016</w:t>
            </w: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93"/>
              </w:rPr>
              <w:t>December 31, 2015</w:t>
            </w:r>
          </w:p>
        </w:tc>
      </w:tr>
      <w:tr>
        <w:trPr>
          <w:trHeight w:val="243"/>
        </w:trPr>
        <w:tc>
          <w:tcPr>
            <w:tcW w:w="50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jc w:val="right"/>
              <w:ind w:right="136"/>
              <w:spacing w:after="0"/>
              <w:rPr>
                <w:sz w:val="20"/>
                <w:szCs w:val="20"/>
                <w:color w:val="auto"/>
              </w:rPr>
            </w:pPr>
            <w:r>
              <w:rPr>
                <w:rFonts w:ascii="Arial" w:cs="Arial" w:eastAsia="Arial" w:hAnsi="Arial"/>
                <w:sz w:val="18"/>
                <w:szCs w:val="18"/>
                <w:color w:val="auto"/>
                <w:w w:val="91"/>
              </w:rPr>
              <w:t>(In thousands, except per share data)</w:t>
            </w: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329,523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357,975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690,485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712,158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7,884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9,445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18,763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17,928</w:t>
            </w:r>
          </w:p>
        </w:tc>
      </w:tr>
      <w:tr>
        <w:trPr>
          <w:trHeight w:val="27"/>
        </w:trPr>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common share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0.68</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Diluted earnings per common share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0.29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0.70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0.67</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pro forma financial information presented in the table above includes the following adjustments to the combined entities' historical financial statements:</w:t>
      </w:r>
    </w:p>
    <w:p>
      <w:pPr>
        <w:spacing w:after="0" w:line="194" w:lineRule="exact"/>
        <w:rPr>
          <w:sz w:val="20"/>
          <w:szCs w:val="20"/>
          <w:color w:val="auto"/>
        </w:rPr>
      </w:pPr>
    </w:p>
    <w:p>
      <w:pPr>
        <w:jc w:val="both"/>
        <w:ind w:left="660" w:hanging="328"/>
        <w:spacing w:after="0" w:line="27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combined entities recorded approximately $3.0 million of acquisition and integration expenses during the three and six months ended December 31, 2016, which were transferred in the pro forma earnings to the six months ended December 31, 2015 in order to report them as if they were incurred on July 1, 2015. Pro forma earnings were adjusted to include integration expenses that would have been recognized had the acquisition occurred on July 1, 2015 of $0.4 million and $0.8 million during the three and six months ended December 31, 2016, respectively, and $0.3 million and $0.5 million during the three and six months ended December 31, 2015, respectively.</w:t>
      </w:r>
    </w:p>
    <w:p>
      <w:pPr>
        <w:spacing w:after="0" w:line="118"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Interest expense for the combined entities was increased by $0.3 million and $0.7 million during each of the three and six months ended December 31, 2016 and 2015, respectively. The increase was attributable to the assumption that the Company's borrowings of $46.0 million used to fund a portion of the net purchase price had been outstanding as of July 1, 2015. This increase was partially offset by the assumption that Houston Interests' former debt was extinguished as of July 1, 2015.</w:t>
      </w:r>
    </w:p>
    <w:p>
      <w:pPr>
        <w:spacing w:after="0" w:line="132"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Depreciation and intangible asset amortization expense for the combined entities was reduced by $0.2 million and $0.3 million during the three and six months ended December 31, 2016, respectively, and was increased by $0.5 million and $0.9 million during the three and six months ended December 31, 2015, respectively. These adjustments are primarily due to the recognition of amortizable intangible assets as part of the acquisition and the effect of fair value adjustments to acquired property, plant and equipment.</w:t>
      </w:r>
    </w:p>
    <w:p>
      <w:pPr>
        <w:spacing w:after="0" w:line="132"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 forma earnings were adjusted to include additional income tax expense of $1.9 million and $3.3 million during the three and six months ended December 31, 2016, respectively, and $2.5 million and $2.1 million during the three and six months ended December 31, 2015, respectively. Houston Interests was previously an exempt entity and income taxes were not assessed in its historical financial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of Baillie Tank Equipment, Ltd.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 2016, the Company completed the acquisition of all outstanding stock of Baillie Tank Equipment, Ltd. (“BTE”), an internationally-based company with nearly 20 years of experience in the design and manufacture of products for use on aboveground storage tanks. Founded in 1998, BTE is a provider of tank products including geodesic domes, aluminum internal floating roofs, floating suction and skimmer systems, roof drain systems, and seals. BTE is headquartered in Sydney, Australia with a manufacturing facility in Seoul, South Korea. The Company acquired BTE to expand its service offerings of certain technical solutions for aboveground storage tanks. The business is now known as Matrix Applied Technologies, and its operating results are included in the Storage Solutions segment.</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purchased BTE with cash on-hand for a net purchase price of $13.0 million. The Company paid $15.4 million when including the subsequent repayment of long-term debt acquired and the settlement of certain other liabilities acquired, and excluding the cash acquired and certain amounts owed to the former owners for working capital adjustments. The net purchase price was allocated to the major categories of assets and liabilities based on their estimated fair value at the acquisition date.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ectPr>
          <w:pgSz w:w="11900" w:h="16838" w:orient="portrait"/>
          <w:cols w:equalWidth="0" w:num="1">
            <w:col w:w="11420"/>
          </w:cols>
          <w:pgMar w:left="240" w:top="34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60" w:type="dxa"/>
            <w:vAlign w:val="bottom"/>
          </w:tcPr>
          <w:p>
            <w:pPr>
              <w:spacing w:after="0"/>
              <w:rPr>
                <w:sz w:val="20"/>
                <w:szCs w:val="20"/>
                <w:color w:val="auto"/>
              </w:rPr>
            </w:pPr>
            <w:r>
              <w:rPr>
                <w:rFonts w:ascii="Arial" w:cs="Arial" w:eastAsia="Arial" w:hAnsi="Arial"/>
                <w:sz w:val="18"/>
                <w:szCs w:val="18"/>
                <w:color w:val="auto"/>
              </w:rPr>
              <w:t>The following table summarizes the final purchase price allocation (in thousands):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135"/>
        </w:trPr>
        <w:tc>
          <w:tcPr>
            <w:tcW w:w="9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tcPr>
          <w:p>
            <w:pPr>
              <w:spacing w:after="0"/>
              <w:rPr>
                <w:sz w:val="11"/>
                <w:szCs w:val="11"/>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5,574</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4,347</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7,030</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intangible assets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720</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8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37"/>
        </w:trPr>
        <w:tc>
          <w:tcPr>
            <w:tcW w:w="9360" w:type="dxa"/>
            <w:vAlign w:val="bottom"/>
          </w:tcPr>
          <w:p>
            <w:pPr>
              <w:ind w:left="40"/>
              <w:spacing w:after="0"/>
              <w:rPr>
                <w:sz w:val="20"/>
                <w:szCs w:val="20"/>
                <w:color w:val="auto"/>
              </w:rPr>
            </w:pPr>
            <w:r>
              <w:rPr>
                <w:rFonts w:ascii="Arial" w:cs="Arial" w:eastAsia="Arial" w:hAnsi="Arial"/>
                <w:sz w:val="18"/>
                <w:szCs w:val="18"/>
                <w:color w:val="auto"/>
              </w:rPr>
              <w:t>Total assets acquired</w:t>
            </w:r>
          </w:p>
        </w:tc>
        <w:tc>
          <w:tcPr>
            <w:tcW w:w="8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17,904</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1,669</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329</w:t>
            </w:r>
          </w:p>
        </w:tc>
      </w:tr>
      <w:tr>
        <w:trPr>
          <w:trHeight w:val="27"/>
        </w:trPr>
        <w:tc>
          <w:tcPr>
            <w:tcW w:w="9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1,858</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407</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assets acquired</w:t>
            </w:r>
          </w:p>
        </w:tc>
        <w:tc>
          <w:tcPr>
            <w:tcW w:w="8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13,641</w:t>
            </w:r>
          </w:p>
        </w:tc>
      </w:tr>
      <w:tr>
        <w:trPr>
          <w:trHeight w:val="243"/>
        </w:trPr>
        <w:tc>
          <w:tcPr>
            <w:tcW w:w="9360" w:type="dxa"/>
            <w:vAlign w:val="bottom"/>
          </w:tcPr>
          <w:p>
            <w:pPr>
              <w:ind w:left="40"/>
              <w:spacing w:after="0"/>
              <w:rPr>
                <w:sz w:val="20"/>
                <w:szCs w:val="20"/>
                <w:color w:val="auto"/>
              </w:rPr>
            </w:pPr>
            <w:r>
              <w:rPr>
                <w:rFonts w:ascii="Arial" w:cs="Arial" w:eastAsia="Arial" w:hAnsi="Arial"/>
                <w:sz w:val="18"/>
                <w:szCs w:val="18"/>
                <w:color w:val="auto"/>
              </w:rPr>
              <w:t>Cash acquired</w:t>
            </w:r>
          </w:p>
        </w:tc>
        <w:tc>
          <w:tcPr>
            <w:tcW w:w="8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592</w:t>
            </w:r>
          </w:p>
        </w:tc>
      </w:tr>
      <w:tr>
        <w:trPr>
          <w:trHeight w:val="27"/>
        </w:trPr>
        <w:tc>
          <w:tcPr>
            <w:tcW w:w="9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9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purchase price</w:t>
            </w:r>
          </w:p>
        </w:tc>
        <w:tc>
          <w:tcPr>
            <w:tcW w:w="80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13,049</w:t>
            </w:r>
          </w:p>
        </w:tc>
      </w:tr>
      <w:tr>
        <w:trPr>
          <w:trHeight w:val="20"/>
        </w:trPr>
        <w:tc>
          <w:tcPr>
            <w:tcW w:w="9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goodwill recognized from the acquisition is attributable to the synergies of combining our operations and the technical expertise of the acquired workforce. None of the goodwill recognized is deductible for income tax purposes.</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incurred $0.8 million of expenses related to the acquisition during fiscal 2016, which were included within selling, general and administrative expenses in the consolidated statements of income. The acquired business contributed revenues of $1.8 million and $2.8 million during the three and six months ended December 31, 2016, respectively, and contributed operating income of $0.7 million and $0.3 million during the three and six months ended December 31, 2016.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Uncompleted Contracts</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Contract terms of the Company’s construction contracts generally provide for progress billings based on project milestones. The excess of costs incurred and estimated earnings over amounts billed on uncompleted contracts is reported as a current asset. The excess of amounts billed over costs incurred and estimated earnings recognized on uncompleted contracts is reported as a current liability. Gross and net amounts on uncompleted contracts are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Pr>
          <w:p>
            <w:pPr>
              <w:spacing w:after="0"/>
              <w:rPr>
                <w:sz w:val="14"/>
                <w:szCs w:val="14"/>
                <w:color w:val="auto"/>
              </w:rPr>
            </w:pPr>
          </w:p>
        </w:tc>
        <w:tc>
          <w:tcPr>
            <w:tcW w:w="980" w:type="dxa"/>
            <w:vAlign w:val="bottom"/>
          </w:tcPr>
          <w:p>
            <w:pPr>
              <w:jc w:val="right"/>
              <w:ind w:right="354"/>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196"/>
        </w:trPr>
        <w:tc>
          <w:tcPr>
            <w:tcW w:w="8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incurred and estimated earnings recognized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1,983,345</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1,875,014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1,977,907</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1,829,340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Shown in balance sheet as: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5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 and estimated earnings in excess of billings on uncompleted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80,296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Billings on uncompleted contracts in excess of costs and estimated earnings</w:t>
            </w: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74,858</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58,327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5,438</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45,674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Progress billings in accounts receivable at December 31, 2016 and June 30, 2016 included retentions to be collected within one year of $51.4 million and $29.7 million, respectively. Contract retentions collectible beyond one year are included in other assets in the condensed consolidated balance sheet and totaled $0.3 million as of June 30, 2016. There were no retentions collectible beyond one year as of December 31, 2016.</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w:t>
      </w:r>
    </w:p>
    <w:p>
      <w:pPr>
        <w:sectPr>
          <w:pgSz w:w="11900" w:h="16838" w:orient="portrait"/>
          <w:cols w:equalWidth="0" w:num="1">
            <w:col w:w="11420"/>
          </w:cols>
          <w:pgMar w:left="240" w:top="34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percentage of completion accounting for fixed-priced contracts, contract revenues and earnings are recognized ratably over the contract term based on the proportion of actual costs incurred to total estimated costs. As of December 31, 2016, the Company is performing work on two previously announced significant multi-year projects that are contracted on a fixed price basis. The first project is expected to complete in fiscal 2017 and revenue will continue to decline as this project nears completion. The second project is expected to be completed in fiscal 2018.</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the project that is expected to be completed in fiscal 2018, the Company executed a change order in the second quarter that settled the claims outstanding on the effective date of the change order, updated the project schedule, and increased the contract value to allow for the recovery of increased costs. The settlement resulted in a second quarter reduction in earnings related to adjusting the gross profit margin and the percent complete on the project due to the increased project size. In addition, the change order contained provisions that require the achievement of defined schedule milestones to earn a portion of the additional contract value. At December 31, 2016, the Company’s schedule assessment indicates that it is probable that these schedule milestones will be achieved. Although this change order reduced the financial risk inherent in this project, it is possible that future changes in contract estimates, including those related to project costs, project timeline, and future change orders or claims, could occur and have a material positive or negative impact to our results of operations and financial position in subsequent accounting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Intangible Assets Including Goodwill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value of goodwill by segment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6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42,170</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16,681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78,293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Purchase of Houston Interests (Note 2)</w:t>
            </w:r>
          </w:p>
        </w:tc>
        <w:tc>
          <w:tcPr>
            <w:tcW w:w="14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28,723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6,305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35,028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price adjustment for BTE (Note 2)</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Translation adjustment (1)</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41,943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42,731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16,648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11,697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113,019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40" w:right="220" w:hanging="316"/>
        <w:spacing w:after="0" w:line="308" w:lineRule="auto"/>
        <w:tabs>
          <w:tab w:leader="none" w:pos="54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translation adjustments relate to the periodic translation of Canadian Dollar and South Korean Won denominated goodwill recorded as a part of prior acquisitions in Canada and South Korea, in which the local currency was determined to be the functional currency.</w:t>
      </w:r>
    </w:p>
    <w:p>
      <w:pPr>
        <w:spacing w:after="0" w:line="17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performed its annual goodwill impairment test as of May 31, 2016, which did not indicate the existence of any impairment at that time. While the operating results for the Oil Gas &amp; Chemical and Industrial segments indicated a loss for the three and six months ended December 31, 2016, the Company does not consider these results to be a triggering event requiring the performance of an interim goodwill impairment test since the fundamentals of the industries driving these segments has not significantly deteriorated since the annual test was performed. The Company continues to consider these segments as core to its business and believes current operating results are not indicative of future performance. The Company will continue to monitor its operating results for indicators of impairment and perform additional tests as necessary.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Information on the carrying value of other intangible assets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3"/>
              </w:rPr>
              <w:t>At December 31, 2016</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1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38,057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27,143</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1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43,884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(14,533)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29,351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5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At June 30, 2016</w:t>
            </w: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120" w:type="dxa"/>
            <w:vAlign w:val="bottom"/>
            <w:vMerge w:val="restart"/>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4"/>
              </w:rPr>
              <w:t>Gross Carrying</w:t>
            </w:r>
          </w:p>
        </w:tc>
        <w:tc>
          <w:tcPr>
            <w:tcW w:w="180" w:type="dxa"/>
            <w:vAlign w:val="bottom"/>
          </w:tcPr>
          <w:p>
            <w:pPr>
              <w:spacing w:after="0"/>
              <w:rPr>
                <w:sz w:val="13"/>
                <w:szCs w:val="13"/>
                <w:color w:val="auto"/>
              </w:rPr>
            </w:pPr>
          </w:p>
        </w:tc>
        <w:tc>
          <w:tcPr>
            <w:tcW w:w="14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3"/>
                <w:szCs w:val="13"/>
                <w:color w:val="auto"/>
              </w:rPr>
            </w:pPr>
          </w:p>
        </w:tc>
        <w:tc>
          <w:tcPr>
            <w:tcW w:w="126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7"/>
              </w:rPr>
              <w:t>Net Carrying</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160" w:type="dxa"/>
            <w:vAlign w:val="bottom"/>
          </w:tcPr>
          <w:p>
            <w:pPr>
              <w:spacing w:after="0"/>
              <w:rPr>
                <w:sz w:val="21"/>
                <w:szCs w:val="21"/>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4"/>
                <w:szCs w:val="14"/>
                <w:color w:val="auto"/>
                <w:w w:val="91"/>
              </w:rPr>
              <w:t>(Years)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4"/>
                <w:szCs w:val="14"/>
                <w:color w:val="auto"/>
                <w:w w:val="91"/>
              </w:rPr>
              <w:t>(In thousands)</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Intellectual property</w:t>
            </w:r>
          </w:p>
        </w:tc>
        <w:tc>
          <w:tcPr>
            <w:tcW w:w="160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0"/>
              </w:rPr>
              <w:t>9 to 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Customer-based</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1.5 to 15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28,179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18,524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Non-compete agreements</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4 to 5</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to 5</w:t>
            </w: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1,615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amortizing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33,826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20,999</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increase in the gross carrying amount of other intangible assets at December 31, 2016 compared to June 30, 2016 is primarily due to the December 12, 2016 acquisition of Houston Interests (See Note 2). The specifically identifiable intangible assets recognized in the Houston Interests acquisition consist of:</w:t>
      </w:r>
    </w:p>
    <w:p>
      <w:pPr>
        <w:spacing w:after="0" w:line="7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customer-based intangibles with a fair value of $10.0 million and useful life of between 1 and 9 years;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trade name with a fair value of $0.2 million and useful life of 1 year.</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expense totaled $1.0 million and $1.8 million during the three and six months ended December 31, 2016, respectively, and $0.8 million and $1.6 million during the three and six months ended December 31, 2015, respectively. The Company recognized $0.1 million of amortization expense during the three and six months ended December 31, 2016 for intangible assets recorded as part of the Houston Interests acquisition.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We estimate that the remaining amortization expense at December 31, 2016 will be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Period ending:</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40" w:type="dxa"/>
            <w:vAlign w:val="bottom"/>
          </w:tcPr>
          <w:p>
            <w:pPr>
              <w:ind w:left="40"/>
              <w:spacing w:after="0"/>
              <w:rPr>
                <w:sz w:val="20"/>
                <w:szCs w:val="20"/>
                <w:color w:val="auto"/>
              </w:rPr>
            </w:pPr>
            <w:r>
              <w:rPr>
                <w:rFonts w:ascii="Arial" w:cs="Arial" w:eastAsia="Arial" w:hAnsi="Arial"/>
                <w:sz w:val="18"/>
                <w:szCs w:val="18"/>
                <w:color w:val="auto"/>
              </w:rPr>
              <w:t>Remainder of Fiscal 2017</w:t>
            </w:r>
          </w:p>
        </w:tc>
        <w:tc>
          <w:tcPr>
            <w:tcW w:w="48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2018</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4,757</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2019</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3,482</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2020</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3,472</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Fiscal 2021</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3,454</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41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Fiscal 2022</w:t>
            </w:r>
          </w:p>
        </w:tc>
        <w:tc>
          <w:tcPr>
            <w:tcW w:w="4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2,615</w:t>
            </w:r>
          </w:p>
        </w:tc>
        <w:tc>
          <w:tcPr>
            <w:tcW w:w="0" w:type="dxa"/>
            <w:vAlign w:val="bottom"/>
          </w:tcPr>
          <w:p>
            <w:pPr>
              <w:spacing w:after="0"/>
              <w:rPr>
                <w:sz w:val="1"/>
                <w:szCs w:val="1"/>
                <w:color w:val="auto"/>
              </w:rPr>
            </w:pPr>
          </w:p>
        </w:tc>
      </w:tr>
      <w:tr>
        <w:trPr>
          <w:trHeight w:val="243"/>
        </w:trPr>
        <w:tc>
          <w:tcPr>
            <w:tcW w:w="53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4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8,471</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414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3"/>
              </w:rPr>
              <w:t>Total estimated remaining amortization expense at December 31, 2016</w:t>
            </w:r>
          </w:p>
        </w:tc>
        <w:tc>
          <w:tcPr>
            <w:tcW w:w="48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29,351</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4140" w:type="dxa"/>
            <w:vAlign w:val="bottom"/>
            <w:tcBorders>
              <w:top w:val="single" w:sz="8" w:color="CCEEFF"/>
              <w:bottom w:val="single" w:sz="8" w:color="CCEEFF"/>
            </w:tcBorders>
            <w:vMerge w:val="restart"/>
          </w:tcPr>
          <w:p>
            <w:pPr>
              <w:jc w:val="right"/>
              <w:ind w:right="3510"/>
              <w:spacing w:after="0"/>
              <w:rPr>
                <w:sz w:val="20"/>
                <w:szCs w:val="20"/>
                <w:color w:val="auto"/>
              </w:rPr>
            </w:pPr>
            <w:r>
              <w:rPr>
                <w:rFonts w:ascii="Arial" w:cs="Arial" w:eastAsia="Arial" w:hAnsi="Arial"/>
                <w:sz w:val="18"/>
                <w:szCs w:val="18"/>
                <w:color w:val="auto"/>
              </w:rPr>
              <w:t>- 15-</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340" w:type="dxa"/>
            <w:vAlign w:val="bottom"/>
          </w:tcPr>
          <w:p>
            <w:pPr>
              <w:spacing w:after="0"/>
              <w:rPr>
                <w:sz w:val="24"/>
                <w:szCs w:val="24"/>
                <w:color w:val="auto"/>
              </w:rPr>
            </w:pPr>
          </w:p>
        </w:tc>
        <w:tc>
          <w:tcPr>
            <w:tcW w:w="41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Debt</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On December 12, 2016, the Company amended its credit agreement, under which it has a senior secured revolving credit facility (the "Credit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amendments are as follows:</w:t>
      </w:r>
    </w:p>
    <w:p>
      <w:pPr>
        <w:spacing w:after="0" w:line="157" w:lineRule="exact"/>
        <w:rPr>
          <w:sz w:val="20"/>
          <w:szCs w:val="20"/>
          <w:color w:val="auto"/>
        </w:rPr>
      </w:pPr>
    </w:p>
    <w:p>
      <w:pPr>
        <w:ind w:left="1300" w:hanging="482"/>
        <w:spacing w:after="0"/>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aggregate revolving loan capacity increased from $200.0 million to $250.0 million.</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maximum aggregate amount, or sublimit, for Canadian Dollar loans was increased from U.S. $40.0 million to U.S. $50.0 million.</w:t>
      </w:r>
    </w:p>
    <w:p>
      <w:pPr>
        <w:spacing w:after="0" w:line="182" w:lineRule="exact"/>
        <w:rPr>
          <w:rFonts w:ascii="Arial" w:cs="Arial" w:eastAsia="Arial" w:hAnsi="Arial"/>
          <w:sz w:val="17"/>
          <w:szCs w:val="17"/>
          <w:color w:val="auto"/>
        </w:rPr>
      </w:pPr>
    </w:p>
    <w:p>
      <w:pPr>
        <w:ind w:left="1300" w:hanging="482"/>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any "Acquisition Adjustment Period", as defined in the amended credit agreement, the Company's Senior Leverage Ratio, as defined in the amended credit agreement, may not exceed 3.00 to 1.00. At all other times, the Senior Leverage Ratio may not exceed 2.50 to 1.00.</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includes a Senior Leverage Ratio covenant - which provides that Consolidated Funded Indebtedness, as of the end of any fiscal quarter, may not exceed 3.0 times Consolidated EBITDA, as defined in the Credit Agreement, during any Acquisition Adjustment Period and may not exceed 2.5 times Consolidated EBITDA at all other times, over the previous four quarters. For the four quarters ended December 31, 2016, Consolidated EBITDA was $84.0 million. Consolidated Funded Indebtedness at December 31, 2016 was $80.0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revolving credit facility at December 31, 2016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20,138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72,412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162,210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159,107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Outstanding borrowings at December 31, 2016 under our Credit Agreement were primarily used to fund the acquisition of Houston Interests (See Note 2) and working capital needs in our Canadian business due to the timing of collections and disbursements on the previously announced power generating project.</w:t>
      </w:r>
    </w:p>
    <w:p>
      <w:pPr>
        <w:spacing w:after="0" w:line="70" w:lineRule="exact"/>
        <w:rPr>
          <w:sz w:val="20"/>
          <w:szCs w:val="20"/>
          <w:color w:val="auto"/>
        </w:rPr>
      </w:pPr>
    </w:p>
    <w:p>
      <w:pPr>
        <w:ind w:right="1300"/>
        <w:spacing w:after="0" w:line="438" w:lineRule="auto"/>
        <w:rPr>
          <w:sz w:val="20"/>
          <w:szCs w:val="20"/>
          <w:color w:val="auto"/>
        </w:rPr>
      </w:pPr>
      <w:r>
        <w:rPr>
          <w:rFonts w:ascii="Arial" w:cs="Arial" w:eastAsia="Arial" w:hAnsi="Arial"/>
          <w:sz w:val="18"/>
          <w:szCs w:val="18"/>
          <w:color w:val="auto"/>
        </w:rPr>
        <w:t xml:space="preserve">At December 31, 2016, the Company was in compliance with all affirmative, negative, and financial covenants under the Credit Agreement. </w:t>
      </w:r>
      <w:r>
        <w:rPr>
          <w:rFonts w:ascii="Arial" w:cs="Arial" w:eastAsia="Arial" w:hAnsi="Arial"/>
          <w:sz w:val="18"/>
          <w:szCs w:val="18"/>
          <w:i w:val="1"/>
          <w:iCs w:val="1"/>
          <w:color w:val="auto"/>
        </w:rPr>
        <w:t>Subsequent Event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2017, the Company entered into the Fourth Amended and Restated Credit Agreement (the "New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Third Amended and Restated Credit Agreement dated as of November 7, 2011, as previously amended (the "Prior Credit Agreement").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color w:val="auto"/>
        </w:rPr>
        <w:t>The New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300" w:hanging="482"/>
        <w:spacing w:after="0" w:line="277"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with the Prior Credit Agreement, 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80" w:hanging="482"/>
        <w:spacing w:after="0" w:line="264"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100% of the net cash proceeds therefrom are reinvested into the Company and dispositions of inventory and obsolete or unneeded equipment in the ordinary course of business) are limited to $20.0 million per 12-month period.</w:t>
      </w:r>
    </w:p>
    <w:p>
      <w:pPr>
        <w:spacing w:after="0" w:line="12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new credit facility will include a sub-facility for revolving loans denominated in Australian Dollars, Canadian Dollars, Euros and Pounds Sterling in an aggregate amount not to exceed the U.S. Dollar equivalent of $75.0 million and a $200.0 million sublimit for letters of credit. Each revolving borrowing under the New Credit Agreement will bear interest at a rate per annum equal to:</w:t>
      </w:r>
    </w:p>
    <w:p>
      <w:pPr>
        <w:spacing w:after="0" w:line="127" w:lineRule="exact"/>
        <w:rPr>
          <w:sz w:val="20"/>
          <w:szCs w:val="20"/>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0.45% based on the Leverage Ratio.</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Income Taxes</w:t>
      </w:r>
    </w:p>
    <w:p>
      <w:pPr>
        <w:spacing w:after="0" w:line="17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use the asset and liability approach for financial accounting and reporting for income taxes. Deferred income tax assets and liabilities are computed annually for differences between the financial statement and tax bases of assets and liabilities that will result in taxable or deductible amounts in the future based on enacted tax laws and rates applicable to the periods in which the differences are expected to affect taxable income. Valuation allowances based on our judgments and estimates are established when necessary to reduce deferred tax assets to the amount expected to be realized in future operating results. Company management believes that realization of deferred tax assets in excess of the valuation allowance is more likely than not. Our estimates are based on facts and circumstances in existence as well as interpretations of existing tax regulations and laws applied to the facts and circumstances.</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provides for income taxes regardless of whether it has received a tax assessment. Taxes are provided when it is considered probable that additional taxes will be due in excess of amounts included in the tax return. The Company regularly reviews exposure to additional income taxes due, and as further information is known or events occur, adjustments may be recorded.</w:t>
      </w:r>
    </w:p>
    <w:p>
      <w:pPr>
        <w:spacing w:after="0" w:line="12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effective tax rate for the three and six months ended December 31, 2016 was 32.8% and 33.3%, respectively, compared to 32.1% and 33.8% in the same periods a year earlier. The Company recorded discrete benefits of $0.3 million and $0.5 million during the three and six months ended December 31, 2016, respectively, and recorded $0.9 million and $1.4 million of discrete benefits during the three and six months ended December 31, 2015, respectively. The fiscal 2017 discrete benefits primarily relate to the application of ASU 2016-09 (See Note 1) and the fiscal 2016 tax rate was positively impacted by a discrete item related to the retroactive application of the R&amp;D tax credit and a foreign currency item related to our Canadian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Contingencies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Reserves</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maintains insurance coverage for various aspects of its operations. However, exposure to potential losses is retained through the use of deductibles, self-insured retentions and coverage limits.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Typically our contracts require us to indemnify our customers for injury, damage or loss arising from the performance of our services and provide warranties for materials and workmanship. The Company may also be required to name the customer as an additional insured up to the limits of insurance available, or we may be required to purchase special insurance policies or surety bonds for specific customers or provide letters of credit in lieu of bonds to satisfy performance and financial guarantees on some projects. Matrix maintains a performance and payment bonding line sufficient to support the business. The Company generally requires its subcontractors to indemnify the Company and the Company’s customer and name the Company as an additional insured for activities arising out of the subcontractors’ work. We also require certain subcontractors to provide additional insurance policies, including surety bonds in favor of the Company, to secure the subcontractors’ work or as required by the subcontract.</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can be no assurance that our insurance and the additional insurance coverage provided by our subcontractors will fully protect us against a valid claim or loss under the contracts with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Unapproved Change Orders and Claims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$14.4 million at December 31, 2016 and $10.3 million at June 30, 2016. Generally, collection of amounts related to unapproved change orders and claims is expected within twelve months. However, since customers may not pay these amounts until final resolution of related claims, collection of these amounts may extend beyond one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and its subsidiaries are participants in various legal actions. It is the opinion of management that none of the known legal actions will have a material impact on the Company’s financial position,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Earnings per Common Share</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earnings per share (“Basic EPS”) is calculated based on the weighted average shares outstanding during the period. Diluted earnings per share (“Diluted EPS”) includes the dilutive effect of stock options and nonvested deferred shares.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computation of basic and diluted earnings per share is as follows:</w:t>
      </w:r>
    </w:p>
    <w:p>
      <w:pPr>
        <w:spacing w:after="0" w:line="230"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5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5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r>
      <w:tr>
        <w:trPr>
          <w:trHeight w:val="181"/>
        </w:trPr>
        <w:tc>
          <w:tcPr>
            <w:tcW w:w="5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60" w:type="dxa"/>
            <w:vAlign w:val="bottom"/>
            <w:gridSpan w:val="5"/>
          </w:tcPr>
          <w:p>
            <w:pPr>
              <w:ind w:left="320"/>
              <w:spacing w:after="0"/>
              <w:rPr>
                <w:sz w:val="20"/>
                <w:szCs w:val="20"/>
                <w:color w:val="auto"/>
              </w:rPr>
            </w:pPr>
            <w:r>
              <w:rPr>
                <w:rFonts w:ascii="Arial" w:cs="Arial" w:eastAsia="Arial" w:hAnsi="Arial"/>
                <w:sz w:val="13"/>
                <w:szCs w:val="13"/>
                <w:color w:val="auto"/>
              </w:rPr>
              <w:t>(In thousands, except per share data)</w:t>
            </w: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58"/>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EPS: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r>
      <w:tr>
        <w:trPr>
          <w:trHeight w:val="304"/>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attributable to Matrix Service Company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5,250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5,431</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14,592</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15,372</w:t>
            </w:r>
          </w:p>
        </w:tc>
      </w:tr>
      <w:tr>
        <w:trPr>
          <w:trHeight w:val="251"/>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shares outstanding</w:t>
            </w:r>
          </w:p>
        </w:tc>
        <w:tc>
          <w:tcPr>
            <w:tcW w:w="1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26,553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26,470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26,598</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91"/>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0.20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0.20</w:t>
            </w: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0.58</w:t>
            </w:r>
          </w:p>
        </w:tc>
      </w:tr>
      <w:tr>
        <w:trPr>
          <w:trHeight w:val="23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EPS:</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26,553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26,721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26,470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26,598</w:t>
            </w:r>
          </w:p>
        </w:tc>
      </w:tr>
      <w:tr>
        <w:trPr>
          <w:trHeight w:val="27"/>
        </w:trPr>
        <w:tc>
          <w:tcPr>
            <w:tcW w:w="5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stock options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81</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Dilutive nonvested deferred shares</w:t>
            </w:r>
          </w:p>
        </w:tc>
        <w:tc>
          <w:tcPr>
            <w:tcW w:w="180" w:type="dxa"/>
            <w:vAlign w:val="bottom"/>
          </w:tcPr>
          <w:p>
            <w:pPr>
              <w:spacing w:after="0"/>
              <w:rPr>
                <w:sz w:val="21"/>
                <w:szCs w:val="21"/>
                <w:color w:val="auto"/>
              </w:rPr>
            </w:pPr>
          </w:p>
        </w:tc>
        <w:tc>
          <w:tcPr>
            <w:tcW w:w="1200" w:type="dxa"/>
            <w:vAlign w:val="bottom"/>
          </w:tcPr>
          <w:p>
            <w:pPr>
              <w:jc w:val="right"/>
              <w:ind w:right="35"/>
              <w:spacing w:after="0"/>
              <w:rPr>
                <w:sz w:val="20"/>
                <w:szCs w:val="20"/>
                <w:color w:val="auto"/>
              </w:rPr>
            </w:pPr>
            <w:r>
              <w:rPr>
                <w:rFonts w:ascii="Arial" w:cs="Arial" w:eastAsia="Arial" w:hAnsi="Arial"/>
                <w:sz w:val="18"/>
                <w:szCs w:val="18"/>
                <w:color w:val="auto"/>
              </w:rPr>
              <w:t>224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5"/>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550</w:t>
            </w:r>
          </w:p>
        </w:tc>
      </w:tr>
      <w:tr>
        <w:trPr>
          <w:trHeight w:val="27"/>
        </w:trPr>
        <w:tc>
          <w:tcPr>
            <w:tcW w:w="56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weighted average shares</w:t>
            </w:r>
          </w:p>
        </w:tc>
        <w:tc>
          <w:tcPr>
            <w:tcW w:w="180" w:type="dxa"/>
            <w:vAlign w:val="bottom"/>
            <w:tcBorders>
              <w:bottom w:val="single" w:sz="8" w:color="auto"/>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26,832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27,248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26,842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27,229</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51"/>
        </w:trPr>
        <w:tc>
          <w:tcPr>
            <w:tcW w:w="560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0.20</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0.54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0.56</w:t>
            </w:r>
          </w:p>
        </w:tc>
      </w:tr>
      <w:tr>
        <w:trPr>
          <w:trHeight w:val="20"/>
        </w:trPr>
        <w:tc>
          <w:tcPr>
            <w:tcW w:w="5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securities are considered antidilutive and have been excluded from the calculation of Diluted EPS: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860" w:type="dxa"/>
            <w:vAlign w:val="bottom"/>
            <w:tcBorders>
              <w:bottom w:val="single" w:sz="8" w:color="auto"/>
            </w:tcBorders>
            <w:gridSpan w:val="2"/>
          </w:tcPr>
          <w:p>
            <w:pPr>
              <w:jc w:val="right"/>
              <w:ind w:right="684"/>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800" w:type="dxa"/>
            <w:vAlign w:val="bottom"/>
            <w:tcBorders>
              <w:bottom w:val="single" w:sz="8" w:color="auto"/>
            </w:tcBorders>
            <w:gridSpan w:val="2"/>
          </w:tcPr>
          <w:p>
            <w:pPr>
              <w:jc w:val="right"/>
              <w:ind w:right="742"/>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37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500" w:type="dxa"/>
            <w:vAlign w:val="bottom"/>
          </w:tcPr>
          <w:p>
            <w:pPr>
              <w:jc w:val="center"/>
              <w:ind w:right="108"/>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500" w:type="dxa"/>
            <w:vAlign w:val="bottom"/>
            <w:gridSpan w:val="2"/>
          </w:tcPr>
          <w:p>
            <w:pPr>
              <w:jc w:val="center"/>
              <w:ind w:right="18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460" w:type="dxa"/>
            <w:vAlign w:val="bottom"/>
          </w:tcPr>
          <w:p>
            <w:pPr>
              <w:jc w:val="center"/>
              <w:ind w:right="84"/>
              <w:spacing w:after="0" w:line="153" w:lineRule="exact"/>
              <w:rPr>
                <w:sz w:val="20"/>
                <w:szCs w:val="20"/>
                <w:color w:val="auto"/>
              </w:rPr>
            </w:pPr>
            <w:r>
              <w:rPr>
                <w:rFonts w:ascii="Arial" w:cs="Arial" w:eastAsia="Arial" w:hAnsi="Arial"/>
                <w:sz w:val="14"/>
                <w:szCs w:val="14"/>
                <w:b w:val="1"/>
                <w:bCs w:val="1"/>
                <w:color w:val="auto"/>
                <w:w w:val="90"/>
              </w:rPr>
              <w:t>December 31,</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December 31,</w:t>
            </w:r>
          </w:p>
        </w:tc>
      </w:tr>
      <w:tr>
        <w:trPr>
          <w:trHeight w:val="192"/>
        </w:trPr>
        <w:tc>
          <w:tcPr>
            <w:tcW w:w="3740" w:type="dxa"/>
            <w:vAlign w:val="bottom"/>
          </w:tcPr>
          <w:p>
            <w:pPr>
              <w:spacing w:after="0"/>
              <w:rPr>
                <w:sz w:val="16"/>
                <w:szCs w:val="16"/>
                <w:color w:val="auto"/>
              </w:rPr>
            </w:pPr>
          </w:p>
        </w:tc>
        <w:tc>
          <w:tcPr>
            <w:tcW w:w="3380" w:type="dxa"/>
            <w:vAlign w:val="bottom"/>
            <w:gridSpan w:val="2"/>
          </w:tcPr>
          <w:p>
            <w:pPr>
              <w:jc w:val="right"/>
              <w:ind w:right="608"/>
              <w:spacing w:after="0"/>
              <w:rPr>
                <w:sz w:val="20"/>
                <w:szCs w:val="20"/>
                <w:color w:val="auto"/>
              </w:rPr>
            </w:pPr>
            <w:r>
              <w:rPr>
                <w:rFonts w:ascii="Arial" w:cs="Arial" w:eastAsia="Arial" w:hAnsi="Arial"/>
                <w:sz w:val="14"/>
                <w:szCs w:val="14"/>
                <w:b w:val="1"/>
                <w:bCs w:val="1"/>
                <w:color w:val="auto"/>
              </w:rPr>
              <w:t>2016</w:t>
            </w:r>
          </w:p>
        </w:tc>
        <w:tc>
          <w:tcPr>
            <w:tcW w:w="1360" w:type="dxa"/>
            <w:vAlign w:val="bottom"/>
          </w:tcPr>
          <w:p>
            <w:pPr>
              <w:jc w:val="right"/>
              <w:ind w:right="464"/>
              <w:spacing w:after="0"/>
              <w:rPr>
                <w:sz w:val="20"/>
                <w:szCs w:val="20"/>
                <w:color w:val="auto"/>
              </w:rPr>
            </w:pPr>
            <w:r>
              <w:rPr>
                <w:rFonts w:ascii="Arial" w:cs="Arial" w:eastAsia="Arial" w:hAnsi="Arial"/>
                <w:sz w:val="14"/>
                <w:szCs w:val="14"/>
                <w:b w:val="1"/>
                <w:bCs w:val="1"/>
                <w:color w:val="auto"/>
              </w:rPr>
              <w:t>2015</w:t>
            </w:r>
          </w:p>
        </w:tc>
        <w:tc>
          <w:tcPr>
            <w:tcW w:w="140" w:type="dxa"/>
            <w:vAlign w:val="bottom"/>
          </w:tcPr>
          <w:p>
            <w:pPr>
              <w:spacing w:after="0"/>
              <w:rPr>
                <w:sz w:val="16"/>
                <w:szCs w:val="16"/>
                <w:color w:val="auto"/>
              </w:rPr>
            </w:pPr>
          </w:p>
        </w:tc>
        <w:tc>
          <w:tcPr>
            <w:tcW w:w="1460" w:type="dxa"/>
            <w:vAlign w:val="bottom"/>
          </w:tcPr>
          <w:p>
            <w:pPr>
              <w:jc w:val="right"/>
              <w:ind w:right="564"/>
              <w:spacing w:after="0"/>
              <w:rPr>
                <w:sz w:val="20"/>
                <w:szCs w:val="20"/>
                <w:color w:val="auto"/>
              </w:rPr>
            </w:pPr>
            <w:r>
              <w:rPr>
                <w:rFonts w:ascii="Arial" w:cs="Arial" w:eastAsia="Arial" w:hAnsi="Arial"/>
                <w:sz w:val="14"/>
                <w:szCs w:val="14"/>
                <w:b w:val="1"/>
                <w:bCs w:val="1"/>
                <w:color w:val="auto"/>
              </w:rPr>
              <w:t>2016</w:t>
            </w:r>
          </w:p>
        </w:tc>
        <w:tc>
          <w:tcPr>
            <w:tcW w:w="1340" w:type="dxa"/>
            <w:vAlign w:val="bottom"/>
          </w:tcPr>
          <w:p>
            <w:pPr>
              <w:jc w:val="right"/>
              <w:ind w:right="462"/>
              <w:spacing w:after="0"/>
              <w:rPr>
                <w:sz w:val="20"/>
                <w:szCs w:val="20"/>
                <w:color w:val="auto"/>
              </w:rPr>
            </w:pPr>
            <w:r>
              <w:rPr>
                <w:rFonts w:ascii="Arial" w:cs="Arial" w:eastAsia="Arial" w:hAnsi="Arial"/>
                <w:sz w:val="14"/>
                <w:szCs w:val="14"/>
                <w:b w:val="1"/>
                <w:bCs w:val="1"/>
                <w:color w:val="auto"/>
              </w:rPr>
              <w:t>2015</w:t>
            </w:r>
          </w:p>
        </w:tc>
      </w:tr>
      <w:tr>
        <w:trPr>
          <w:trHeight w:val="196"/>
        </w:trPr>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960" w:type="dxa"/>
            <w:vAlign w:val="bottom"/>
            <w:tcBorders>
              <w:top w:val="single" w:sz="8" w:color="auto"/>
            </w:tcBorders>
            <w:gridSpan w:val="3"/>
          </w:tcPr>
          <w:p>
            <w:pPr>
              <w:jc w:val="right"/>
              <w:ind w:right="1064"/>
              <w:spacing w:after="0"/>
              <w:rPr>
                <w:sz w:val="20"/>
                <w:szCs w:val="20"/>
                <w:color w:val="auto"/>
              </w:rPr>
            </w:pPr>
            <w:r>
              <w:rPr>
                <w:rFonts w:ascii="Arial" w:cs="Arial" w:eastAsia="Arial" w:hAnsi="Arial"/>
                <w:sz w:val="14"/>
                <w:szCs w:val="14"/>
                <w:color w:val="auto"/>
              </w:rPr>
              <w:t>(In thousands)</w:t>
            </w:r>
          </w:p>
        </w:tc>
        <w:tc>
          <w:tcPr>
            <w:tcW w:w="1340" w:type="dxa"/>
            <w:vAlign w:val="bottom"/>
            <w:tcBorders>
              <w:top w:val="single" w:sz="8" w:color="auto"/>
            </w:tcBorders>
          </w:tcPr>
          <w:p>
            <w:pPr>
              <w:spacing w:after="0"/>
              <w:rPr>
                <w:sz w:val="17"/>
                <w:szCs w:val="17"/>
                <w:color w:val="auto"/>
              </w:rPr>
            </w:pPr>
          </w:p>
        </w:tc>
      </w:tr>
      <w:tr>
        <w:trPr>
          <w:trHeight w:val="256"/>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deferred shares</w:t>
            </w:r>
          </w:p>
        </w:tc>
        <w:tc>
          <w:tcPr>
            <w:tcW w:w="3380" w:type="dxa"/>
            <w:vAlign w:val="bottom"/>
            <w:tcBorders>
              <w:bottom w:val="single" w:sz="8" w:color="CCEEFF"/>
            </w:tcBorders>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64</w:t>
            </w:r>
          </w:p>
        </w:tc>
        <w:tc>
          <w:tcPr>
            <w:tcW w:w="13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86</w:t>
            </w:r>
          </w:p>
        </w:tc>
        <w:tc>
          <w:tcPr>
            <w:tcW w:w="1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8"/>
                <w:szCs w:val="18"/>
                <w:color w:val="auto"/>
              </w:rPr>
              <w:t>137</w:t>
            </w:r>
          </w:p>
        </w:tc>
        <w:tc>
          <w:tcPr>
            <w:tcW w:w="13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105</w:t>
            </w:r>
          </w:p>
        </w:tc>
      </w:tr>
      <w:tr>
        <w:trPr>
          <w:trHeight w:val="459"/>
        </w:trPr>
        <w:tc>
          <w:tcPr>
            <w:tcW w:w="3740" w:type="dxa"/>
            <w:vAlign w:val="bottom"/>
          </w:tcPr>
          <w:p>
            <w:pPr>
              <w:spacing w:after="0"/>
              <w:rPr>
                <w:sz w:val="24"/>
                <w:szCs w:val="24"/>
                <w:color w:val="auto"/>
              </w:rPr>
            </w:pPr>
          </w:p>
        </w:tc>
        <w:tc>
          <w:tcPr>
            <w:tcW w:w="3380" w:type="dxa"/>
            <w:vAlign w:val="bottom"/>
            <w:gridSpan w:val="2"/>
          </w:tcPr>
          <w:p>
            <w:pPr>
              <w:jc w:val="right"/>
              <w:ind w:right="1168"/>
              <w:spacing w:after="0"/>
              <w:rPr>
                <w:sz w:val="20"/>
                <w:szCs w:val="20"/>
                <w:color w:val="auto"/>
              </w:rPr>
            </w:pPr>
            <w:r>
              <w:rPr>
                <w:rFonts w:ascii="Arial" w:cs="Arial" w:eastAsia="Arial" w:hAnsi="Arial"/>
                <w:sz w:val="18"/>
                <w:szCs w:val="18"/>
                <w:color w:val="auto"/>
              </w:rPr>
              <w:t>- 18-</w:t>
            </w:r>
          </w:p>
        </w:tc>
        <w:tc>
          <w:tcPr>
            <w:tcW w:w="1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Segment Information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and upstream petroleum markets.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evaluates performance and allocates resources based on operating income. The accounting policies of the reportable segments are the same as those described in the Summary of Significant Accounting Policies footnote included in the Company’s Annual Report on Form 10-K for the year ended June 30, 2016. Intersegment sales and transfers are recorded at cost; therefore, no intersegment profit or loss is recognized.</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Segment assets consist primarily of cash and cash equivalents, accounts receivable, costs and estimated earnings in excess of billings on uncompleted contracts, property, plant and equipment, goodwill and other intangible assets.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- 19-</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Matrix Service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52"/>
        </w:trPr>
        <w:tc>
          <w:tcPr>
            <w:tcW w:w="4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3"/>
                <w:szCs w:val="13"/>
                <w:color w:val="auto"/>
              </w:rPr>
            </w:pPr>
          </w:p>
        </w:tc>
        <w:tc>
          <w:tcPr>
            <w:tcW w:w="1180" w:type="dxa"/>
            <w:vAlign w:val="bottom"/>
          </w:tcPr>
          <w:p>
            <w:pPr>
              <w:jc w:val="center"/>
              <w:ind w:right="132"/>
              <w:spacing w:after="0" w:line="15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revenues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103,158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91,398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191,183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157,023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56,913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94,741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132,431</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128,927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122,647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328,577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267,217</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25,026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48,390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47,753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89,725</w:t>
            </w:r>
          </w:p>
        </w:tc>
        <w:tc>
          <w:tcPr>
            <w:tcW w:w="0" w:type="dxa"/>
            <w:vAlign w:val="bottom"/>
          </w:tcPr>
          <w:p>
            <w:pPr>
              <w:spacing w:after="0"/>
              <w:rPr>
                <w:sz w:val="1"/>
                <w:szCs w:val="1"/>
                <w:color w:val="auto"/>
              </w:rPr>
            </w:pPr>
          </w:p>
        </w:tc>
      </w:tr>
      <w:tr>
        <w:trPr>
          <w:trHeight w:val="297"/>
        </w:trPr>
        <w:tc>
          <w:tcPr>
            <w:tcW w:w="424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gross revenues</w:t>
            </w:r>
          </w:p>
        </w:tc>
        <w:tc>
          <w:tcPr>
            <w:tcW w:w="138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314,024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325,907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662,254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646,396</w:t>
            </w:r>
          </w:p>
        </w:tc>
        <w:tc>
          <w:tcPr>
            <w:tcW w:w="0" w:type="dxa"/>
            <w:vAlign w:val="bottom"/>
          </w:tcPr>
          <w:p>
            <w:pPr>
              <w:spacing w:after="0"/>
              <w:rPr>
                <w:sz w:val="1"/>
                <w:szCs w:val="1"/>
                <w:color w:val="auto"/>
              </w:rPr>
            </w:pPr>
          </w:p>
        </w:tc>
      </w:tr>
      <w:tr>
        <w:trPr>
          <w:trHeight w:val="237"/>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Less: Inter-segment revenues</w:t>
            </w:r>
          </w:p>
        </w:tc>
        <w:tc>
          <w:tcPr>
            <w:tcW w:w="13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1,199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1,932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6,485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2,580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inter-segment 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1,369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2,378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7,818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3,536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Consolidated revenues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103,158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91,398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191,183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157,023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55,714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88,256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129,851</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128,757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122,169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328,279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266,405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25,026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48,422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46,718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89,581</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consolidated revenues</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312,655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323,529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654,436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642,860</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Gross profit</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8,729</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5,971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11,654</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17,071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14,426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34,658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5,587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9,548</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28,212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30,005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60,490</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64,589</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vMerge w:val="continue"/>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(1,950)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(3,029)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6,374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17,923</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2,313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3,249</w:t>
            </w:r>
          </w:p>
        </w:tc>
        <w:tc>
          <w:tcPr>
            <w:tcW w:w="0" w:type="dxa"/>
            <w:vAlign w:val="bottom"/>
          </w:tcPr>
          <w:p>
            <w:pPr>
              <w:spacing w:after="0"/>
              <w:rPr>
                <w:sz w:val="1"/>
                <w:szCs w:val="1"/>
                <w:color w:val="auto"/>
              </w:rPr>
            </w:pPr>
          </w:p>
        </w:tc>
      </w:tr>
      <w:tr>
        <w:trPr>
          <w:trHeight w:val="27"/>
        </w:trPr>
        <w:tc>
          <w:tcPr>
            <w:tcW w:w="424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operating income</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8,237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4,935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22,538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20,036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Total assets by segment were as follows:</w:t>
            </w:r>
          </w:p>
        </w:tc>
        <w:tc>
          <w:tcPr>
            <w:tcW w:w="1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424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4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24"/>
                <w:szCs w:val="24"/>
                <w:color w:val="auto"/>
              </w:rPr>
            </w:pPr>
          </w:p>
        </w:tc>
        <w:tc>
          <w:tcPr>
            <w:tcW w:w="1180" w:type="dxa"/>
            <w:vAlign w:val="bottom"/>
          </w:tcPr>
          <w:p>
            <w:pPr>
              <w:jc w:val="center"/>
              <w:ind w:right="132"/>
              <w:spacing w:after="0"/>
              <w:rPr>
                <w:sz w:val="20"/>
                <w:szCs w:val="20"/>
                <w:color w:val="auto"/>
              </w:rPr>
            </w:pPr>
            <w:r>
              <w:rPr>
                <w:rFonts w:ascii="Arial" w:cs="Arial" w:eastAsia="Arial" w:hAnsi="Arial"/>
                <w:sz w:val="14"/>
                <w:szCs w:val="14"/>
                <w:b w:val="1"/>
                <w:bCs w:val="1"/>
                <w:color w:val="auto"/>
                <w:w w:val="92"/>
              </w:rPr>
              <w:t>June 30,</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Electrical Infrastructure</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159,388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135,298</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Oil Gas &amp; Chemical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148,095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91,350</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Storage Solutions</w:t>
            </w:r>
          </w:p>
        </w:tc>
        <w:tc>
          <w:tcPr>
            <w:tcW w:w="13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194,397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201,875</w:t>
            </w:r>
          </w:p>
        </w:tc>
        <w:tc>
          <w:tcPr>
            <w:tcW w:w="0" w:type="dxa"/>
            <w:vAlign w:val="bottom"/>
          </w:tcPr>
          <w:p>
            <w:pPr>
              <w:spacing w:after="0"/>
              <w:rPr>
                <w:sz w:val="1"/>
                <w:szCs w:val="1"/>
                <w:color w:val="auto"/>
              </w:rPr>
            </w:pP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Industrial</w:t>
            </w:r>
          </w:p>
        </w:tc>
        <w:tc>
          <w:tcPr>
            <w:tcW w:w="1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78,348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67,569</w:t>
            </w:r>
          </w:p>
        </w:tc>
        <w:tc>
          <w:tcPr>
            <w:tcW w:w="0" w:type="dxa"/>
            <w:vAlign w:val="bottom"/>
          </w:tcPr>
          <w:p>
            <w:pPr>
              <w:spacing w:after="0"/>
              <w:rPr>
                <w:sz w:val="1"/>
                <w:szCs w:val="1"/>
                <w:color w:val="auto"/>
              </w:rPr>
            </w:pPr>
          </w:p>
        </w:tc>
      </w:tr>
      <w:tr>
        <w:trPr>
          <w:trHeight w:val="27"/>
        </w:trPr>
        <w:tc>
          <w:tcPr>
            <w:tcW w:w="42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Unallocated assets</w:t>
            </w:r>
          </w:p>
        </w:tc>
        <w:tc>
          <w:tcPr>
            <w:tcW w:w="13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55,562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68,875</w:t>
            </w:r>
          </w:p>
        </w:tc>
        <w:tc>
          <w:tcPr>
            <w:tcW w:w="0" w:type="dxa"/>
            <w:vAlign w:val="bottom"/>
          </w:tcPr>
          <w:p>
            <w:pPr>
              <w:spacing w:after="0"/>
              <w:rPr>
                <w:sz w:val="1"/>
                <w:szCs w:val="1"/>
                <w:color w:val="auto"/>
              </w:rPr>
            </w:pPr>
          </w:p>
        </w:tc>
      </w:tr>
      <w:tr>
        <w:trPr>
          <w:trHeight w:val="257"/>
        </w:trPr>
        <w:tc>
          <w:tcPr>
            <w:tcW w:w="4240" w:type="dxa"/>
            <w:vAlign w:val="bottom"/>
          </w:tcPr>
          <w:p>
            <w:pPr>
              <w:ind w:left="380"/>
              <w:spacing w:after="0"/>
              <w:rPr>
                <w:sz w:val="20"/>
                <w:szCs w:val="20"/>
                <w:color w:val="auto"/>
              </w:rPr>
            </w:pPr>
            <w:r>
              <w:rPr>
                <w:rFonts w:ascii="Arial" w:cs="Arial" w:eastAsia="Arial" w:hAnsi="Arial"/>
                <w:sz w:val="18"/>
                <w:szCs w:val="18"/>
                <w:color w:val="auto"/>
              </w:rPr>
              <w:t>Total segment assets</w:t>
            </w:r>
          </w:p>
        </w:tc>
        <w:tc>
          <w:tcPr>
            <w:tcW w:w="1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635,790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564,967</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760" w:type="dxa"/>
            <w:vAlign w:val="bottom"/>
            <w:gridSpan w:val="3"/>
            <w:vMerge w:val="restart"/>
          </w:tcPr>
          <w:p>
            <w:pPr>
              <w:jc w:val="right"/>
              <w:ind w:right="1032"/>
              <w:spacing w:after="0"/>
              <w:rPr>
                <w:sz w:val="20"/>
                <w:szCs w:val="20"/>
                <w:color w:val="auto"/>
              </w:rPr>
            </w:pPr>
            <w:r>
              <w:rPr>
                <w:rFonts w:ascii="Arial" w:cs="Arial" w:eastAsia="Arial" w:hAnsi="Arial"/>
                <w:sz w:val="18"/>
                <w:szCs w:val="18"/>
                <w:color w:val="auto"/>
              </w:rPr>
              <w:t>- 20-</w:t>
            </w: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240" w:type="dxa"/>
            <w:vAlign w:val="bottom"/>
          </w:tcPr>
          <w:p>
            <w:pPr>
              <w:spacing w:after="0"/>
              <w:rPr>
                <w:sz w:val="24"/>
                <w:szCs w:val="24"/>
                <w:color w:val="auto"/>
              </w:rPr>
            </w:pPr>
          </w:p>
        </w:tc>
        <w:tc>
          <w:tcPr>
            <w:tcW w:w="276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have been no material changes in our critical accounting policies from those reported in our fiscal 2016 Annual Report on Form 10-K filed with the SEC. For more information on our critical accounting policies, see Part II, Item 7 of our fiscal 2016 Annual Report on Form 10-K. The following section provides certain information with respect to our critical accounting estimates as of the close of our most recent quarterly period.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percentage of completion accounting for fixed-priced contracts, contract revenues and earnings are recognized ratably over the contract term based on the proportion of actual costs incurred to total estimated costs. As of December 31, 2016, the Company is performing work on two previously announced significant multi-year projects that are contracted on a fixed price basis. The first project is expected to complete in fiscal 2017 and revenue will continue to decline as this project nears completion. The second project is expected to be completed in fiscal 2018.</w:t>
      </w:r>
    </w:p>
    <w:p>
      <w:pPr>
        <w:spacing w:after="0" w:line="13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the project that is expected to be completed in fiscal 2018, the Company executed a change order in the second quarter that settled the claims outstanding on the effective date of the change order, updated the project schedule, and increased the contract value to allow for the recovery of increased costs. The settlement resulted in a second quarter reduction in earnings related to adjusting the gross profit margin and the percent complete on the project due to the increased project size. In addition, the change order contained provisions that require the achievement of defined schedule milestones to earn a portion of the additional contract value. At December 31, 2016, the Company’s schedule assessment indicates that it is probable that these schedule milestones will be achieved. Although this change order reduced the financial risk inherent in this project, it is possible that future changes in contract estimates, including those related to project costs, project timeline, and future change orders or claims, could occur and have a material positive or negative impact to our results of operations and financial position in subsequent accounting periods.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performed our annual impairment test in the fourth quarter of fiscal 2016 to determine whether an impairment existed and to determine the amount of headroom. We define "headroom" as the percentage difference between the fair value of a reporting unit and its carrying value. The amount of headroom varies by reporting unit. Approximately 54% of our goodwill balance at May 31, 2016 was attributable to one reporting unit. This unit had headroom of 158%. The remaining goodwill was attributable to six reporting units, with headroom of between 17% and 488%. Our significant assumptions, including revenue growth rates, gross margins, discount rate, interest expense and other factors may change in light of changes in the economic and competitive environment in which we operate.</w:t>
      </w:r>
    </w:p>
    <w:p>
      <w:pPr>
        <w:spacing w:after="0" w:line="22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While the operating results for the Oil Gas &amp; Chemical and Industrial segments indicated a small operating loss for the three and six months ended December 31, 2016, the Company does not consider these results to be a triggering event requiring the performance of an interim goodwill impairment test since the fundamentals of the industries driving these segments has not significantly deteriorated since the annual test was performed. The Company continues to consider these segments as core to its business and believes that current operating results are not indicative of future performance. The Company will continue to monitor its operating results for indicators of impairment and perform additional tests as necessary.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Intangible assets that have finite useful lives are amortized by the straight-line method over their useful lives ranging from 1 to 15 years. The Company evaluates intangible assets with finite lives for impairment whenever events or circumstances indicate that the carrying value may not be recoverable. The Company did not observe any events or circumstances during the three months ended December 31, 2016 that would indicate that the carrying value of its intangible assets may not be recoverable. The Company's evaluation included values assigned to customer relationships in the iron and steel industry which is currently experiencing short to medium term weakness. If the Company's view of this market adversely changes or if other factors develop which change our view of the value of these relationships, the Company will reevaluate this conclusion.</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- 21-</w:t>
      </w:r>
    </w:p>
    <w:p>
      <w:pPr>
        <w:sectPr>
          <w:pgSz w:w="11900" w:h="16838" w:orient="portrait"/>
          <w:cols w:equalWidth="0" w:num="1">
            <w:col w:w="11420"/>
          </w:cols>
          <w:pgMar w:left="240" w:top="34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Unapproved Change Orders and Claims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and estimated earnings in excess of billings on uncompleted contracts included revenues for unapproved change orders and claims of $14.4 million at December 31, 2016 and $10.3 million at June 30, 2016. The amounts ultimately realized may be significantly different than the recorded amounts resulting in a material adjustment to future earnings.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Insurance Reserves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insurance coverage for various aspects of our operations. However, we retain exposure to potential losses through the use of deductibles, self-insured retentions and coverage limits. We establish reserves for claims using a combination of actuarially determined estimates and management judgment on a case-by-case basis and update our evaluations as further information becomes known. Judgments and assumptions, including the assumed losses for claims incurred but not reported, are inherent in our reserve accruals; as a result, changes in assumptions or claims experience could result in changes to these estimates in the future. If actual results of claim settlements are different than the amounts estimated, we may be exposed to gains and losses that could be significant.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2014-09, Revenue from Contracts with Customers (Topic 606)</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May 28, 2014, the Financial Accounting Standards Board ("FASB") issued Accounting Standards Update ("ASU") No. 2014-09. The standard outlines a single comprehensive model for entities to use in accounting for revenue arising from contracts with customers and supersedes most current revenue recognition guidance, including industry-specific guidance. The core principle of the revenue model is that “an entity recognizes revenue to depict the transfer of promised goods or services to customers in an amount that reflects the consideration to which the entity expects to be entitled in exchange for those goods or services.” The ASU also requires entities to disclose both quantitative and qualitative information that enables users of financial statements to understand the nature, amount, timing, and uncertainty of revenue and cash flows arising from contracts with customers. The ASU's disclosure requirements are significantly more comprehensive than those in existing revenue standards. The ASU applies to all contracts with customers except those that are within the scope of other topics in the FASB Accounting Standards Codification ("ASC").</w:t>
      </w:r>
    </w:p>
    <w:p>
      <w:pPr>
        <w:spacing w:after="0" w:line="1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ASU is effective for annual reporting periods beginning after December 15, 2017, with early adoption permitted on a limited basis. Upon adoption, the Company may elect one of two application methods, a full retrospective application or a modified retrospective application. We expect to adopt this standard on July 1, 2018 and are currently evaluating its expected impact on our financial statements.</w:t>
      </w:r>
    </w:p>
    <w:p>
      <w:pPr>
        <w:spacing w:after="0" w:line="12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i w:val="1"/>
          <w:iCs w:val="1"/>
          <w:color w:val="auto"/>
        </w:rPr>
        <w:t>Accounting Standards Update 2014-15, Presentation of Financial Statements-Going Concern (Subtopic 205-40): Disclosure of Uncertainties about an Entity’s Ability to Continue as a Going Concern</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August 27, 2014, the FASB issued ASU 2014-15, which provides guidance on determining when and how reporting entities must disclose going-concern uncertainties in their financial statements. The new standard requires management to perform interim and annual assessments of an entity’s ability to continue as a going concern within one year of the date of issuance of the entity’s financial statements. Further, an entity must provide certain disclosures if there is “substantial doubt about the entity’s ability to continue as a going concern.” The FASB believes that requiring management to perform the assessment will enhance the timeliness, clarity, and consistency of related disclosures and improve convergence with international financial reporting standards ("IFRSs") (which emphasize management’s responsibility for performing the going-concern assessment). However, the time horizon for the assessment (look-forward period) and the disclosure thresholds under U.S. GAAP and IFRSs will continue to differ. The ASU is effective for annual periods ending after December 15, 2016, and interim periods thereafter; early adoption is permitted.</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ASU was adopted during the Company's first fiscal quarter ending September 30, 2016. In connection with the adoption of the ASU, the Company now performs an assessment of its ability to continue as a going concern on a quarterly basis. Disclosure regarding the status of the Company's ability to continue as a going concern is required when there are conditions or events that raise substantial doubt about its ability to continue as a going concern within one year after the date that the financial statements are issued.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- 22-</w:t>
      </w:r>
    </w:p>
    <w:p>
      <w:pPr>
        <w:sectPr>
          <w:pgSz w:w="11900" w:h="16838" w:orient="portrait"/>
          <w:cols w:equalWidth="0" w:num="1">
            <w:col w:w="11420"/>
          </w:cols>
          <w:pgMar w:left="240" w:top="341"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2015-16, Business Combinations (Topic 805): Simplifying the Accounting for Measurement-Period Adjustments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September 25, 2015, the FASB issued ASU 2015-16 to simplify the accounting for measurement-period adjustments. The ASU was issued in response to stakeholder feedback that restatements of prior periods to reflect adjustments made to provisional amounts recognized in a business combination increase the cost and complexity of financial reporting but do not significantly improve the usefulness of the information. Under the ASU, an acquirer must recognize adjustments to provisional amounts that are identified during the measurement period in the reporting period in which the adjustment amounts are determined. The ASU also requires acquirers to present separately on the face of the income statement, or disclose in the notes, the portion of the amount recorded in current-period earnings by line item that would have been recorded in previous reporting periods if the adjustment to the provisional amounts had been recognized as of the acquisition date. For public business entities, the ASU is effective for fiscal years beginning after December 15, 2015, including interim periods within those fiscal years. We adopted this standard on July 1, 2016 with no material impact to the Company's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2016-02, Leases (Topic 842)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25, 2016, the FASB issued ASU 2016-02. The amendments in this update require, among other things, that lessees recognize the following for all leases (with the exception of short-term leases) at the commencement date: (1) a lease liability, which is a lessee’s obligation to make lease payments arising from a lease, measured on a discounted basis; and (2) a right-of-use asset, which is an asset that represents the lessee’s right to use, or control the use of, a specified asset for the lease term. Lessees and lessors must apply a modified retrospective transition approach for leases existing at, or entered into after, the beginning of the earliest comparative period presented in the financial statements. For public business entities, the ASU is effective for fiscal years beginning after December 15, 2018, including interim periods within those fiscal years. We are currently evaluating the ASU's expected impact on our financial statements.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Standards Update 2016-09, Stock Compensation (Topic 718): Improvements to Employee Share-Based Payment Accounting</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30, 2016, the FASB issued ASU 2016-09, which simplified several aspects of accounting for stock-based compensation transactions, including the accounting for income taxes and forfeitures and statutory tax withholding requirements. The ASU is effective for the Company on July 1, 2017 and early adoption is permitted. The Company adopted the ASU during its first fiscal quarter ending September 30, 2016. The following is a description of the key provisions of the ASU and their impacts to the Company's financial statements:</w:t>
      </w:r>
    </w:p>
    <w:p>
      <w:pPr>
        <w:spacing w:after="0" w:line="13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u w:val="single" w:color="auto"/>
          <w:color w:val="auto"/>
        </w:rPr>
        <w:t>Accounting for Income Taxes</w:t>
      </w:r>
      <w:r>
        <w:rPr>
          <w:rFonts w:ascii="Arial" w:cs="Arial" w:eastAsia="Arial" w:hAnsi="Arial"/>
          <w:sz w:val="16"/>
          <w:szCs w:val="16"/>
          <w:color w:val="auto"/>
        </w:rPr>
        <w:t>: The amendments require the Company to recognize excess tax benefits or tax deficiencies in its provision for income taxes in its consolidated statements of income during the period of vesting or exercise of its nonvested deferred share awards and stock options, respectively, for which it expects to receive an income tax deduction. Previously, the Company recognized any excess tax benefits in additional paid-in capital ("APIC") in the balance sheet and any tax deficiencies were recognized as a reduction of APIC to the extent the Company has accumulated excess tax benefits. Any tax deficiencies in excess of accumulated excess tax benefits in APIC were recognized in the provision for income taxes. The amendments also require the Company to only present excess tax benefits and tax deficiencies in the operating section of its statements of cash flows as a component of deferred tax activity. Previously, the Company was required to present such items in both the financing section and operating section of its statements of cash flows. Amendments related to the recognition of excess tax benefits and tax deficiencies in income are required to be applied prospectively, and amendments related to the cash flow statement presentation of excess tax benefits and tax deficiencies may be applied either retrospectively or prospectively.</w:t>
      </w:r>
    </w:p>
    <w:p>
      <w:pPr>
        <w:spacing w:after="0" w:line="11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 applied the amendments requiring the recognition of excess tax benefits and tax deficiencies in income prospectively. As a result, the Company recognized $0.1 million and $0.5 million of excess tax benefits in its provision for income taxes during the three and six months ended December 31, 2016, respectively, which increased basic and diluted earnings per share by $0.01 and $0.02, respectively. Under the prior accounting standard, the Company would have recognized the excess tax benefits in equity as additional paid-in capital. The amendments relating to the presentation of excess tax benefits and tax deficiencies in the statement of cash flows were applied retrospectively. The effect of the retrospective adjustment was to eliminate the presentation of an operating cash outflow and a financing cash inflow for excess tax benefits on exercised stock options and vesting of deferred shares. These eliminations increased net cash provided by operating activities by $3.2 million and decreased net cash provided by financing activities by $3.2 million for the six months ended December 31, 2015. Net cash flows did not change as a result of the retrospective adjustment.</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w:t>
      </w:r>
    </w:p>
    <w:p>
      <w:pPr>
        <w:sectPr>
          <w:pgSz w:w="11900" w:h="16838" w:orient="portrait"/>
          <w:cols w:equalWidth="0" w:num="1">
            <w:col w:w="11420"/>
          </w:cols>
          <w:pgMar w:left="240" w:top="34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u w:val="single" w:color="auto"/>
          <w:color w:val="auto"/>
        </w:rPr>
        <w:t>Accounting for Forfeitures</w:t>
      </w:r>
      <w:r>
        <w:rPr>
          <w:rFonts w:ascii="Arial" w:cs="Arial" w:eastAsia="Arial" w:hAnsi="Arial"/>
          <w:sz w:val="18"/>
          <w:szCs w:val="18"/>
          <w:color w:val="auto"/>
        </w:rPr>
        <w:t>: The amendments in this ASU allow the Company to elect, as a company-wide accounting policy, either to continue to estimate the amount of forfeitures to exclude from compensation expense or to exclude forfeitures from compensation expense as they occur. Upon the adoption of the ASU during the first quarter of fiscal 2017, the Company elected to account for forfeitures as they occur. The Company is required to apply these amendments on a modified retrospective basis with a cumulative adjustment to retained earnings as of the beginning of the fiscal year. The Company recorded a modified retrospective adjustment to reduce the June 30, 2016 retained earnings balance and increase the additional paid-in capital balance by $0.1 million each.</w:t>
      </w:r>
    </w:p>
    <w:p>
      <w:pPr>
        <w:spacing w:after="0" w:line="13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u w:val="single" w:color="auto"/>
          <w:color w:val="auto"/>
        </w:rPr>
        <w:t>Statutory Tax Withholding Requirements</w:t>
      </w:r>
      <w:r>
        <w:rPr>
          <w:rFonts w:ascii="Arial" w:cs="Arial" w:eastAsia="Arial" w:hAnsi="Arial"/>
          <w:sz w:val="17"/>
          <w:szCs w:val="17"/>
          <w:color w:val="auto"/>
        </w:rPr>
        <w:t>: Under the prior accounting standard, an entire award must be classified as a liability if the fair value of the shares withheld exceeds the Company's minimum statutory withholding obligation. Under the ASU, the Company is allowed to withhold shares with a fair value up to the amount of tax owed using the maximum statutory tax rate in the employee's applicable jurisdictions. The Company is allowed to determine one maximum rate for all employees in each jurisdiction, rather than a rate for each employee in the jurisdiction. Also, the ASU requires that cash outflows to reacquire shares withheld for taxes to be classified in the financing section of the statement of cash flows.</w:t>
      </w:r>
    </w:p>
    <w:p>
      <w:pPr>
        <w:spacing w:after="0" w:line="11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adopted the ASU during the first quarter of fiscal 2017. Since the Company did not have any awards classified as liabilities due to statutory tax withholding requirements as of December 31, 2016, and since the Company already presented its cash outflows for reacquiring shares withheld for taxes as a financing activity in its statements of cash flows, these amendments did not have any impact on its financial statements upon adoption. The Company does not expect changes to employee withholdings for stock compensation to have a material impact to the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Accounting Standards Update 2016-13, Financial Instruments - Credit Losses (Topic 326): Measurement of Credit Losses on Financial Instruments</w:t>
      </w:r>
    </w:p>
    <w:p>
      <w:pPr>
        <w:spacing w:after="0" w:line="1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16, 2016, the FASB issued ASU 2016-13, which will change how the Company accounts for its allowance for uncollectible accounts. The amendments in this update require a financial asset (or a group of financial assets) to be presented at the net amount expected to be collected. The income statement will reflect any increases or decreases of expected credit losses that have taken place during the period. The measurement of expected credit losses is based on relevant information about past events, including historical experience, current conditions, and reasonable and supportable forecasts that affect the collectibility of the reported amount.</w:t>
      </w:r>
    </w:p>
    <w:p>
      <w:pPr>
        <w:spacing w:after="0" w:line="13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Current GAAP delays the recognition of the full amount of credit losses until the loss is probable of occurring. The amendments in this update eliminate the probable initial recognition threshold and, instead, reflect the Company's current estimate of all expected credit losses. In addition, current guidance limits the information the Company may consider in measuring a credit loss to its past events and current conditions. The amendments in this update broaden the information the Company may consider in developing its expected credit loss estimate to include forecasted information.</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amendments in this update are effective for the Company on July 1, 2020 and the Company may early adopt on July 1, 2019. The Company must apply the amendments in this update through a cumulative-effect adjustment to retained earnings as of the beginning of the first reporting period in which the guidance is effective. At this time, the Company does not expect this update to have a material impact to its estimate of the allowance for uncollectible accounts.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w:t>
      </w:r>
    </w:p>
    <w:p>
      <w:pPr>
        <w:sectPr>
          <w:pgSz w:w="11900" w:h="16838" w:orient="portrait"/>
          <w:cols w:equalWidth="0" w:num="1">
            <w:col w:w="11420"/>
          </w:cols>
          <w:pgMar w:left="240" w:top="34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operate our business through four reportable segments: Electrical Infrastructure, Oil Gas &amp; Chemical, Storage Solutions, and Industrial.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Electrical Infrastructure segment primarily encompasses construction and maintenance services to a variety of power generation facilities, such as combined cycle plants, natural gas fired power stations, and renewable energy installations. We also provide high voltage services to investor owned utilities, including construction of new substations, upgrades of existing substations, short-run transmission line installations, distribution upgrades and maintenance, and storm restoration services.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Oil Gas &amp; Chemical segment includes turnaround activities, plant maintenance, engineering and construction in the downstream and midstream petroleum industries. Our customers in these industries are engaged in refining crude oil and processing, fractionating, and marketing of natural gas and natural gas liquids. Another key offering is industrial cleaning services, which include hydroblasting, hydroexcavating, chemical cleaning and vacuum services. We also perform work in the petrochemical and upstream petroleum markets.</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Storage Solutions segment includes new construction of crude and refined products aboveground storage tanks (“ASTs”), as well as planned and emergency maintenance services. The Storage Solutions segment also includes balance of plant work in storage terminals and tank farms. Also included in the Storage Solutions segment is work related to specialty storage tanks, including liquefied natural gas (“LNG”), liquid nitrogen/liquid oxygen (“LIN/LOX”), liquid petroleum (“LPG”) tanks and other specialty vessels, including spheres. Finally, we offer AST products, including geodesic domes, aluminum internal floating roofs, floating suction and skimmer systems, roof drain systems and floating roof seals.</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Industrial segment primarily includes construction and maintenance work in the iron and steel, mining and minerals, and agricultural industries. Our work in the mining and minerals industry is primarily for customers engaged in the extraction of copper. Our work in the agricultural industry includes the engineering and design of grain silos, docks and handling systems; the design of control system automation and materials handling for the food industry; and engineering, construction, process design and balance of plant work for fertilizer production facilities. We also perform work in bulk material handling, thermal vacuum chambers, and other industrial markets.</w:t>
      </w:r>
    </w:p>
    <w:p>
      <w:pPr>
        <w:spacing w:after="0" w:line="130" w:lineRule="exact"/>
        <w:rPr>
          <w:sz w:val="20"/>
          <w:szCs w:val="20"/>
          <w:color w:val="auto"/>
        </w:rPr>
      </w:pPr>
    </w:p>
    <w:p>
      <w:pPr>
        <w:ind w:right="3760"/>
        <w:spacing w:after="0" w:line="440" w:lineRule="auto"/>
        <w:rPr>
          <w:sz w:val="20"/>
          <w:szCs w:val="20"/>
          <w:color w:val="auto"/>
        </w:rPr>
      </w:pPr>
      <w:r>
        <w:rPr>
          <w:rFonts w:ascii="Arial" w:cs="Arial" w:eastAsia="Arial" w:hAnsi="Arial"/>
          <w:sz w:val="18"/>
          <w:szCs w:val="18"/>
          <w:b w:val="1"/>
          <w:bCs w:val="1"/>
          <w:color w:val="auto"/>
        </w:rPr>
        <w:t xml:space="preserve">Three Months Ended December 31, 2016 Compared to the Three Months Ended December 31, 2015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$312.7 million for the three months ended December 31, 2016, compared to $323.5 million in the same period in the prior fiscal year. On a segment basis, consolidated revenue decreased in the Industrial and Oil Gas &amp; Chemical segments by $23.4 million and $5.8 million, respectively. These decreases were partially offset by increases in the Electrical Infrastructure and Storage Solutions segments of $11.8 million and $6.6 million, respectively.</w:t>
      </w:r>
    </w:p>
    <w:p>
      <w:pPr>
        <w:spacing w:after="0" w:line="1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Consolidated gross profit decreased from $30.0 million in the three months ended December 31, 2015 to $28.2 million in the three months ended December 31, 2016. Gross margin decreased to 9.0% in the three months ended December 31, 2016 compared to 9.3% in the same period in the prior fiscal year. The reduction in gross margin in fiscal 2017 is primarily attributable to lower direct margins and increased under recovery of construction overhead costs in the Oil Gas &amp; Chemical and Industrial segments, which were partially offset by higher direct margins in the Storage Solutions and Electrical Infrastructure segments.</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SG&amp;A expenses were $20.0 million in the three months ended December 31, 2016 compared to $25.1 million in the same period a year earlier. The decrease in SG&amp;A expense in fiscal 2017 was primarily attributable to a non-routine bad debt charge of $5.2 million from a client bankruptcy in fiscal 2016. Fiscal 2017 SG&amp;A expense included $0.7 million of acquisition and integration costs from the Houston Interests, LLC ("Houston Interests") acquisition (See Item 1. Financial Statements, Note 2 - Acquisitions).</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interest expense was $0.5 million and $0.2 million in the three months ended December 31, 2016 and 2015, respectively. The higher interest expense in fiscal 2017 is primarily attributable to the higher average debt balance in the current year, which is largely attributable to the borrowings used to fund the Houston Interests acquisition.</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effective tax rate for the three months ended December 31, 2016 was 32.8% and 32.1% in the same period a year earlier. The fiscal 2017 tax rate was positively impacted by a discrete item related to the excess tax benefit realized upon the vesting of deferred shares which is more fully described in Item 1. Financial Statements, Note 1 - Basis of Presentation and Accounting Policies. The fiscal 2016 tax rate was positively impacted by a $0.9 million discrete item primarily related to the retroactive application of the R&amp;D tax credit and a foreign currency item related to our Canadian operations.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w:t>
      </w:r>
    </w:p>
    <w:p>
      <w:pPr>
        <w:sectPr>
          <w:pgSz w:w="11900" w:h="16838" w:orient="portrait"/>
          <w:cols w:equalWidth="0" w:num="1">
            <w:col w:w="11420"/>
          </w:cols>
          <w:pgMar w:left="240" w:top="34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December 31, 2016, net income attributable to Matrix Service Company and the related fully diluted earnings per share were $5.3 million and $0.20 compared to $5.4 million and $0.20 in the same period a year earlier.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Revenue for the Electrical Infrastructure segment increased $11.8 million to $103.2 million in the three months ended December 31, 2016 compared to $91.4 million in the same period a year earlier primarily as a result from continued work on a power generating facility being constructed in Canada. The gross margin of 7.0% in fiscal 2017 was impacted by a settlement adjustment on the project, which is more fully described in Note 3 - Uncompleted Contracts. The fiscal 2016 gross margin of 4.4% was negatively impacted by $5.4 million of charges on an acquired EPC joint venture project.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$55.7 million in the three months ended December 31, 2016 compared to $61.5 million in the same period a year earlier. The decrease of $5.8 million is related to lower volume across the business as refiners continue to limit spending as the result of continued volatility in commodity prices and market uncertainty. The gross margin was 4.4% for the three months ended December 31, 2016 compared to 9.7% in the same period last year. The gross margin for fiscal 2017 was affected by project execution and lower volume which led to the under recovery of overhead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Solutions segment was $128.8 million in the three months ended December 31, 2016 compared to $122.2 million in the same period a year earlier, an increase of $6.6 million. The increase is primarily attributable to increased activity on the previously announced project for the construction of crude gathering terminals that support the Dakota Access Pipeline and higher Canadian volumes. These increases were partially offset by lower volumes in our remaining domestic storage business. The gross margin was 13.3% in the three months ended December 31, 2016 and 11.8% in the three months ended December 31, 2015 as a result of effective project execution in both periods. Work on the terminals that support the Dakota Access Pipeline is expected to complete in fiscal 2017 and revenue will continue to decline as this project nears completion.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decreased $23.4 million to $25.0 million in the three months ended December 31, 2016 compared to $48.4 million in the same period a year earlier. The decline in revenue is primarily attributable to lower business volumes in the iron and steel and mining markets, and lower revenue recognized on a large fertilizer project. The gross margin was 5.9% in the three months ended December 31, 2016 compared to 11.5% in the same period a year earlier. The fiscal 2017 gross margin was negatively impacted by the under recovery of construction overhead costs due to reduced volume and a higher percentage of lower margin iron and steel work. The fiscal 2016 gross margin was positively impacted by the mix of work and strong project execution.</w:t>
      </w:r>
    </w:p>
    <w:p>
      <w:pPr>
        <w:spacing w:after="0" w:line="135" w:lineRule="exact"/>
        <w:rPr>
          <w:sz w:val="20"/>
          <w:szCs w:val="20"/>
          <w:color w:val="auto"/>
        </w:rPr>
      </w:pPr>
    </w:p>
    <w:p>
      <w:pPr>
        <w:ind w:right="4200"/>
        <w:spacing w:after="0" w:line="440" w:lineRule="auto"/>
        <w:rPr>
          <w:sz w:val="20"/>
          <w:szCs w:val="20"/>
          <w:color w:val="auto"/>
        </w:rPr>
      </w:pPr>
      <w:r>
        <w:rPr>
          <w:rFonts w:ascii="Arial" w:cs="Arial" w:eastAsia="Arial" w:hAnsi="Arial"/>
          <w:sz w:val="18"/>
          <w:szCs w:val="18"/>
          <w:b w:val="1"/>
          <w:bCs w:val="1"/>
          <w:color w:val="auto"/>
        </w:rPr>
        <w:t xml:space="preserve">Six Months Ended December 31, 2016 Compared to the Six Months Ended December 31, 2015 </w:t>
      </w:r>
      <w:r>
        <w:rPr>
          <w:rFonts w:ascii="Arial" w:cs="Arial" w:eastAsia="Arial" w:hAnsi="Arial"/>
          <w:sz w:val="18"/>
          <w:szCs w:val="18"/>
          <w:b w:val="1"/>
          <w:bCs w:val="1"/>
          <w:i w:val="1"/>
          <w:iCs w:val="1"/>
          <w:color w:val="auto"/>
        </w:rPr>
        <w:t>Consolidated</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Consolidated revenue was $654.4 million for the six months ended December 31, 2016, compared to $642.9 million in the same period in the prior fiscal year. On a segment basis, consolidated revenue increased in the Storage Solutions and Electrical Infrastructure segments by $61.9 million and $34.2 million, respectively. These increases were partially offset by decreases in revenue in the Industrial and Oil Gas &amp; Chemical segments of $42.9 million and $41.6 million, respectively.</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Consolidated gross profit decreased from $64.6 million in the six months ended December 31, 2015 to $60.5 million in the six months ended December 31, 2016. Gross margin decreased to 9.2% in the six months ended December 31, 2016 compared to 10.0% in the same period in the prior fiscal year. The reduction in gross margin in fiscal 2017 is primarily attributable to lower direct margins and increased under recovery of construction overhead costs in the Oil Gas &amp; Chemical and Industrial segments, which were partially offset by higher direct margins in the Storage Solutions segment.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Consolidated SG&amp;A expenses were $38.0 million in the six months ended December 31, 2016 compared to $44.6 million in the same period a year earlier. The decrease in SG&amp;A expense in fiscal 2017 was primarily attributable to a non-routine bad debt charge of $5.2 million from a client bankruptcy in fiscal 2016. Fiscal 2017 SG&amp;A expense included $0.7 million of acquisition and integration costs from the Houston Interests acquisition.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w:t>
      </w:r>
    </w:p>
    <w:p>
      <w:pPr>
        <w:sectPr>
          <w:pgSz w:w="11900" w:h="16838" w:orient="portrait"/>
          <w:cols w:equalWidth="0" w:num="1">
            <w:col w:w="11420"/>
          </w:cols>
          <w:pgMar w:left="240" w:top="341"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Net interest expense was $0.7 million and $0.4 million in the six months ended December 31, 2016 and 2015, respectively.</w:t>
      </w:r>
    </w:p>
    <w:p>
      <w:pPr>
        <w:spacing w:after="0" w:line="17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effective tax rate for the six months ended December 31, 2016 was 33.3% and 33.8% in the same period a year earlier. The fiscal 2017 tax rate was positively impacted by a discrete item related to the excess tax benefit realized upon the vesting of deferred shares which is more fully described in Note 1 - Basis of Presentation and Accounting Policies. The fiscal 2016 tax rate was positively impacted by a discrete item related to our Canadian operations.</w:t>
      </w:r>
    </w:p>
    <w:p>
      <w:pPr>
        <w:spacing w:after="0" w:line="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six months ended December 31, 2016, net income attributable to Matrix Service Company and the related fully diluted earnings per share were $14.6 million and $0.54 compared to $15.4 million and $0.56 in the same period a year earlier.</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Electrical Infrastructure</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Electrical Infrastructure segment increased $34.2 million to $191.2 million in the six months ended December 31, 2016 compared to $157.0 million in the same period a year earlier primarily as a result of continued work on a power generating facility being constructed in Canada. The fiscal 2017 gross margin was 6.5% compared to 5.6% in the same period last year. The gross margin in fiscal 2017 was negatively affected by the settlement charge on the project, which is more fully described in Note 3 - Uncompleted Contracts, and the gross margin in fiscal 2016 was impacted by $5.5 million of charges on an acquired EPC joint venture project.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Oil Gas &amp; Chemical</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Revenue for the Oil Gas &amp; Chemical segment was $88.3 million in the six months ended December 31, 2016 compared to $129.9 million in the same period a year earlier. The decrease of $41.6 million is related to lower volume across the business as refiners continue to limit spending as the result of continued volatility in commodity prices and market uncertainty. The gross margin was 2.8% for the six months ended December 31, 2016 compared to 9.0% in the same period last year. The gross margin for fiscal 2017 was affected by lower volume which led to the under recovery of overhead costs and project execution.</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Storage Solutions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for the Storage Solutions segment was $328.3 million in the six months ended December 31, 2016 compared to $266.4 million in the same period a year earlier, an increase of $61.9 million. The increase is primarily attributable to increased activity on a previously announced project for the construction of crude gathering terminals that support the Dakota Access Pipeline and higher Canadian volumes. These increases were partially offset by lower volumes in our remaining domestic storage business. The gross margin was 13.3% in the six months ended December 31, 2016 and 13.0% in the six months ended December 31, 2015 as a result of effective project execution in both periods. Work on the terminals that support the Dakota Access Pipeline is expected to complete in fiscal 2017 and revenue will continue to decline as this project nears completion.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Industrial segment decreased $42.9 million to $46.7 million million in the six months ended December 31, 2016 compared to $89.6 million in the same period a year earlier. The decline in revenue is primarily attributable to lower business volumes in the iron and steel and mining markets, and lower revenue recognized on a large fertilizer project. The gross margin was 4.4% in the six months ended December 31, 2016 compared to 10.7% in the same period a year earlier. The fiscal 2017 gross margin was negatively impacted by the under recovery of construction overhead costs due to reduced volume and a higher percentage of lower margin iron and steel work. The fiscal 2016 gross margin was positively impacted by the mix of work and strong project execution.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17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define backlog as the total dollar amount of revenue that we expect to recognize as a result of performing work that has been awarded to us through a signed contract, notice to proceed or other type of assurance that we consider firm. The following arrangements are considered firm:</w:t>
      </w:r>
    </w:p>
    <w:p>
      <w:pPr>
        <w:spacing w:after="0" w:line="147"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fixed-price awards;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minimum customer commitments on cost plus arrangements; and</w:t>
      </w:r>
    </w:p>
    <w:p>
      <w:pPr>
        <w:spacing w:after="0" w:line="225" w:lineRule="exact"/>
        <w:rPr>
          <w:rFonts w:ascii="Arial" w:cs="Arial" w:eastAsia="Arial" w:hAnsi="Arial"/>
          <w:sz w:val="18"/>
          <w:szCs w:val="18"/>
          <w:color w:val="auto"/>
        </w:rPr>
      </w:pPr>
    </w:p>
    <w:p>
      <w:pPr>
        <w:ind w:left="980" w:right="260" w:hanging="324"/>
        <w:spacing w:after="0" w:line="277"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certain time and material arrangements in which the estimated value is firm or can be estimated with a reasonable amount of certainty in both timing and amounts.</w:t>
      </w:r>
    </w:p>
    <w:p>
      <w:pPr>
        <w:spacing w:after="0" w:line="197" w:lineRule="exact"/>
        <w:rPr>
          <w:rFonts w:ascii="Arial" w:cs="Arial" w:eastAsia="Arial" w:hAnsi="Arial"/>
          <w:sz w:val="18"/>
          <w:szCs w:val="18"/>
          <w:color w:val="auto"/>
        </w:rPr>
      </w:pPr>
    </w:p>
    <w:p>
      <w:pPr>
        <w:ind w:left="5640" w:hanging="98"/>
        <w:spacing w:after="0"/>
        <w:tabs>
          <w:tab w:leader="none" w:pos="5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27-</w:t>
      </w:r>
    </w:p>
    <w:p>
      <w:pPr>
        <w:sectPr>
          <w:pgSz w:w="11900" w:h="16838" w:orient="portrait"/>
          <w:cols w:equalWidth="0" w:num="1">
            <w:col w:w="11420"/>
          </w:cols>
          <w:pgMar w:left="240" w:top="34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For long-term maintenance contracts and other established customer arrangements, we include only the amounts that we expect to recognize into revenue over the next 12 months. For all other arrangements, we calculate backlog as the estimated contract amount less revenue recognized as of the reporting date.</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three months ended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September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354,286</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179,274</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198,141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54,911</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786,612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87,285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59,443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116,107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47,501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310,336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backlog from Houston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(103,158)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(55,714)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(25,026)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(312,655)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338,413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209,505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185,491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80,581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813,990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changes in our backlog for the six months ended December 31,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Electrical</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Oil Gas &amp;</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Storage</w:t>
            </w:r>
          </w:p>
        </w:tc>
        <w:tc>
          <w:tcPr>
            <w:tcW w:w="220" w:type="dxa"/>
            <w:vAlign w:val="bottom"/>
          </w:tcPr>
          <w:p>
            <w:pPr>
              <w:spacing w:after="0"/>
              <w:rPr>
                <w:sz w:val="14"/>
                <w:szCs w:val="14"/>
                <w:color w:val="auto"/>
              </w:rPr>
            </w:pPr>
          </w:p>
        </w:tc>
        <w:tc>
          <w:tcPr>
            <w:tcW w:w="11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Industrial</w:t>
            </w:r>
          </w:p>
        </w:tc>
        <w:tc>
          <w:tcPr>
            <w:tcW w:w="300" w:type="dxa"/>
            <w:vAlign w:val="bottom"/>
          </w:tcPr>
          <w:p>
            <w:pPr>
              <w:spacing w:after="0"/>
              <w:rPr>
                <w:sz w:val="14"/>
                <w:szCs w:val="14"/>
                <w:color w:val="auto"/>
              </w:rPr>
            </w:pPr>
          </w:p>
        </w:tc>
        <w:tc>
          <w:tcPr>
            <w:tcW w:w="960" w:type="dxa"/>
            <w:vAlign w:val="bottom"/>
            <w:vMerge w:val="restart"/>
          </w:tcPr>
          <w:p>
            <w:pPr>
              <w:jc w:val="right"/>
              <w:ind w:right="3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8"/>
              </w:rPr>
              <w:t>Infrastructure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Chemical</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Solutions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(In thousands)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June 30, 2016</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369,791</w:t>
            </w: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91,478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359,013</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48,390</w:t>
            </w:r>
          </w:p>
        </w:tc>
        <w:tc>
          <w:tcPr>
            <w:tcW w:w="1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868,672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Project awards</w:t>
            </w: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159,805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179,781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154,757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75,714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570,057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Acquired backlog from Houston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26,502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3,195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29,697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Revenue recognized</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(191,183)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(88,256)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(328,279)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(46,718)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(654,436)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Backlog as of December 31,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338,413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209,505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185,491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80,581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813,990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Project awards in all segments are cyclical and are typically the result of a sales process that can take several months to complete. Backlog in the Storage Solutions and Electrical Infrastructure segments generally have the greatest volatility because individual project awards can be less frequent and more significant.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change in backlog in the Electrical Infrastructure segment during the six months ended December 31, 2016 is mainly attributable to the work related to the previously announced Napanee Power Generating Station project largely offset by power delivery awards which continue to meet the Company's expectations.</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increase in backlog in the Oil, Gas &amp; Chemical segment during the six months ended December 31, 2016 is mainly attributable to backlog acquired from Houston Interests and increased project awards such as the previously announced Ultra-Low Gasoline Project awarded by KBR, Inc.</w:t>
      </w:r>
    </w:p>
    <w:p>
      <w:pPr>
        <w:spacing w:after="0" w:line="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decline in backlog in the Storage Solutions segment during the six months ended December 31, 2016 is attributable to the work related to the previously announced project for the construction of terminals supporting the Dakota Access Pipeline. In addition, a more cautious approach to decision-making on the part of clients, more stringent financial and regulatory requirements, and prolonged market uncertainty is delaying the timing of awards.</w:t>
      </w:r>
    </w:p>
    <w:p>
      <w:pPr>
        <w:spacing w:after="0" w:line="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backlog in the Industrial segment during the six months ended December 31, 2016 is primarily attributable to increased project awards, including an award for a thermal vacuum chamber project during the second quarter.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Other Factors</w:t>
      </w:r>
    </w:p>
    <w:p>
      <w:pPr>
        <w:spacing w:after="0" w:line="17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Our operating results can exhibit seasonal fluctuations, especially in our Oil Gas &amp; Chemical segment, for a variety of reasons. Turnarounds and planned outages at customer facilities are typically scheduled in the spring and the fall when the demand for energy is lower. Within the Electrical Infrastructure segment, transmission and distribution work is generally scheduled by the public utilities when the demand for electricity is at its lowest. Therefore, revenue volume in the summer months is typically lower than in other periods throughout the year. Also, we typically see a lower level of operating activity relating to construction projects during the winter months and early in the calendar year because many of our customers’ capital budgets have not been finalized. Our business can also be affected, both positively and negatively, by seasonal factors such as energy demand or weather conditions including hurricanes, snowstorms, and abnormally low or high temperatures. Some of these seasonal factors may cause some of our offices and projects to close or reduce activities temporarily. In addition to the above noted factors, the general timing of project starts and completions could exhibit significant fluctuations. Accordingly, results for any interim period may not necessarily be indicative of operating results for the full year.</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w:t>
      </w:r>
    </w:p>
    <w:p>
      <w:pPr>
        <w:sectPr>
          <w:pgSz w:w="11900" w:h="16838" w:orient="portrait"/>
          <w:cols w:equalWidth="0" w:num="1">
            <w:col w:w="11420"/>
          </w:cols>
          <w:pgMar w:left="240" w:top="34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factors impacting operating results in all segments come from work site permitting delays or customers accelerating or postponing work. The differing types, sizes, and durations of our contracts, combined with their geographic diversity and stages of completion, often results in fluctuations in the Company's operating results.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Commodity Price Volatility and Market Uncertainty</w:t>
      </w:r>
    </w:p>
    <w:p>
      <w:pPr>
        <w:spacing w:after="0" w:line="1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prolonged decline in crude prices continues to impact our income from operations and project awards, particularly in the Oil Gas &amp; Chemical and Storage Solutions segments. The Industrial segment continues to be negatively impacted by the low prices of other commodities, principally steel and copper. The decline in commodity prices has not had, and we do not expect a significant impact on the Electrical Infrastructure segment.</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Oil Gas &amp; Chemical segment continues to see lower volumes of routine maintenance and turnaround work as well as award delays caused by slower than expected improvements in commodity pricing and regulatory uncertainties. If commodity prices remain at current levels or the current uncertainty continues, spending levels may continue to be reduced.</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our Storage Solutions segment, our customers continue to take a long-term view of the market, but continue to be cautious short-term. Based on current market conditions, we are seeing a continued reduction in customer spending and project award delays. Although we are seeing signs of market improvement, we cannot predict the direction of commodity prices or our customers’ ultimate reaction to the market and therefore cannot predict the magnitude of the impact to our future earnings.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Industrial segment, our iron and steel customers are facing challenges related to the import of cheaper foreign steel, global steel production over-capacity and the strong United States Dollar, which continues to be a headwind for steel exports. These conditions have reduced steel mill utilization in the U.S., which has reduced the capital, expansion and elective maintenance spending of our customers. Although we are seeing some encouraging political developments with respect to U.S. trade, we do not expect higher levels of spending until the factors that led to lower steel mill utilization are relieved. In the mining and minerals markets, we continue to see lower spending due to the softness of other commodity prices. However, copper prices, to which our clients are particularly exposed, have increased in recent months.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EBITDA is a supplemental, non-GAAP financial measure. EBITDA is defined as earnings before interest expense, income taxes, depreciation and amortization. We have presented EBITDA because it is used by the financial community as a method of measuring our performance and of evaluating the market value of companies considered to be in similar businesses. We believe that the line item on our Consolidated Statements of Income entitled “Net Income” is the most directly comparable GAAP measure to EBITDA. Since EBITDA is not a measure of performance calculated in accordance with GAAP, it should not be considered in isolation of, or as a substitute for, net earnings as an indicator of operating performance. EBITDA, as we calculate it, may not be comparable to similarly titled measures employed by other companies. In addition, this measure is not a measure of our ability to fund our cash needs. As EBITDA excludes certain financial information compared with net income, the most directly comparable GAAP financial measure, users of this financial information should consider the type of events and transactions that are excluded. Our non-GAAP performance measure, EBITDA, has certain material limitations as follows:</w:t>
      </w:r>
    </w:p>
    <w:p>
      <w:pPr>
        <w:spacing w:after="0" w:line="197" w:lineRule="exact"/>
        <w:rPr>
          <w:sz w:val="20"/>
          <w:szCs w:val="20"/>
          <w:color w:val="auto"/>
        </w:rPr>
      </w:pPr>
    </w:p>
    <w:p>
      <w:pPr>
        <w:ind w:left="980" w:right="220" w:hanging="324"/>
        <w:spacing w:after="0" w:line="286" w:lineRule="auto"/>
        <w:tabs>
          <w:tab w:leader="none" w:pos="9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It does not include interest expense. Because we have borrowed money to finance our operations, pay commitment fees to maintain our credit facility, and incur fees to issue letters of credit under the credit facility, interest expense is a necessary and ongoing part of our costs and has assisted us in generating revenue. Therefore, any measure that excludes interest expense has material limitations.</w:t>
      </w:r>
    </w:p>
    <w:p>
      <w:pPr>
        <w:spacing w:after="0" w:line="165" w:lineRule="exact"/>
        <w:rPr>
          <w:rFonts w:ascii="Arial" w:cs="Arial" w:eastAsia="Arial" w:hAnsi="Arial"/>
          <w:sz w:val="17"/>
          <w:szCs w:val="17"/>
          <w:color w:val="auto"/>
        </w:rPr>
      </w:pPr>
    </w:p>
    <w:p>
      <w:pPr>
        <w:ind w:left="980" w:right="420" w:hanging="324"/>
        <w:spacing w:after="0" w:line="277"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income taxes. Because the payment of income taxes is a necessary and ongoing part of our operations, any measure that excludes income taxes has material limitations.</w:t>
      </w:r>
    </w:p>
    <w:p>
      <w:pPr>
        <w:spacing w:after="0" w:line="170" w:lineRule="exact"/>
        <w:rPr>
          <w:rFonts w:ascii="Arial" w:cs="Arial" w:eastAsia="Arial" w:hAnsi="Arial"/>
          <w:sz w:val="18"/>
          <w:szCs w:val="18"/>
          <w:color w:val="auto"/>
        </w:rPr>
      </w:pPr>
    </w:p>
    <w:p>
      <w:pPr>
        <w:ind w:left="980" w:right="280" w:hanging="324"/>
        <w:spacing w:after="0" w:line="264" w:lineRule="auto"/>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It does not include depreciation or amortization expense. Because we use capital and intangible assets to generate revenue, depreciation and amortization expense is a necessary element of our cost structure. Therefore, any measure that excludes depreciation or amortization expense has material limitations.</w:t>
      </w:r>
    </w:p>
    <w:p>
      <w:pPr>
        <w:spacing w:after="0" w:line="208" w:lineRule="exact"/>
        <w:rPr>
          <w:rFonts w:ascii="Arial" w:cs="Arial" w:eastAsia="Arial" w:hAnsi="Arial"/>
          <w:sz w:val="18"/>
          <w:szCs w:val="18"/>
          <w:color w:val="auto"/>
        </w:rPr>
      </w:pPr>
    </w:p>
    <w:p>
      <w:pPr>
        <w:ind w:left="5640" w:hanging="98"/>
        <w:spacing w:after="0"/>
        <w:tabs>
          <w:tab w:leader="none" w:pos="56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29-</w:t>
      </w:r>
    </w:p>
    <w:p>
      <w:pPr>
        <w:sectPr>
          <w:pgSz w:w="11900" w:h="16838" w:orient="portrait"/>
          <w:cols w:equalWidth="0" w:num="1">
            <w:col w:w="11420"/>
          </w:cols>
          <w:pgMar w:left="240" w:top="34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EBITDA to net income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55"/>
              <w:spacing w:after="0"/>
              <w:rPr>
                <w:sz w:val="20"/>
                <w:szCs w:val="20"/>
                <w:color w:val="auto"/>
              </w:rPr>
            </w:pPr>
            <w:r>
              <w:rPr>
                <w:rFonts w:ascii="Arial" w:cs="Arial" w:eastAsia="Arial" w:hAnsi="Arial"/>
                <w:sz w:val="14"/>
                <w:szCs w:val="14"/>
                <w:b w:val="1"/>
                <w:bCs w:val="1"/>
                <w:color w:val="auto"/>
              </w:rPr>
              <w:t>Six Months Ended</w:t>
            </w:r>
          </w:p>
        </w:tc>
      </w:tr>
      <w:tr>
        <w:trPr>
          <w:trHeight w:val="152"/>
        </w:trPr>
        <w:tc>
          <w:tcPr>
            <w:tcW w:w="4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500" w:type="dxa"/>
            <w:vAlign w:val="bottom"/>
            <w:gridSpan w:val="3"/>
          </w:tcPr>
          <w:p>
            <w:pPr>
              <w:ind w:left="2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3"/>
                <w:szCs w:val="13"/>
                <w:color w:val="auto"/>
              </w:rPr>
            </w:pPr>
          </w:p>
        </w:tc>
        <w:tc>
          <w:tcPr>
            <w:tcW w:w="118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6"/>
              </w:rPr>
              <w:t>December 31,</w:t>
            </w:r>
          </w:p>
        </w:tc>
      </w:tr>
      <w:tr>
        <w:trPr>
          <w:trHeight w:val="192"/>
        </w:trPr>
        <w:tc>
          <w:tcPr>
            <w:tcW w:w="46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2015</w:t>
            </w:r>
          </w:p>
        </w:tc>
      </w:tr>
      <w:tr>
        <w:trPr>
          <w:trHeight w:val="196"/>
        </w:trPr>
        <w:tc>
          <w:tcPr>
            <w:tcW w:w="4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60" w:type="dxa"/>
            <w:vAlign w:val="bottom"/>
            <w:gridSpan w:val="5"/>
          </w:tcPr>
          <w:p>
            <w:pPr>
              <w:ind w:left="78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56"/>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attributable to Matrix Service Company</w:t>
            </w:r>
          </w:p>
        </w:tc>
        <w:tc>
          <w:tcPr>
            <w:tcW w:w="1360" w:type="dxa"/>
            <w:vAlign w:val="bottom"/>
            <w:tcBorders>
              <w:bottom w:val="single" w:sz="8" w:color="CCEEFF"/>
            </w:tcBorders>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5,250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5,431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14,592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15,372</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740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515</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1,477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6,553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5,084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5,291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9,988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10,720</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13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13,394</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12,451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32,618</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33,160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1360" w:type="dxa"/>
            <w:vAlign w:val="bottom"/>
            <w:gridSpan w:val="2"/>
          </w:tcPr>
          <w:p>
            <w:pPr>
              <w:jc w:val="right"/>
              <w:ind w:right="68"/>
              <w:spacing w:after="0"/>
              <w:rPr>
                <w:sz w:val="20"/>
                <w:szCs w:val="20"/>
                <w:color w:val="auto"/>
              </w:rPr>
            </w:pPr>
            <w:r>
              <w:rPr>
                <w:rFonts w:ascii="Arial" w:cs="Arial" w:eastAsia="Arial" w:hAnsi="Arial"/>
                <w:sz w:val="18"/>
                <w:szCs w:val="18"/>
                <w:color w:val="auto"/>
              </w:rPr>
              <w:t>- 30-</w:t>
            </w: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34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define liquidity as the ongoing ability to pay our liabilities as they become due, fund business operations and meet all monetary contractual obligations. Our primary sources of liquidity for the six months ended December 31, 2016 were cash on hand, capacity under our senior revolving credit facility and cash generated from operations before consideration of changes in working capital. Cash on hand at December 31, 2016 totaled $66.2 million and availability under the senior revolving credit facility totaled $162.2 million resulting in available liquidity of $228.4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Factors that routinely impact our short-term liquidity and may impact our long-term liquidity include, but are not limited to:</w:t>
      </w:r>
    </w:p>
    <w:p>
      <w:pPr>
        <w:spacing w:after="0" w:line="171" w:lineRule="exact"/>
        <w:rPr>
          <w:sz w:val="20"/>
          <w:szCs w:val="20"/>
          <w:color w:val="auto"/>
        </w:rPr>
      </w:pPr>
    </w:p>
    <w:p>
      <w:pPr>
        <w:ind w:left="980" w:right="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costs and estimated earnings in excess of billings on uncompleted contracts and billings on uncompleted contracts in excess of costs due to contract terms that determine the timing of billings to customers and the collection of those billings</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cost plus and fixed price customer contracts are billed based on milestones which may require us to incur significant expenditures prior to collections from our customers.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Time and material contracts are normally billed in arrears. Therefore, we are routinely required to carry these costs until they can be billed and collected.</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Some of our large construction projects may require significant retentions or security in the form of letters of credit.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Other changes in working capital</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Capital expenditures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Other factors that may impact both short and long-term liquidity include:</w:t>
      </w:r>
    </w:p>
    <w:p>
      <w:pPr>
        <w:spacing w:after="0" w:line="225"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Acquisitions of new businesses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investments in new operations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of shares under our stock buyback program</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Contract disputes which can be significant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Collection issues, including those caused by weak commodity prices or other factors which can lead to credit deterioration of our customers</w:t>
      </w:r>
    </w:p>
    <w:p>
      <w:pPr>
        <w:spacing w:after="0" w:line="248" w:lineRule="exact"/>
        <w:rPr>
          <w:rFonts w:ascii="Arial" w:cs="Arial" w:eastAsia="Arial" w:hAnsi="Arial"/>
          <w:sz w:val="16"/>
          <w:szCs w:val="16"/>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Capacity constraints under our credit facility and remaining in compliance with all covenants contained in the credit agreement</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default by one of the major financial institutions for which our deposits exceed insured deposit limits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Cash on hand outside of the United States that cannot be repatriated without incremental taxation.</w:t>
      </w:r>
    </w:p>
    <w:p>
      <w:pPr>
        <w:spacing w:after="0" w:line="3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discussed under the caption "Senior Revolving Credit Facility" included in this Financial Condition and Liquidity section of the Form 10-Q, our Credit Agreement includes a Senior Leverage Ratio covenant, which provides that Consolidated Funded Indebtedness, as of the end of any fiscal quarter, may not exceed 3.0 times Consolidated EBITDA, as defined in the Credit Agreement, during any Acquisition Adjustment Period and 2.5 times Consolidated EBITDA at all other times, over the previous four quarters.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w:t>
      </w:r>
    </w:p>
    <w:p>
      <w:pPr>
        <w:sectPr>
          <w:pgSz w:w="11900" w:h="16838" w:orient="portrait"/>
          <w:cols w:equalWidth="0" w:num="1">
            <w:col w:w="11420"/>
          </w:cols>
          <w:pgMar w:left="240" w:top="34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for the Six Months Ended December 31, 2016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by Operating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Cash used by operating activities for the six months ended December 31, 2016 totaled $30.9 million. The various components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620" w:type="dxa"/>
            <w:vAlign w:val="bottom"/>
          </w:tcPr>
          <w:p>
            <w:pPr>
              <w:spacing w:after="0"/>
              <w:rPr>
                <w:sz w:val="19"/>
                <w:szCs w:val="19"/>
                <w:color w:val="auto"/>
              </w:rPr>
            </w:pPr>
          </w:p>
        </w:tc>
        <w:tc>
          <w:tcPr>
            <w:tcW w:w="6840" w:type="dxa"/>
            <w:vAlign w:val="bottom"/>
            <w:gridSpan w:val="2"/>
          </w:tcPr>
          <w:p>
            <w:pPr>
              <w:jc w:val="right"/>
              <w:ind w:right="3170"/>
              <w:spacing w:after="0"/>
              <w:rPr>
                <w:sz w:val="20"/>
                <w:szCs w:val="20"/>
                <w:color w:val="auto"/>
              </w:rPr>
            </w:pPr>
            <w:r>
              <w:rPr>
                <w:rFonts w:ascii="Arial" w:cs="Arial" w:eastAsia="Arial" w:hAnsi="Arial"/>
                <w:sz w:val="18"/>
                <w:szCs w:val="18"/>
                <w:b w:val="1"/>
                <w:bCs w:val="1"/>
                <w:color w:val="auto"/>
              </w:rPr>
              <w:t>Net Cash Used by Operating Activities</w:t>
            </w:r>
          </w:p>
        </w:tc>
        <w:tc>
          <w:tcPr>
            <w:tcW w:w="9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6840" w:type="dxa"/>
            <w:vAlign w:val="bottom"/>
            <w:gridSpan w:val="2"/>
          </w:tcPr>
          <w:p>
            <w:pPr>
              <w:jc w:val="right"/>
              <w:ind w:right="4130"/>
              <w:spacing w:after="0"/>
              <w:rPr>
                <w:sz w:val="20"/>
                <w:szCs w:val="20"/>
                <w:color w:val="auto"/>
              </w:rPr>
            </w:pPr>
            <w:r>
              <w:rPr>
                <w:rFonts w:ascii="Arial" w:cs="Arial" w:eastAsia="Arial" w:hAnsi="Arial"/>
                <w:sz w:val="18"/>
                <w:szCs w:val="18"/>
                <w:color w:val="auto"/>
              </w:rPr>
              <w:t>(In thousands)</w:t>
            </w:r>
          </w:p>
        </w:tc>
        <w:tc>
          <w:tcPr>
            <w:tcW w:w="960" w:type="dxa"/>
            <w:vAlign w:val="bottom"/>
          </w:tcPr>
          <w:p>
            <w:pPr>
              <w:spacing w:after="0"/>
              <w:rPr>
                <w:sz w:val="20"/>
                <w:szCs w:val="20"/>
                <w:color w:val="auto"/>
              </w:rPr>
            </w:pPr>
          </w:p>
        </w:tc>
      </w:tr>
      <w:tr>
        <w:trPr>
          <w:trHeight w:val="324"/>
        </w:trPr>
        <w:tc>
          <w:tcPr>
            <w:tcW w:w="36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68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14,592</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Non-cash expenses</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13,370</w:t>
            </w:r>
          </w:p>
        </w:tc>
      </w:tr>
      <w:tr>
        <w:trPr>
          <w:trHeight w:val="27"/>
        </w:trPr>
        <w:tc>
          <w:tcPr>
            <w:tcW w:w="36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w:t>
            </w:r>
          </w:p>
        </w:tc>
        <w:tc>
          <w:tcPr>
            <w:tcW w:w="64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970</w:t>
            </w:r>
          </w:p>
        </w:tc>
      </w:tr>
      <w:tr>
        <w:trPr>
          <w:trHeight w:val="243"/>
        </w:trPr>
        <w:tc>
          <w:tcPr>
            <w:tcW w:w="3620" w:type="dxa"/>
            <w:vAlign w:val="bottom"/>
          </w:tcPr>
          <w:p>
            <w:pPr>
              <w:ind w:left="40"/>
              <w:spacing w:after="0"/>
              <w:rPr>
                <w:sz w:val="20"/>
                <w:szCs w:val="20"/>
                <w:color w:val="auto"/>
              </w:rPr>
            </w:pPr>
            <w:r>
              <w:rPr>
                <w:rFonts w:ascii="Arial" w:cs="Arial" w:eastAsia="Arial" w:hAnsi="Arial"/>
                <w:sz w:val="18"/>
                <w:szCs w:val="18"/>
                <w:color w:val="auto"/>
              </w:rPr>
              <w:t>Cash effect of changes in working capital</w:t>
            </w:r>
          </w:p>
        </w:tc>
        <w:tc>
          <w:tcPr>
            <w:tcW w:w="6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(59,973)</w:t>
            </w:r>
          </w:p>
        </w:tc>
      </w:tr>
      <w:tr>
        <w:trPr>
          <w:trHeight w:val="27"/>
        </w:trPr>
        <w:tc>
          <w:tcPr>
            <w:tcW w:w="3620" w:type="dxa"/>
            <w:vAlign w:val="bottom"/>
          </w:tcPr>
          <w:p>
            <w:pPr>
              <w:spacing w:after="0"/>
              <w:rPr>
                <w:sz w:val="2"/>
                <w:szCs w:val="2"/>
                <w:color w:val="auto"/>
              </w:rPr>
            </w:pPr>
          </w:p>
        </w:tc>
        <w:tc>
          <w:tcPr>
            <w:tcW w:w="6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3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64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w:t>
            </w: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Net cash used by operating activities</w:t>
            </w:r>
          </w:p>
        </w:tc>
        <w:tc>
          <w:tcPr>
            <w:tcW w:w="644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(30,908)</w:t>
            </w:r>
          </w:p>
        </w:tc>
      </w:tr>
      <w:tr>
        <w:trPr>
          <w:trHeight w:val="20"/>
        </w:trPr>
        <w:tc>
          <w:tcPr>
            <w:tcW w:w="36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 changes, net of effects from acquisitions, at December 31, 2016 in comparison to June 30, 2016 include the following:</w:t>
      </w:r>
    </w:p>
    <w:p>
      <w:pPr>
        <w:spacing w:after="0" w:line="225" w:lineRule="exact"/>
        <w:rPr>
          <w:sz w:val="20"/>
          <w:szCs w:val="20"/>
          <w:color w:val="auto"/>
        </w:rPr>
      </w:pPr>
    </w:p>
    <w:p>
      <w:pPr>
        <w:ind w:left="980" w:right="180" w:hanging="324"/>
        <w:spacing w:after="0" w:line="286" w:lineRule="auto"/>
        <w:tabs>
          <w:tab w:leader="none" w:pos="9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Accounts receivable, net of bad debt expense recognized during the period, increased by $49.0 million during the six months ended December 31, 2016. The variance is primarily attributable to the timing of billing and collections on our previously announced projects for the construction of terminals supporting the Dakota Access Pipeline and the Napanee Power Generating Station.</w:t>
      </w:r>
    </w:p>
    <w:p>
      <w:pPr>
        <w:spacing w:after="0" w:line="165" w:lineRule="exact"/>
        <w:rPr>
          <w:rFonts w:ascii="Arial" w:cs="Arial" w:eastAsia="Arial" w:hAnsi="Arial"/>
          <w:sz w:val="17"/>
          <w:szCs w:val="17"/>
          <w:color w:val="auto"/>
        </w:rPr>
      </w:pPr>
    </w:p>
    <w:p>
      <w:pPr>
        <w:ind w:left="980" w:right="120" w:hanging="324"/>
        <w:spacing w:after="0" w:line="297" w:lineRule="auto"/>
        <w:tabs>
          <w:tab w:leader="none" w:pos="9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Accounts payable decreased by $34.3 million during the six months ended December 31, 2016. The variance is primarily attributable to the timing of vendor payments. Costs and estimated earnings in excess of billings on uncompleted contracts ("CIE") decreased $24.4 million while billings on uncompleted contracts in excess of costs and estimated earnings ("BIE") increased $4.9 million. The net change in CIE and BIE increased cash $29.3 million for the six months ended December 31, 2016. CIE and BIE balances can experience significant fluctuations based on the timing of when job costs are incurred, the invoicing of those job costs to the customer, and other working capital management factors.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Flows Used for Investing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Investing activities used $43.8 million of cash in the six months ended December 31, 2016 primarily due to the Houston Interests acquisition, which used $39.8 million, and $4.2 million of capital expenditures. Capital expenditures consisted of purchases of: $2.0 million for office equipment, $1.1 million for construction equipment, $0.7 million for transportation and fabrication equipment, and $0.4 million for land and buildings. Proceeds from asset sales provided $0.2 million of cash.</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Financing Activities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Financing activities provided $70.4 million of cash in the six months ended December 31, 2016 primarily due to net borrowings of $72.4 million under our credit facility that were partially offset by the repurchase of $2.3 million of Company stock for payment of withholding taxes due on equity-based compensation. The net borrowings under our credit facility were primarily used to fund $46.0 million of cash purchase price for the Houston Interests acquisition and working capital needs of our Canadian business.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w:t>
      </w:r>
    </w:p>
    <w:p>
      <w:pPr>
        <w:sectPr>
          <w:pgSz w:w="11900" w:h="16838" w:orient="portrait"/>
          <w:cols w:equalWidth="0" w:num="1">
            <w:col w:w="11420"/>
          </w:cols>
          <w:pgMar w:left="240" w:top="34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Revolving Credit Facility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6"/>
          <w:szCs w:val="16"/>
          <w:color w:val="auto"/>
        </w:rPr>
        <w:t>As noted previously in Note 5 of the Notes to Condensed Consolidated Financial Statements included in Part 1, Item 1 of this Quarterly Report on Form 10-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7"/>
          <w:szCs w:val="17"/>
          <w:color w:val="auto"/>
        </w:rPr>
        <w:t>Q, the Company amended its senior secured revolving credit facility on December 12, 2016 (the "Credit Agreement"). The amendments are as follows:</w:t>
      </w:r>
    </w:p>
    <w:p>
      <w:pPr>
        <w:spacing w:after="0" w:line="168" w:lineRule="exact"/>
        <w:rPr>
          <w:sz w:val="20"/>
          <w:szCs w:val="20"/>
          <w:color w:val="auto"/>
        </w:rPr>
      </w:pPr>
    </w:p>
    <w:p>
      <w:pPr>
        <w:ind w:left="1300" w:hanging="482"/>
        <w:spacing w:after="0"/>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aggregate revolving loan capacity increased from $200.0 million to $250.0 million.</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maximum aggregate amount, or sublimit, for Canadian Dollar loans was increased from U.S. $40.0 million to U.S. $50.0 million.</w:t>
      </w:r>
    </w:p>
    <w:p>
      <w:pPr>
        <w:spacing w:after="0" w:line="182" w:lineRule="exact"/>
        <w:rPr>
          <w:rFonts w:ascii="Arial" w:cs="Arial" w:eastAsia="Arial" w:hAnsi="Arial"/>
          <w:sz w:val="17"/>
          <w:szCs w:val="17"/>
          <w:color w:val="auto"/>
        </w:rPr>
      </w:pPr>
    </w:p>
    <w:p>
      <w:pPr>
        <w:jc w:val="both"/>
        <w:ind w:left="1300" w:right="160" w:hanging="482"/>
        <w:spacing w:after="0" w:line="342"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During any Acquisition Adjustment Period, as defined in the amended credit agreement, the Company's Senior Leverage Ratio, as defined in the amended credit agreement, may not exceed 3.00 to 1.00. At all other times, the Senior Leverage Ratio may not exceed 2.50 to 1.00.</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 includes a Senior Leverage Ratio covenant - which provides that Consolidated Funded Indebtedness, as of the end of any fiscal quarter, may not exceed 3.0 times Consolidated EBITDA during any Acquisition Adjustment Period and may not exceed 2.5 times Consolidated EBITDA at all other times, over the previous four quarters. For the four quarters ended December 31, 2016, Consolidated EBITDA, as defined in the Credit Agreement, was $84.0 million. Consolidated Funded Indebtedness at December 31, 2016 was $80.0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Availability under the senior credit facility at December 31, 2016 was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460" w:type="dxa"/>
            <w:vAlign w:val="bottom"/>
          </w:tcPr>
          <w:p>
            <w:pPr>
              <w:spacing w:after="0"/>
              <w:rPr>
                <w:sz w:val="14"/>
                <w:szCs w:val="14"/>
                <w:color w:val="auto"/>
              </w:rPr>
            </w:pPr>
          </w:p>
        </w:tc>
        <w:tc>
          <w:tcPr>
            <w:tcW w:w="1140" w:type="dxa"/>
            <w:vAlign w:val="bottom"/>
          </w:tcPr>
          <w:p>
            <w:pPr>
              <w:jc w:val="right"/>
              <w:ind w:right="474"/>
              <w:spacing w:after="0"/>
              <w:rPr>
                <w:sz w:val="20"/>
                <w:szCs w:val="20"/>
                <w:color w:val="auto"/>
              </w:rPr>
            </w:pPr>
            <w:r>
              <w:rPr>
                <w:rFonts w:ascii="Arial" w:cs="Arial" w:eastAsia="Arial" w:hAnsi="Arial"/>
                <w:sz w:val="14"/>
                <w:szCs w:val="14"/>
                <w:b w:val="1"/>
                <w:bCs w:val="1"/>
                <w:color w:val="auto"/>
                <w:w w:val="99"/>
              </w:rPr>
              <w:t>June 30,</w:t>
            </w:r>
          </w:p>
        </w:tc>
      </w:tr>
      <w:tr>
        <w:trPr>
          <w:trHeight w:val="192"/>
        </w:trPr>
        <w:tc>
          <w:tcPr>
            <w:tcW w:w="8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196"/>
        </w:trPr>
        <w:tc>
          <w:tcPr>
            <w:tcW w:w="8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color w:val="auto"/>
              </w:rPr>
              <w:t>(In thousands)</w:t>
            </w:r>
          </w:p>
        </w:tc>
        <w:tc>
          <w:tcPr>
            <w:tcW w:w="1140" w:type="dxa"/>
            <w:vAlign w:val="bottom"/>
          </w:tcPr>
          <w:p>
            <w:pPr>
              <w:spacing w:after="0"/>
              <w:rPr>
                <w:sz w:val="17"/>
                <w:szCs w:val="17"/>
                <w:color w:val="auto"/>
              </w:rPr>
            </w:pPr>
          </w:p>
        </w:tc>
      </w:tr>
      <w:tr>
        <w:trPr>
          <w:trHeight w:val="256"/>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revolving credit facility</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200,000</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Capacity constraint due to the Senior Leverage Ratio</w:t>
            </w: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20,138</w:t>
            </w:r>
          </w:p>
        </w:tc>
      </w:tr>
      <w:tr>
        <w:trPr>
          <w:trHeight w:val="27"/>
        </w:trPr>
        <w:tc>
          <w:tcPr>
            <w:tcW w:w="8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Capacity under the credit facility</w:t>
            </w:r>
          </w:p>
        </w:tc>
        <w:tc>
          <w:tcPr>
            <w:tcW w:w="2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179,862</w:t>
            </w: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Borrowings outstanding</w:t>
            </w:r>
          </w:p>
        </w:tc>
        <w:tc>
          <w:tcPr>
            <w:tcW w:w="24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72,412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8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Letters of credit</w:t>
            </w: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15,378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20,755</w:t>
            </w:r>
          </w:p>
        </w:tc>
      </w:tr>
      <w:tr>
        <w:trPr>
          <w:trHeight w:val="257"/>
        </w:trPr>
        <w:tc>
          <w:tcPr>
            <w:tcW w:w="8120" w:type="dxa"/>
            <w:vAlign w:val="bottom"/>
          </w:tcPr>
          <w:p>
            <w:pPr>
              <w:ind w:left="40"/>
              <w:spacing w:after="0"/>
              <w:rPr>
                <w:sz w:val="20"/>
                <w:szCs w:val="20"/>
                <w:color w:val="auto"/>
              </w:rPr>
            </w:pPr>
            <w:r>
              <w:rPr>
                <w:rFonts w:ascii="Arial" w:cs="Arial" w:eastAsia="Arial" w:hAnsi="Arial"/>
                <w:sz w:val="18"/>
                <w:szCs w:val="18"/>
                <w:color w:val="auto"/>
              </w:rPr>
              <w:t>Availability under the senior revolving credit facility</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162,210</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159,107</w:t>
            </w:r>
          </w:p>
        </w:tc>
      </w:tr>
      <w:tr>
        <w:trPr>
          <w:trHeight w:val="20"/>
        </w:trPr>
        <w:tc>
          <w:tcPr>
            <w:tcW w:w="8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Outstanding borrowings at December 31, 2016 under our Credit Agreement were primarily used to fund the acquisition of Houston Interests (See Part 1, Item 1, Note 2 - Acquisitions) and working capital needs in our Canadian business due to the timing of collections and disbursements on the previously announced power generating project.</w:t>
      </w:r>
    </w:p>
    <w:p>
      <w:pPr>
        <w:spacing w:after="0" w:line="127" w:lineRule="exact"/>
        <w:rPr>
          <w:sz w:val="20"/>
          <w:szCs w:val="20"/>
          <w:color w:val="auto"/>
        </w:rPr>
      </w:pPr>
    </w:p>
    <w:p>
      <w:pPr>
        <w:ind w:right="1300"/>
        <w:spacing w:after="0" w:line="438" w:lineRule="auto"/>
        <w:rPr>
          <w:sz w:val="20"/>
          <w:szCs w:val="20"/>
          <w:color w:val="auto"/>
        </w:rPr>
      </w:pPr>
      <w:r>
        <w:rPr>
          <w:rFonts w:ascii="Arial" w:cs="Arial" w:eastAsia="Arial" w:hAnsi="Arial"/>
          <w:sz w:val="18"/>
          <w:szCs w:val="18"/>
          <w:color w:val="auto"/>
        </w:rPr>
        <w:t xml:space="preserve">At December 31, 2016, the Company was in compliance with all affirmative, negative, and financial covenants under the Credit Agreement. </w:t>
      </w:r>
      <w:r>
        <w:rPr>
          <w:rFonts w:ascii="Arial" w:cs="Arial" w:eastAsia="Arial" w:hAnsi="Arial"/>
          <w:sz w:val="18"/>
          <w:szCs w:val="18"/>
          <w:b w:val="1"/>
          <w:bCs w:val="1"/>
          <w:color w:val="auto"/>
        </w:rPr>
        <w:t>New Credit Agreement</w:t>
      </w:r>
    </w:p>
    <w:p>
      <w:pPr>
        <w:spacing w:after="0" w:line="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8, 2017, the Company entered into the Fourth Amended and Restated Credit Agreement (the "New Credit Agreement"), by and among the Company and certain foreign subsidiaries, as Borrowers, various subsidiaries of the Company, as Guarantors, JPMorgan Chase Bank, N.A., as Administrative Agent, Sole Lead Arranger and Sole Bookrunner, and the other Lenders party thereto, which replaced the Third Amended and Restated Credit Agreement dated as of November 7, 2011, as previously amended (the "Prior Credit Agreement").</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New Credit Agreement provides for a five-year senior secured revolving credit facility of $300.0 million that expires February 8, 2022, which replaces the $250.0 million senior secured revolving credit facility under the Prior Credit Agreement. The new credit facility may be used for working capital, acquisitions, capital expenditures, issuances of letters of credit and other lawful purposes.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w:t>
      </w:r>
    </w:p>
    <w:p>
      <w:pPr>
        <w:sectPr>
          <w:pgSz w:w="11900" w:h="16838" w:orient="portrait"/>
          <w:cols w:equalWidth="0" w:num="1">
            <w:col w:w="11420"/>
          </w:cols>
          <w:pgMar w:left="240" w:top="34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New Credit Agreement includes the following covenants and borrowing limitations:</w:t>
      </w:r>
    </w:p>
    <w:p>
      <w:pPr>
        <w:spacing w:after="0" w:line="171" w:lineRule="exact"/>
        <w:rPr>
          <w:sz w:val="20"/>
          <w:szCs w:val="20"/>
          <w:color w:val="auto"/>
        </w:rPr>
      </w:pPr>
    </w:p>
    <w:p>
      <w:pPr>
        <w:ind w:left="1300" w:hanging="482"/>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Leverage Ratio, determined as of the end of each fiscal quarter, may not exceed 3.00 to 1.00.</w:t>
      </w:r>
    </w:p>
    <w:p>
      <w:pPr>
        <w:spacing w:after="0" w:line="171" w:lineRule="exact"/>
        <w:rPr>
          <w:rFonts w:ascii="Arial" w:cs="Arial" w:eastAsia="Arial" w:hAnsi="Arial"/>
          <w:sz w:val="18"/>
          <w:szCs w:val="18"/>
          <w:color w:val="auto"/>
        </w:rPr>
      </w:pPr>
    </w:p>
    <w:p>
      <w:pPr>
        <w:ind w:left="1300" w:right="300" w:hanging="482"/>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with the Prior Credit Agreement, we are required to maintain a Fixed Charge Coverage Ratio, determined as of the end of each fiscal quarter, greater than or equal to 1.25 to 1.00.</w:t>
      </w:r>
    </w:p>
    <w:p>
      <w:pPr>
        <w:spacing w:after="0" w:line="116" w:lineRule="exact"/>
        <w:rPr>
          <w:rFonts w:ascii="Arial" w:cs="Arial" w:eastAsia="Arial" w:hAnsi="Arial"/>
          <w:sz w:val="18"/>
          <w:szCs w:val="18"/>
          <w:color w:val="auto"/>
        </w:rPr>
      </w:pPr>
    </w:p>
    <w:p>
      <w:pPr>
        <w:ind w:left="1300" w:right="80" w:hanging="482"/>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Asset dispositions (other than dispositions in which 100% of the net cash proceeds therefrom are reinvested into the Company and dispositions of inventory and obsolete or unneeded equipment in the ordinary course of business) are limited to $20.0 million per 12-month period.</w:t>
      </w:r>
    </w:p>
    <w:p>
      <w:pPr>
        <w:spacing w:after="0" w:line="127" w:lineRule="exact"/>
        <w:rPr>
          <w:sz w:val="20"/>
          <w:szCs w:val="20"/>
          <w:color w:val="auto"/>
        </w:rPr>
      </w:pPr>
    </w:p>
    <w:p>
      <w:pPr>
        <w:jc w:val="both"/>
        <w:ind w:left="60"/>
        <w:spacing w:after="0" w:line="264" w:lineRule="auto"/>
        <w:rPr>
          <w:sz w:val="20"/>
          <w:szCs w:val="20"/>
          <w:color w:val="auto"/>
        </w:rPr>
      </w:pPr>
      <w:r>
        <w:rPr>
          <w:rFonts w:ascii="Arial" w:cs="Arial" w:eastAsia="Arial" w:hAnsi="Arial"/>
          <w:sz w:val="18"/>
          <w:szCs w:val="18"/>
          <w:color w:val="auto"/>
        </w:rPr>
        <w:t>The new credit facility will include a sub-facility for revolving loans denominated in Australian Dollars, Canadian Dollars, Euros and Pounds Sterling in an aggregate amount not to exceed the U.S. Dollar equivalent of $75.0 million and a $200.0 million sublimit for letters of credit. Each revolving borrowing under the New Credit Agreement will bear interest at a rate per annum equal to:</w:t>
      </w:r>
    </w:p>
    <w:p>
      <w:pPr>
        <w:spacing w:after="0" w:line="127" w:lineRule="exact"/>
        <w:rPr>
          <w:sz w:val="20"/>
          <w:szCs w:val="20"/>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ABR or the Adjusted LIBO Rate, in the case of revolving loans denominated in U.S.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Canadian Prime Rate or the CDOR rate, in the case of revolving loans denominated in Canadian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Adjusted LIBO Rate, in the case of revolving loans denominated in Pounds Sterling or Australian Dollars;</w:t>
      </w:r>
    </w:p>
    <w:p>
      <w:pPr>
        <w:spacing w:after="0" w:line="171" w:lineRule="exact"/>
        <w:rPr>
          <w:rFonts w:ascii="Arial" w:cs="Arial" w:eastAsia="Arial" w:hAnsi="Arial"/>
          <w:sz w:val="18"/>
          <w:szCs w:val="18"/>
          <w:color w:val="auto"/>
        </w:rPr>
      </w:pPr>
    </w:p>
    <w:p>
      <w:pPr>
        <w:ind w:left="1300" w:hanging="482"/>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EURIBO Rate, in the case of revolving loans denominated in Euros,</w:t>
      </w:r>
    </w:p>
    <w:p>
      <w:pPr>
        <w:spacing w:after="0" w:line="32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each case, plus the Applicable Margin, which is based on the Company's Leverage Ratio. The Applicable Margin on ABR loans ranges between 0.625% and 1.625%. The Applicable Margin for Adjusted LIBO, EURIBO and CDOR loans ranges between 1.625% and 2.625% and the Applicable Margin for Canadian Prime Rate loans ranges between 2.125% and 3.125%.</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The unused credit facility fee is between 0.20% and 0.45% based on the Leverage Ratio.</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never paid cash dividends on our common stock, and the terms of our New Credit Agreement limit the amount of cash dividends we can pay. Under our New Credit Agreement, we may declare and pay dividends on our capital stock during any fiscal year up to an amount which, when added to all other dividends paid during such fiscal year, does not exceed 50% of our cumulative net income for such fiscal year to such date. While we currently do not intend to pay cash dividends, any future dividend payments will depend on our financial condition, capital requirements and earnings as well as other relevant factors.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Program and Treasury Shares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Treasury Shares</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No shares have been repurchased under the December 2016 Program as of December 31, 2016.</w:t>
      </w:r>
    </w:p>
    <w:p>
      <w:pPr>
        <w:spacing w:after="0" w:line="1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stock buyback program, the Company may withhold shares of common stock to satisfy the tax withholding obligations upon vesting of an employee’s deferred shares. Matrix withheld 133,322 shares in the first six months of fiscal 2017 to satisfy these obligations. These shares were returned to the Company’s pool of treasury shares.</w:t>
      </w:r>
    </w:p>
    <w:p>
      <w:pPr>
        <w:spacing w:after="0" w:line="12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1,299,574 treasury shares as of December 31, 2016 and intends to utilize these treasury shares solely in connection with equity awards under the Company’s stock incentive plans.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w:t>
      </w:r>
    </w:p>
    <w:p>
      <w:pPr>
        <w:sectPr>
          <w:pgSz w:w="11900" w:h="16838" w:orient="portrait"/>
          <w:cols w:equalWidth="0" w:num="1">
            <w:col w:w="11420"/>
          </w:cols>
          <w:pgMar w:left="240" w:top="341"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Form 10-Q includes “forward-looking statements” within the meaning of Section 27A of the Securities Act of 1933, as amended, and Section 21E of the Securities Exchange Act of 1934, as amended. All statements, other than statements of historical facts, included in this Form 10-Q which address activities, events or developments which we expect, believe or anticipate will or may occur in the future are forward-looking statements. The words “believes,” “intends,” “expects,” “anticipates,” “projects,” “estimates,” “predicts” and similar expressions are also intended to identify forward-looking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These forward-looking statements include, among others, such things as:</w:t>
      </w:r>
    </w:p>
    <w:p>
      <w:pPr>
        <w:spacing w:after="0" w:line="171" w:lineRule="exact"/>
        <w:rPr>
          <w:sz w:val="20"/>
          <w:szCs w:val="20"/>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to our business of crude oil, natural gas and other commodity prices;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amounts and nature of future revenues and margins from each of our segments;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trends in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generate sufficient cash from operations or to raise cash in order to meet our short and long-term capital requirements;</w:t>
      </w:r>
    </w:p>
    <w:p>
      <w:pPr>
        <w:spacing w:after="0" w:line="236" w:lineRule="exact"/>
        <w:rPr>
          <w:rFonts w:ascii="Arial" w:cs="Arial" w:eastAsia="Arial" w:hAnsi="Arial"/>
          <w:sz w:val="17"/>
          <w:szCs w:val="17"/>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likely impact of new or existing regulations or market forces on the demand for our services;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expansion and other trends of the industries we serve;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expectations with respect to the likelihood of a future impairment;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comply with the covenants in our credit agreement.</w:t>
      </w:r>
    </w:p>
    <w:p>
      <w:pPr>
        <w:spacing w:after="0" w:line="225" w:lineRule="exact"/>
        <w:rPr>
          <w:sz w:val="20"/>
          <w:szCs w:val="20"/>
          <w:color w:val="auto"/>
        </w:rPr>
      </w:pPr>
    </w:p>
    <w:p>
      <w:pPr>
        <w:jc w:val="both"/>
        <w:ind w:left="60"/>
        <w:spacing w:after="0" w:line="312" w:lineRule="auto"/>
        <w:rPr>
          <w:sz w:val="20"/>
          <w:szCs w:val="20"/>
          <w:color w:val="auto"/>
        </w:rPr>
      </w:pPr>
      <w:r>
        <w:rPr>
          <w:rFonts w:ascii="Arial" w:cs="Arial" w:eastAsia="Arial" w:hAnsi="Arial"/>
          <w:sz w:val="16"/>
          <w:szCs w:val="16"/>
          <w:color w:val="auto"/>
        </w:rPr>
        <w:t>These statements are based on certain assumptions and analyses we made in light of our experience and our historical trends, current conditions and expected future developments as well as other factors we believe are appropriate. However, whether actual results and developments will conform to our expectations and predictions is subject to a number of risks and uncertainties which could cause actual results to differ materially from our expectations, including:</w:t>
      </w:r>
    </w:p>
    <w:p>
      <w:pPr>
        <w:spacing w:after="0" w:line="147" w:lineRule="exact"/>
        <w:rPr>
          <w:sz w:val="20"/>
          <w:szCs w:val="20"/>
          <w:color w:val="auto"/>
        </w:rPr>
      </w:pPr>
    </w:p>
    <w:p>
      <w:pPr>
        <w:ind w:left="980" w:right="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risk factors discussed in our Form 10-K for the fiscal year ended June 30, 2016 and listed from time to time in our filings with the Securities and Exchange Commission;</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market or business conditions in general and in the oil, gas, power, iron and steel and mining industries in particular;</w:t>
      </w:r>
    </w:p>
    <w:p>
      <w:pPr>
        <w:spacing w:after="0" w:line="225" w:lineRule="exact"/>
        <w:rPr>
          <w:rFonts w:ascii="Arial" w:cs="Arial" w:eastAsia="Arial" w:hAnsi="Arial"/>
          <w:sz w:val="18"/>
          <w:szCs w:val="18"/>
          <w:color w:val="auto"/>
        </w:rPr>
      </w:pPr>
    </w:p>
    <w:p>
      <w:pPr>
        <w:ind w:left="980" w:right="480" w:hanging="324"/>
        <w:spacing w:after="0" w:line="277" w:lineRule="auto"/>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reduced creditworthiness of our customer base and the higher risk of non-payment of receivables due to low prevailing crude oil and other commodity prices;</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inherently uncertain outcome of current and future litigation;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reserves for contingencies;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laws or regulations;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other factors, many of which are beyond our control.</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Consequently, all of the forward-looking statements made in this Form 10-Q are qualified by these cautionary statements and there can be no assurance that the actual results or developments anticipated by us will be realized or, even if substantially realized, that they will have the expected consequences or effects on our business operations. We assume no obligation to update publicly, except as required by law, any such forward-looking statements, whether as a result of new information, future events or otherwise.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w:t>
      </w:r>
    </w:p>
    <w:p>
      <w:pPr>
        <w:sectPr>
          <w:pgSz w:w="11900" w:h="16838" w:orient="portrait"/>
          <w:cols w:equalWidth="0" w:num="1">
            <w:col w:w="11420"/>
          </w:cols>
          <w:pgMar w:left="240" w:top="34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There have been no material changes in market risk faced by us from those reported in our Annual Report on Form 10-K for the fiscal year ended June 30, 2016, filed with the Securities and Exchange Commission. For more information on market risk, see Part II, Item 7A in our fiscal 2016 Annual Report on Form 10-K.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our Securities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disclosure controls and procedures are designed to provide reasonable, not absolute, assurance of achieving the desired control objectives. The Company’s management, including the Chief Executive Officer and Chief Financial Officer, does not expect that the disclosure controls and procedures or our internal controls over financial reporting will prevent or detect all errors or fraud. The design of our internal control system takes into account the fact that there are resource constraints and the benefits of controls must be weighed against the costs. Additionally, controls can be circumvented by the acts of key individuals, collusion or management override.</w:t>
      </w:r>
    </w:p>
    <w:p>
      <w:pPr>
        <w:spacing w:after="0" w:line="13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carried out an evaluation, under the supervision and with the participation of our management, including our Chief Executive Officer and our Chief Financial Officer, of the effectiveness of the design and operation of our disclosure controls and procedures as of December 31, 2016. Based on the foregoing, our Chief Executive Officer and Chief Financial Officer concluded that our disclosure controls and procedures were effective at the reasonable assurance level at December 31, 2016.</w:t>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completed the acquisition of Houston Interests, effective December 12, 2016. We are in the process of assessing and, to the extent necessary, making changes to the internal control over financial reporting of Houston Interests to conform such internal control to that used in our other operations. However, we are not yet required to evaluate, and have not yet fully evaluated, changes in Houston Interests' internal control over financial reporting. Subject to the foregoing, there have been no changes in our internal controls over financial reporting that have materially affected, or are reasonably likely to materially affect our internal controls over financial reporting during the quarter ended December 31,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w:t>
      </w:r>
    </w:p>
    <w:p>
      <w:pPr>
        <w:sectPr>
          <w:pgSz w:w="11900" w:h="16838" w:orient="portrait"/>
          <w:cols w:equalWidth="0" w:num="1">
            <w:col w:w="11420"/>
          </w:cols>
          <w:pgMar w:left="240" w:top="341"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a party to a number of legal proceedings. We believe that the nature and number of these proceedings are typical for a company of our size engaged in our type of business and that none of these proceedings will result in a material effect on our business, results of operations, financial condition, cash flows or liquidity.</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material changes in our Risk Factors from those reported in Item 1A of Part I of our Annual Report on Form 10-K for the fiscal year ended June 30,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the information with respect to purchases made by the Company of its common stock during the second quarter of fiscal year 2017.</w:t>
      </w:r>
    </w:p>
    <w:p>
      <w:pPr>
        <w:spacing w:after="0" w:line="335"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 Number</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of Shares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2"/>
                <w:szCs w:val="12"/>
                <w:color w:val="auto"/>
              </w:rPr>
            </w:pPr>
          </w:p>
        </w:tc>
        <w:tc>
          <w:tcPr>
            <w:tcW w:w="146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May Yet Be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26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0"/>
              </w:rPr>
              <w:t>Announced</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Purchased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6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 Shares</w:t>
            </w: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4"/>
              </w:rPr>
              <w:t>Paid</w:t>
            </w:r>
          </w:p>
        </w:tc>
        <w:tc>
          <w:tcPr>
            <w:tcW w:w="126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4"/>
              </w:rPr>
              <w:t>Plans or</w:t>
            </w: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Under the Plans</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Purchased</w:t>
            </w:r>
          </w:p>
        </w:tc>
        <w:tc>
          <w:tcPr>
            <w:tcW w:w="22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1260" w:type="dxa"/>
            <w:vAlign w:val="bottom"/>
          </w:tcPr>
          <w:p>
            <w:pPr>
              <w:jc w:val="center"/>
              <w:ind w:left="188"/>
              <w:spacing w:after="0"/>
              <w:rPr>
                <w:sz w:val="20"/>
                <w:szCs w:val="20"/>
                <w:color w:val="auto"/>
              </w:rPr>
            </w:pPr>
            <w:r>
              <w:rPr>
                <w:rFonts w:ascii="Arial" w:cs="Arial" w:eastAsia="Arial" w:hAnsi="Arial"/>
                <w:sz w:val="14"/>
                <w:szCs w:val="14"/>
                <w:b w:val="1"/>
                <w:bCs w:val="1"/>
                <w:color w:val="auto"/>
                <w:w w:val="91"/>
              </w:rPr>
              <w:t>Programs</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5"/>
              </w:rPr>
              <w:t>or Programs (C)</w:t>
            </w:r>
          </w:p>
        </w:tc>
        <w:tc>
          <w:tcPr>
            <w:tcW w:w="0" w:type="dxa"/>
            <w:vAlign w:val="bottom"/>
          </w:tcPr>
          <w:p>
            <w:pPr>
              <w:spacing w:after="0"/>
              <w:rPr>
                <w:sz w:val="1"/>
                <w:szCs w:val="1"/>
                <w:color w:val="auto"/>
              </w:rPr>
            </w:pPr>
          </w:p>
        </w:tc>
      </w:tr>
      <w:tr>
        <w:trPr>
          <w:trHeight w:val="250"/>
        </w:trPr>
        <w:tc>
          <w:tcPr>
            <w:tcW w:w="3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October 1 to October 31, 2016</w:t>
            </w:r>
          </w:p>
        </w:tc>
        <w:tc>
          <w:tcPr>
            <w:tcW w:w="15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2,369,627</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18.41</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20"/>
              <w:spacing w:after="0"/>
              <w:rPr>
                <w:sz w:val="20"/>
                <w:szCs w:val="20"/>
                <w:color w:val="auto"/>
              </w:rPr>
            </w:pPr>
            <w:r>
              <w:rPr>
                <w:rFonts w:ascii="Arial" w:cs="Arial" w:eastAsia="Arial" w:hAnsi="Arial"/>
                <w:sz w:val="18"/>
                <w:szCs w:val="18"/>
                <w:b w:val="1"/>
                <w:bCs w:val="1"/>
                <w:color w:val="auto"/>
              </w:rPr>
              <w:t>November 1 to November 30, 2016</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2,369,627</w:t>
            </w: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16,217</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19.64</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1 to December 31, 2016</w:t>
            </w: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360"/>
              <w:spacing w:after="0"/>
              <w:rPr>
                <w:sz w:val="20"/>
                <w:szCs w:val="20"/>
                <w:color w:val="auto"/>
              </w:rPr>
            </w:pPr>
            <w:r>
              <w:rPr>
                <w:rFonts w:ascii="Arial" w:cs="Arial" w:eastAsia="Arial" w:hAnsi="Arial"/>
                <w:sz w:val="18"/>
                <w:szCs w:val="18"/>
                <w:color w:val="auto"/>
              </w:rPr>
              <w:t>Share Repurchase Program (A)</w:t>
            </w:r>
          </w:p>
        </w:tc>
        <w:tc>
          <w:tcPr>
            <w:tcW w:w="16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1"/>
                <w:szCs w:val="21"/>
                <w:color w:val="auto"/>
              </w:rPr>
            </w:pPr>
          </w:p>
        </w:tc>
        <w:tc>
          <w:tcPr>
            <w:tcW w:w="400" w:type="dxa"/>
            <w:vAlign w:val="bottom"/>
            <w:gridSpan w:val="2"/>
          </w:tcPr>
          <w:p>
            <w:pPr>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3"/>
              <w:spacing w:after="0"/>
              <w:rPr>
                <w:sz w:val="20"/>
                <w:szCs w:val="20"/>
                <w:color w:val="auto"/>
              </w:rPr>
            </w:pPr>
            <w:r>
              <w:rPr>
                <w:rFonts w:ascii="Arial" w:cs="Arial" w:eastAsia="Arial" w:hAnsi="Arial"/>
                <w:sz w:val="18"/>
                <w:szCs w:val="18"/>
                <w:color w:val="auto"/>
              </w:rPr>
              <w:t>3,303,965</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8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Employee Transactions (B)</w:t>
            </w:r>
          </w:p>
        </w:tc>
        <w:tc>
          <w:tcPr>
            <w:tcW w:w="158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3,020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22.45</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8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purchased under our stock buyback program.</w:t>
      </w:r>
    </w:p>
    <w:p>
      <w:pPr>
        <w:spacing w:after="0" w:line="23" w:lineRule="exact"/>
        <w:rPr>
          <w:rFonts w:ascii="Arial" w:cs="Arial" w:eastAsia="Arial" w:hAnsi="Arial"/>
          <w:sz w:val="18"/>
          <w:szCs w:val="18"/>
          <w:color w:val="auto"/>
        </w:rPr>
      </w:pPr>
    </w:p>
    <w:p>
      <w:pPr>
        <w:ind w:left="540" w:right="120" w:hanging="316"/>
        <w:spacing w:after="0" w:line="250"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Represents shares withheld to satisfy the employee’s tax withholding obligation that is incurred upon the vesting of deferred shares granted under the Company’s stock incentive plans.</w:t>
      </w:r>
    </w:p>
    <w:p>
      <w:pPr>
        <w:ind w:left="540" w:right="120" w:hanging="316"/>
        <w:spacing w:after="0" w:line="26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On December 12, 2016, the Board of Directors approved a new stock buyback program (the "December 2016 Program"). Under the December 2016 Program, the Company may repurchase common stock of the Company in any calendar year commencing with calendar year 2016 and continuing through calendar year 2018, up to a maximum of $25.0 million per calendar year. The Company may repurchase its stock from time to time in the open market at prevailing market prices or in privately negotiated transactions. The December 2016 Program will continue through December 31, 2018 unless and until revoked by the Board of Directors. The amount shown for the maximum number of shares that may yet be purchased for October and November represents the number of shares that could have been purchased under the Company’s prior buyback program. The amount shown as the maximum number of shares that may yet be purchased for December under the December 2016 Program was calculated using the closing price of our stock on the last trading day of December 2016 and the cumulative limit of $75.0 million remaining under the program, based on the annual limit then in effect at that time.</w:t>
      </w:r>
    </w:p>
    <w:p>
      <w:pPr>
        <w:spacing w:after="0" w:line="209" w:lineRule="exact"/>
        <w:rPr>
          <w:rFonts w:ascii="Arial" w:cs="Arial" w:eastAsia="Arial" w:hAnsi="Arial"/>
          <w:sz w:val="17"/>
          <w:szCs w:val="17"/>
          <w:color w:val="auto"/>
        </w:rPr>
      </w:pPr>
    </w:p>
    <w:p>
      <w:pPr>
        <w:ind w:left="5640" w:hanging="98"/>
        <w:spacing w:after="0"/>
        <w:tabs>
          <w:tab w:leader="none" w:pos="564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37-</w:t>
      </w:r>
    </w:p>
    <w:p>
      <w:pPr>
        <w:sectPr>
          <w:pgSz w:w="11900" w:h="16838" w:orient="portrait"/>
          <w:cols w:equalWidth="0" w:num="1">
            <w:col w:w="11420"/>
          </w:cols>
          <w:pgMar w:left="240" w:top="34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have never paid cash dividends on our common stock, and the terms of our New Credit Agreement limit the amount of cash dividends we can pay. Under our New Credit Agreement, we may declare and pay dividends on our capital stock during any fiscal year up to an amount which, when added to all other dividends paid during such fiscal year, does not exceed 50% of our cumulative net income for such fiscal year to date. While we currently do not intend to pay cash dividends, any future dividend payments will depend on our financial condition, capital requirements and earnings as well as other relevant factors.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We do not act as the owner of any mines, but as a result of our performing services or construction at mine sites as an independent contractor, we are considered an "operator" within the meaning of the Mine Act.</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Information concerning mine safety violations or other regulatory matters required to be disclosed in this quarterly report under Section 1503(a) of the Dodd-Frank Act and Item 104 of Regulation S-K is included in Exhibit 95.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8, 2017, the Company entered into the Fourth Amended and Restated Credit Agreement (the "New Credit Agreement"), by and among the Company and certain foreign subsidiaries, as Borrowers, various subsidiaries of the Company, as Guarantors, JPMorgan Chase Bank, N.A., as Administrative Agent, Lead Arranger and Sole Bookrunner, and the other Lenders party thereto, which replaced the Third Amended and Restated Credit Agreement dated as of November 7, 2011, as previously amended. Key provisions of the New Credit Agreement are discussed in Note 5 of Item 1 of Part I of this Quarterly Report on Form 10-Q.</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w:t>
      </w:r>
    </w:p>
    <w:p>
      <w:pPr>
        <w:sectPr>
          <w:pgSz w:w="11900" w:h="16838" w:orient="portrait"/>
          <w:cols w:equalWidth="0" w:num="1">
            <w:col w:w="11420"/>
          </w:cols>
          <w:pgMar w:left="240" w:top="341" w:right="239" w:bottom="1440" w:gutter="0" w:footer="0" w:header="0"/>
        </w:sectPr>
      </w:pPr>
    </w:p>
    <w:bookmarkStart w:id="40" w:name="page41"/>
    <w:bookmarkEnd w:id="4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ectPr>
          <w:pgSz w:w="11900" w:h="16838" w:orient="portrait"/>
          <w:cols w:equalWidth="0" w:num="1">
            <w:col w:w="11420"/>
          </w:cols>
          <w:pgMar w:left="240" w:top="341" w:right="239" w:bottom="1440" w:gutter="0" w:footer="0" w:header="0"/>
        </w:sectPr>
      </w:pPr>
    </w:p>
    <w:p>
      <w:pPr>
        <w:spacing w:after="0" w:line="360"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2.1</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Membership Interest Purchase Agreement dated as of December 12, 2016 among Matrix PDM Engineering, Inc., as purchaser, the C. Douglas Houston Revocable Trust U/T/A dated November 21, 2016, as seller, and C. Douglas Houston, as seller representative (Exhibit 2 to the Company’s Current Report on Form 8-K filed December 16, 2016 (File No. 001-15461), is hereby incorporated by reference).</w:t>
      </w:r>
    </w:p>
    <w:p>
      <w:pPr>
        <w:spacing w:after="0" w:line="146"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w:t>
      </w:r>
    </w:p>
    <w:p>
      <w:pPr>
        <w:spacing w:after="0" w:line="20" w:lineRule="exact"/>
        <w:rPr>
          <w:sz w:val="20"/>
          <w:szCs w:val="20"/>
          <w:color w:val="auto"/>
        </w:rPr>
      </w:pPr>
      <w:r>
        <w:rPr>
          <w:sz w:val="20"/>
          <w:szCs w:val="20"/>
          <w:color w:val="auto"/>
        </w:rPr>
        <w:br w:type="column"/>
      </w:r>
    </w:p>
    <w:p>
      <w:pPr>
        <w:ind w:right="940"/>
        <w:spacing w:after="0" w:line="308" w:lineRule="auto"/>
        <w:rPr>
          <w:sz w:val="20"/>
          <w:szCs w:val="20"/>
          <w:color w:val="auto"/>
        </w:rPr>
      </w:pPr>
      <w:r>
        <w:rPr>
          <w:rFonts w:ascii="Arial" w:cs="Arial" w:eastAsia="Arial" w:hAnsi="Arial"/>
          <w:sz w:val="17"/>
          <w:szCs w:val="17"/>
          <w:color w:val="auto"/>
        </w:rPr>
        <w:t>Amended and Restated Certificate of Incorporation of Matrix Service Company (Appendix A to the Company’s Proxy Statement filed October 7, 2016 (File No. 001-15461), is hereby incorporated by reference).</w:t>
      </w:r>
    </w:p>
    <w:p>
      <w:pPr>
        <w:spacing w:after="0" w:line="106"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3.2</w:t>
      </w:r>
    </w:p>
    <w:p>
      <w:pPr>
        <w:spacing w:after="0" w:line="20" w:lineRule="exact"/>
        <w:rPr>
          <w:sz w:val="20"/>
          <w:szCs w:val="20"/>
          <w:color w:val="auto"/>
        </w:rPr>
      </w:pPr>
      <w:r>
        <w:rPr>
          <w:sz w:val="20"/>
          <w:szCs w:val="20"/>
          <w:color w:val="auto"/>
        </w:rPr>
        <w:br w:type="column"/>
      </w:r>
    </w:p>
    <w:p>
      <w:pPr>
        <w:ind w:right="660"/>
        <w:spacing w:after="0" w:line="342" w:lineRule="auto"/>
        <w:rPr>
          <w:sz w:val="20"/>
          <w:szCs w:val="20"/>
          <w:color w:val="auto"/>
        </w:rPr>
      </w:pPr>
      <w:r>
        <w:rPr>
          <w:rFonts w:ascii="Arial" w:cs="Arial" w:eastAsia="Arial" w:hAnsi="Arial"/>
          <w:sz w:val="16"/>
          <w:szCs w:val="16"/>
          <w:color w:val="auto"/>
        </w:rPr>
        <w:t>Amended and Restated Bylaws of Matrix Service Company (Effective November 11, 2016) (Exhibit 3.2 to the Company’s Current Report on Form 8-K filed November 15, 2016 (File No. 001-15461), is hereby incorporated by reference).</w:t>
      </w:r>
    </w:p>
    <w:p>
      <w:pPr>
        <w:spacing w:after="0" w:line="83"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w:t>
      </w:r>
    </w:p>
    <w:p>
      <w:pPr>
        <w:spacing w:after="0" w:line="20" w:lineRule="exact"/>
        <w:rPr>
          <w:sz w:val="20"/>
          <w:szCs w:val="20"/>
          <w:color w:val="auto"/>
        </w:rPr>
      </w:pPr>
      <w:r>
        <w:rPr>
          <w:sz w:val="20"/>
          <w:szCs w:val="20"/>
          <w:color w:val="auto"/>
        </w:rPr>
        <w:br w:type="column"/>
      </w:r>
    </w:p>
    <w:p>
      <w:pPr>
        <w:ind w:right="900"/>
        <w:spacing w:after="0" w:line="277" w:lineRule="auto"/>
        <w:rPr>
          <w:sz w:val="20"/>
          <w:szCs w:val="20"/>
          <w:color w:val="auto"/>
        </w:rPr>
      </w:pPr>
      <w:r>
        <w:rPr>
          <w:rFonts w:ascii="Arial" w:cs="Arial" w:eastAsia="Arial" w:hAnsi="Arial"/>
          <w:sz w:val="18"/>
          <w:szCs w:val="18"/>
          <w:color w:val="auto"/>
        </w:rPr>
        <w:t>Form of Amended and Restated Severance Agreement (Exhibit 10 to the Company's Current Report on Form 8-K filed November 15, 2016 (File No. 001-15461), is hereby incorporated by reference).</w:t>
      </w:r>
    </w:p>
    <w:p>
      <w:pPr>
        <w:spacing w:after="0" w:line="130"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10.2*:</w:t>
      </w:r>
    </w:p>
    <w:p>
      <w:pPr>
        <w:spacing w:after="0" w:line="20" w:lineRule="exact"/>
        <w:rPr>
          <w:sz w:val="20"/>
          <w:szCs w:val="20"/>
          <w:color w:val="auto"/>
        </w:rPr>
      </w:pPr>
      <w:r>
        <w:rPr>
          <w:sz w:val="20"/>
          <w:szCs w:val="20"/>
          <w:color w:val="auto"/>
        </w:rPr>
        <w:br w:type="column"/>
      </w:r>
    </w:p>
    <w:p>
      <w:pPr>
        <w:ind w:right="1200"/>
        <w:spacing w:after="0" w:line="277" w:lineRule="auto"/>
        <w:rPr>
          <w:sz w:val="20"/>
          <w:szCs w:val="20"/>
          <w:color w:val="auto"/>
        </w:rPr>
      </w:pPr>
      <w:r>
        <w:rPr>
          <w:rFonts w:ascii="Arial" w:cs="Arial" w:eastAsia="Arial" w:hAnsi="Arial"/>
          <w:sz w:val="18"/>
          <w:szCs w:val="18"/>
          <w:color w:val="auto"/>
        </w:rPr>
        <w:t>Form of Restricted Stock Unit Award Agreement for directors (Matrix Service Company 2016 Stock and Incentive Compensation Plan).</w:t>
      </w:r>
    </w:p>
    <w:p>
      <w:pPr>
        <w:spacing w:after="0" w:line="130"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Section 302 of Sarbanes-Oxley Act of 2002 – CEO.</w:t>
      </w:r>
    </w:p>
    <w:p>
      <w:pPr>
        <w:spacing w:after="0" w:line="207"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Section 302 of Sarbanes-Oxley Act of 2002 – CFO.</w:t>
      </w:r>
    </w:p>
    <w:p>
      <w:pPr>
        <w:spacing w:after="0" w:line="207"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(section 906 of Sarbanes-Oxley Act of 2002) – CEO.</w:t>
      </w:r>
    </w:p>
    <w:p>
      <w:pPr>
        <w:spacing w:after="0" w:line="207"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32.2: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Certification Pursuant to 18 U.S.C. 1350 (section 906 of Sarbanes-Oxley Act of 2002) – CFO.</w:t>
      </w:r>
    </w:p>
    <w:p>
      <w:pPr>
        <w:spacing w:after="0" w:line="207"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Mine Safety Disclosure.</w:t>
      </w:r>
    </w:p>
    <w:p>
      <w:pPr>
        <w:spacing w:after="0" w:line="207" w:lineRule="exact"/>
        <w:rPr>
          <w:sz w:val="20"/>
          <w:szCs w:val="20"/>
          <w:color w:val="auto"/>
        </w:rPr>
      </w:pPr>
    </w:p>
    <w:p>
      <w:pPr>
        <w:sectPr>
          <w:pgSz w:w="11900" w:h="16838" w:orient="portrait"/>
          <w:cols w:equalWidth="0" w:num="2">
            <w:col w:w="1220" w:space="7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101.INS: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Instance Document.</w:t>
      </w:r>
    </w:p>
    <w:p>
      <w:pPr>
        <w:spacing w:after="0" w:line="207" w:lineRule="exact"/>
        <w:rPr>
          <w:sz w:val="20"/>
          <w:szCs w:val="20"/>
          <w:color w:val="auto"/>
        </w:rPr>
      </w:pPr>
    </w:p>
    <w:p>
      <w:pPr>
        <w:sectPr>
          <w:pgSz w:w="11900" w:h="16838" w:orient="portrait"/>
          <w:cols w:equalWidth="0" w:num="2">
            <w:col w:w="1260" w:space="68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Schema Document.</w:t>
      </w:r>
    </w:p>
    <w:p>
      <w:pPr>
        <w:spacing w:after="0" w:line="200" w:lineRule="exact"/>
        <w:rPr>
          <w:sz w:val="20"/>
          <w:szCs w:val="20"/>
          <w:color w:val="auto"/>
        </w:rPr>
      </w:pPr>
    </w:p>
    <w:p>
      <w:pPr>
        <w:sectPr>
          <w:pgSz w:w="11900" w:h="16838" w:orient="portrait"/>
          <w:cols w:equalWidth="0" w:num="2">
            <w:col w:w="1320" w:space="620"/>
            <w:col w:w="9480"/>
          </w:cols>
          <w:pgMar w:left="240" w:top="341" w:right="239" w:bottom="1440" w:gutter="0" w:footer="0" w:header="0"/>
          <w:type w:val="continuous"/>
        </w:sectPr>
      </w:pPr>
    </w:p>
    <w:p>
      <w:pPr>
        <w:spacing w:after="0" w:line="8" w:lineRule="exact"/>
        <w:rPr>
          <w:sz w:val="20"/>
          <w:szCs w:val="20"/>
          <w:color w:val="auto"/>
        </w:rPr>
      </w:pPr>
    </w:p>
    <w:p>
      <w:pPr>
        <w:ind w:left="40"/>
        <w:spacing w:after="0"/>
        <w:rPr>
          <w:sz w:val="20"/>
          <w:szCs w:val="20"/>
          <w:color w:val="auto"/>
        </w:rPr>
      </w:pPr>
      <w:r>
        <w:rPr>
          <w:rFonts w:ascii="Arial" w:cs="Arial" w:eastAsia="Arial" w:hAnsi="Arial"/>
          <w:sz w:val="17"/>
          <w:szCs w:val="17"/>
          <w:color w:val="auto"/>
        </w:rPr>
        <w:t>Exhibit 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7" w:lineRule="exact"/>
        <w:rPr>
          <w:sz w:val="20"/>
          <w:szCs w:val="20"/>
          <w:color w:val="auto"/>
        </w:rPr>
      </w:pPr>
    </w:p>
    <w:p>
      <w:pPr>
        <w:sectPr>
          <w:pgSz w:w="11900" w:h="16838" w:orient="portrait"/>
          <w:cols w:equalWidth="0" w:num="2">
            <w:col w:w="1340" w:space="60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7" w:lineRule="exact"/>
        <w:rPr>
          <w:sz w:val="20"/>
          <w:szCs w:val="20"/>
          <w:color w:val="auto"/>
        </w:rPr>
      </w:pPr>
    </w:p>
    <w:p>
      <w:pPr>
        <w:sectPr>
          <w:pgSz w:w="11900" w:h="16838" w:orient="portrait"/>
          <w:cols w:equalWidth="0" w:num="2">
            <w:col w:w="1320" w:space="62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Exhibit 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Labels Linkbase Document.</w:t>
      </w:r>
    </w:p>
    <w:p>
      <w:pPr>
        <w:spacing w:after="0" w:line="207" w:lineRule="exact"/>
        <w:rPr>
          <w:sz w:val="20"/>
          <w:szCs w:val="20"/>
          <w:color w:val="auto"/>
        </w:rPr>
      </w:pPr>
    </w:p>
    <w:p>
      <w:pPr>
        <w:sectPr>
          <w:pgSz w:w="11900" w:h="16838" w:orient="portrait"/>
          <w:cols w:equalWidth="0" w:num="2">
            <w:col w:w="1340" w:space="600"/>
            <w:col w:w="9480"/>
          </w:cols>
          <w:pgMar w:left="240" w:top="341"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Exhibit 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59" w:lineRule="exact"/>
        <w:rPr>
          <w:sz w:val="20"/>
          <w:szCs w:val="20"/>
          <w:color w:val="auto"/>
        </w:rPr>
      </w:pPr>
    </w:p>
    <w:p>
      <w:pPr>
        <w:sectPr>
          <w:pgSz w:w="11900" w:h="16838" w:orient="portrait"/>
          <w:cols w:equalWidth="0" w:num="2">
            <w:col w:w="1300" w:space="640"/>
            <w:col w:w="9480"/>
          </w:cols>
          <w:pgMar w:left="240" w:top="341" w:right="239" w:bottom="1440" w:gutter="0" w:footer="0" w:header="0"/>
          <w:type w:val="continuous"/>
        </w:sect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w:t>
      </w:r>
    </w:p>
    <w:p>
      <w:pPr>
        <w:spacing w:after="0" w:line="1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MATRIX SERVICE COMPANY</w:t>
      </w:r>
    </w:p>
    <w:p>
      <w:pPr>
        <w:spacing w:after="0" w:line="189" w:lineRule="exact"/>
        <w:rPr>
          <w:sz w:val="20"/>
          <w:szCs w:val="20"/>
          <w:color w:val="auto"/>
        </w:rPr>
      </w:pPr>
    </w:p>
    <w:p>
      <w:pPr>
        <w:ind w:left="40"/>
        <w:spacing w:after="0"/>
        <w:tabs>
          <w:tab w:leader="none" w:pos="700" w:val="left"/>
          <w:tab w:leader="none" w:pos="48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2017</w:t>
      </w:r>
      <w:r>
        <w:rPr>
          <w:sz w:val="20"/>
          <w:szCs w:val="20"/>
          <w:color w:val="auto"/>
        </w:rPr>
        <w:tab/>
      </w:r>
      <w:r>
        <w:rPr>
          <w:rFonts w:ascii="Arial" w:cs="Arial" w:eastAsia="Arial" w:hAnsi="Arial"/>
          <w:sz w:val="16"/>
          <w:szCs w:val="16"/>
          <w:color w:val="auto"/>
        </w:rPr>
        <w:t>By: /s/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31750</wp:posOffset>
            </wp:positionV>
            <wp:extent cx="4202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57" w:lineRule="exact"/>
        <w:rPr>
          <w:sz w:val="20"/>
          <w:szCs w:val="20"/>
          <w:color w:val="auto"/>
        </w:rPr>
      </w:pPr>
    </w:p>
    <w:p>
      <w:pPr>
        <w:ind w:left="4820" w:right="420"/>
        <w:spacing w:after="0" w:line="277" w:lineRule="auto"/>
        <w:rPr>
          <w:sz w:val="20"/>
          <w:szCs w:val="20"/>
          <w:color w:val="auto"/>
        </w:rPr>
      </w:pPr>
      <w:r>
        <w:rPr>
          <w:rFonts w:ascii="Arial" w:cs="Arial" w:eastAsia="Arial" w:hAnsi="Arial"/>
          <w:sz w:val="18"/>
          <w:szCs w:val="18"/>
          <w:color w:val="auto"/>
        </w:rPr>
        <w:t>Kevin S. Cavanah Vice President and Chief Financial Officer signing on behalf of the registrant and as the registrant’s principal financial officer</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- 39-</w:t>
      </w:r>
    </w:p>
    <w:p>
      <w:pPr>
        <w:sectPr>
          <w:pgSz w:w="11900" w:h="16838" w:orient="portrait"/>
          <w:cols w:equalWidth="0" w:num="1">
            <w:col w:w="11420"/>
          </w:cols>
          <w:pgMar w:left="240" w:top="341" w:right="239" w:bottom="1440" w:gutter="0" w:footer="0" w:header="0"/>
          <w:type w:val="continuous"/>
        </w:sectPr>
      </w:pPr>
    </w:p>
    <w:bookmarkStart w:id="41" w:name="page42"/>
    <w:bookmarkEnd w:id="41"/>
    <w:tbl>
      <w:tblPr>
        <w:tblLayout w:type="fixed"/>
        <w:tblInd w:w="0" w:type="dxa"/>
        <w:tblCellMar>
          <w:top w:w="0" w:type="dxa"/>
          <w:left w:w="0" w:type="dxa"/>
          <w:bottom w:w="0" w:type="dxa"/>
          <w:right w:w="0" w:type="dxa"/>
        </w:tblCellMar>
      </w:tblPr>
      <w:tr>
        <w:trPr>
          <w:trHeight w:val="207"/>
        </w:trPr>
        <w:tc>
          <w:tcPr>
            <w:tcW w:w="16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960" w:type="dxa"/>
            <w:vAlign w:val="bottom"/>
          </w:tcPr>
          <w:p>
            <w:pPr>
              <w:spacing w:after="0"/>
              <w:rPr>
                <w:sz w:val="17"/>
                <w:szCs w:val="17"/>
                <w:color w:val="auto"/>
              </w:rPr>
            </w:pPr>
          </w:p>
        </w:tc>
      </w:tr>
      <w:tr>
        <w:trPr>
          <w:trHeight w:val="871"/>
        </w:trPr>
        <w:tc>
          <w:tcPr>
            <w:tcW w:w="1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INDEX</w:t>
            </w:r>
          </w:p>
        </w:tc>
        <w:tc>
          <w:tcPr>
            <w:tcW w:w="4960" w:type="dxa"/>
            <w:vAlign w:val="bottom"/>
          </w:tcPr>
          <w:p>
            <w:pPr>
              <w:spacing w:after="0"/>
              <w:rPr>
                <w:sz w:val="24"/>
                <w:szCs w:val="24"/>
                <w:color w:val="auto"/>
              </w:rPr>
            </w:pPr>
          </w:p>
        </w:tc>
      </w:tr>
      <w:tr>
        <w:trPr>
          <w:trHeight w:val="573"/>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2.1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89"/>
              </w:rPr>
              <w:t>Membership Interest Purchase Agreement dated as of December 12, 2016 among Matrix PDM Engineering, Inc., as purchaser, the</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0"/>
              </w:rPr>
              <w:t>C. Douglas Houston Revocable Trust U/T/A dated November 21, 2016, as seller, and C. Douglas Houston, as seller representative</w:t>
            </w:r>
          </w:p>
        </w:tc>
      </w:tr>
      <w:tr>
        <w:trPr>
          <w:trHeight w:val="216"/>
        </w:trPr>
        <w:tc>
          <w:tcPr>
            <w:tcW w:w="1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3"/>
              </w:rPr>
              <w:t>(Exhibit 2 to the Company’s Current Report on Form 8-K filed December 16, 2016 (File No. 001-15461), is hereby incorporated</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by reference).</w:t>
            </w: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2"/>
              </w:rPr>
              <w:t>Amended and Restated Certificate of Incorporation of Matrix Service Company (Appendix A to the Company’s Proxy Statement</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filed October 7, 2016 (File No. 001-15461), is hereby incorporated by reference).</w:t>
            </w: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7"/>
              </w:rPr>
              <w:t>Amended and Restated Bylaws of Matrix Service Company (Effective November 11, 2016) (Exhibit 3.2 to the Company’s</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Current Report on Form 8-K filed November 15, 2016 (File No. 001-15461), is hereby incorporated by reference).</w:t>
            </w: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1"/>
              </w:rPr>
              <w:t>Form of Amended and Restated Severance Agreement (Exhibit 10 to the Company's Current Report on Form 8-K filed November</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15, 2016 (File No. 001-15461), is hereby incorporated by reference).</w:t>
            </w:r>
          </w:p>
        </w:tc>
      </w:tr>
      <w:tr>
        <w:trPr>
          <w:trHeight w:val="377"/>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w w:val="92"/>
              </w:rPr>
              <w:t>Form of Restricted Stock Unit Award Agreement for directors (Matrix Service Company 2016 Stock and Incentive Compensation</w:t>
            </w:r>
          </w:p>
        </w:tc>
      </w:tr>
      <w:tr>
        <w:trPr>
          <w:trHeight w:val="230"/>
        </w:trPr>
        <w:tc>
          <w:tcPr>
            <w:tcW w:w="1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Plan).</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31.2: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Section 302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32.1:</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CEO.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32.2:</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Certification Pursuant to 18 U.S.C. 1350 (section 906 of Sarbanes-Oxley Act of 2002) – CFO.</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95:</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Mine Safety Disclosure.</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101.INS:</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Instance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101.SCH:</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Schema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101.CAL:</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101.DEF:</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101.LAB:</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Labels Linkbase Document.</w:t>
            </w:r>
          </w:p>
        </w:tc>
      </w:tr>
      <w:tr>
        <w:trPr>
          <w:trHeight w:val="392"/>
        </w:trPr>
        <w:tc>
          <w:tcPr>
            <w:tcW w:w="1660" w:type="dxa"/>
            <w:vAlign w:val="bottom"/>
            <w:gridSpan w:val="2"/>
          </w:tcPr>
          <w:p>
            <w:pPr>
              <w:ind w:left="40"/>
              <w:spacing w:after="0"/>
              <w:rPr>
                <w:sz w:val="20"/>
                <w:szCs w:val="20"/>
                <w:color w:val="auto"/>
              </w:rPr>
            </w:pPr>
            <w:r>
              <w:rPr>
                <w:rFonts w:ascii="Arial" w:cs="Arial" w:eastAsia="Arial" w:hAnsi="Arial"/>
                <w:sz w:val="18"/>
                <w:szCs w:val="18"/>
                <w:color w:val="auto"/>
              </w:rPr>
              <w:t>Exhibit 101.PRE:</w:t>
            </w:r>
          </w:p>
        </w:tc>
        <w:tc>
          <w:tcPr>
            <w:tcW w:w="9720" w:type="dxa"/>
            <w:vAlign w:val="bottom"/>
            <w:gridSpan w:val="3"/>
          </w:tcPr>
          <w:p>
            <w:pPr>
              <w:ind w:left="32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w:t>
      </w:r>
    </w:p>
    <w:p>
      <w:pPr>
        <w:sectPr>
          <w:pgSz w:w="11900" w:h="16838" w:orient="portrait"/>
          <w:cols w:equalWidth="0" w:num="1">
            <w:col w:w="11380"/>
          </w:cols>
          <w:pgMar w:left="240" w:top="324" w:right="27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MATRIX SERVICE COMPANY</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AWARD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Address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City, State Zip</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Dear First Name:</w:t>
      </w:r>
    </w:p>
    <w:p>
      <w:pPr>
        <w:spacing w:after="0" w:line="214" w:lineRule="exact"/>
        <w:rPr>
          <w:sz w:val="20"/>
          <w:szCs w:val="20"/>
          <w:color w:val="auto"/>
        </w:rPr>
      </w:pPr>
    </w:p>
    <w:p>
      <w:pPr>
        <w:jc w:val="both"/>
        <w:ind w:firstLine="656"/>
        <w:spacing w:after="0" w:line="262" w:lineRule="auto"/>
        <w:tabs>
          <w:tab w:leader="none" w:pos="990" w:val="left"/>
        </w:tabs>
        <w:numPr>
          <w:ilvl w:val="0"/>
          <w:numId w:val="20"/>
        </w:numPr>
        <w:rPr>
          <w:rFonts w:ascii="Arial" w:cs="Arial" w:eastAsia="Arial" w:hAnsi="Arial"/>
          <w:sz w:val="21"/>
          <w:szCs w:val="21"/>
          <w:color w:val="auto"/>
        </w:rPr>
      </w:pPr>
      <w:r>
        <w:rPr>
          <w:rFonts w:ascii="Arial" w:cs="Arial" w:eastAsia="Arial" w:hAnsi="Arial"/>
          <w:sz w:val="21"/>
          <w:szCs w:val="21"/>
          <w:b w:val="1"/>
          <w:bCs w:val="1"/>
          <w:color w:val="auto"/>
        </w:rPr>
        <w:t>Award</w:t>
      </w:r>
      <w:r>
        <w:rPr>
          <w:rFonts w:ascii="Arial" w:cs="Arial" w:eastAsia="Arial" w:hAnsi="Arial"/>
          <w:sz w:val="21"/>
          <w:szCs w:val="21"/>
          <w:color w:val="auto"/>
        </w:rPr>
        <w:t>. The awards set forth in this Award Agreement (the "</w:t>
      </w:r>
      <w:r>
        <w:rPr>
          <w:rFonts w:ascii="Arial" w:cs="Arial" w:eastAsia="Arial" w:hAnsi="Arial"/>
          <w:sz w:val="21"/>
          <w:szCs w:val="21"/>
          <w:u w:val="single" w:color="auto"/>
          <w:color w:val="auto"/>
        </w:rPr>
        <w:t>Award Agreement</w:t>
      </w:r>
      <w:r>
        <w:rPr>
          <w:rFonts w:ascii="Arial" w:cs="Arial" w:eastAsia="Arial" w:hAnsi="Arial"/>
          <w:sz w:val="21"/>
          <w:szCs w:val="21"/>
          <w:color w:val="auto"/>
        </w:rPr>
        <w:t>") are subject to your acceptance of and</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all of the applicable terms, conditions, and restrictions described in the 2016 Stock and Incentive Compensation Plan, effective as of November 11, 2016 (the "</w:t>
      </w:r>
      <w:r>
        <w:rPr>
          <w:rFonts w:ascii="Arial" w:cs="Arial" w:eastAsia="Arial" w:hAnsi="Arial"/>
          <w:sz w:val="21"/>
          <w:szCs w:val="21"/>
          <w:u w:val="single" w:color="auto"/>
          <w:color w:val="auto"/>
        </w:rPr>
        <w:t>Plan</w:t>
      </w:r>
      <w:r>
        <w:rPr>
          <w:rFonts w:ascii="Arial" w:cs="Arial" w:eastAsia="Arial" w:hAnsi="Arial"/>
          <w:sz w:val="21"/>
          <w:szCs w:val="21"/>
          <w:color w:val="auto"/>
        </w:rPr>
        <w:t>"), of Matrix Service Company, a Delaware corporation (the "</w:t>
      </w:r>
      <w:r>
        <w:rPr>
          <w:rFonts w:ascii="Arial" w:cs="Arial" w:eastAsia="Arial" w:hAnsi="Arial"/>
          <w:sz w:val="21"/>
          <w:szCs w:val="21"/>
          <w:u w:val="single" w:color="auto"/>
          <w:color w:val="auto"/>
        </w:rPr>
        <w:t>Company</w:t>
      </w:r>
      <w:r>
        <w:rPr>
          <w:rFonts w:ascii="Arial" w:cs="Arial" w:eastAsia="Arial" w:hAnsi="Arial"/>
          <w:sz w:val="21"/>
          <w:szCs w:val="21"/>
          <w:color w:val="auto"/>
        </w:rPr>
        <w:t>"), a copy of which is on file with, and may be obtained from, the Secretary of the Company, and to your acceptance of and agreement to the further terms, conditions, and restrictions described in this Award Agreement. To the extent that any provision of this Award Agreement conflicts with the expressly applicable terms of the Plan, it is hereby acknowledged and agreed that those terms of the Plan shall control and, if necessary, the applicable provisions of this Award Agreement shall be hereby deemed amended so as to carry out the purpose and intent of the Plan.</w:t>
      </w:r>
    </w:p>
    <w:p>
      <w:pPr>
        <w:spacing w:after="0" w:line="173" w:lineRule="exact"/>
        <w:rPr>
          <w:rFonts w:ascii="Arial" w:cs="Arial" w:eastAsia="Arial" w:hAnsi="Arial"/>
          <w:sz w:val="21"/>
          <w:szCs w:val="21"/>
          <w:color w:val="auto"/>
        </w:rPr>
      </w:pPr>
    </w:p>
    <w:p>
      <w:pPr>
        <w:ind w:left="1000" w:hanging="344"/>
        <w:spacing w:after="0"/>
        <w:tabs>
          <w:tab w:leader="none" w:pos="1000" w:val="left"/>
        </w:tabs>
        <w:numPr>
          <w:ilvl w:val="0"/>
          <w:numId w:val="20"/>
        </w:numPr>
        <w:rPr>
          <w:rFonts w:ascii="Arial" w:cs="Arial" w:eastAsia="Arial" w:hAnsi="Arial"/>
          <w:sz w:val="22"/>
          <w:szCs w:val="22"/>
          <w:color w:val="auto"/>
        </w:rPr>
      </w:pPr>
      <w:r>
        <w:rPr>
          <w:rFonts w:ascii="Arial" w:cs="Arial" w:eastAsia="Arial" w:hAnsi="Arial"/>
          <w:sz w:val="22"/>
          <w:szCs w:val="22"/>
          <w:b w:val="1"/>
          <w:bCs w:val="1"/>
          <w:color w:val="auto"/>
        </w:rPr>
        <w:t>Restricted Stock Units.</w:t>
      </w:r>
    </w:p>
    <w:p>
      <w:pPr>
        <w:spacing w:after="0" w:line="233" w:lineRule="exact"/>
        <w:rPr>
          <w:rFonts w:ascii="Arial" w:cs="Arial" w:eastAsia="Arial" w:hAnsi="Arial"/>
          <w:sz w:val="22"/>
          <w:szCs w:val="22"/>
          <w:color w:val="auto"/>
        </w:rPr>
      </w:pPr>
    </w:p>
    <w:p>
      <w:pPr>
        <w:jc w:val="both"/>
        <w:ind w:left="660" w:firstLine="645"/>
        <w:spacing w:after="0" w:line="256" w:lineRule="auto"/>
        <w:tabs>
          <w:tab w:leader="none" w:pos="1809" w:val="left"/>
        </w:tabs>
        <w:numPr>
          <w:ilvl w:val="1"/>
          <w:numId w:val="20"/>
        </w:numPr>
        <w:rPr>
          <w:rFonts w:ascii="Arial" w:cs="Arial" w:eastAsia="Arial" w:hAnsi="Arial"/>
          <w:sz w:val="22"/>
          <w:szCs w:val="22"/>
          <w:color w:val="auto"/>
        </w:rPr>
      </w:pPr>
      <w:r>
        <w:rPr>
          <w:rFonts w:ascii="Arial" w:cs="Arial" w:eastAsia="Arial" w:hAnsi="Arial"/>
          <w:sz w:val="22"/>
          <w:szCs w:val="22"/>
          <w:b w:val="1"/>
          <w:bCs w:val="1"/>
          <w:color w:val="auto"/>
        </w:rPr>
        <w:t xml:space="preserve">Restricted Stock Units Award. </w:t>
      </w:r>
      <w:r>
        <w:rPr>
          <w:rFonts w:ascii="Arial" w:cs="Arial" w:eastAsia="Arial" w:hAnsi="Arial"/>
          <w:sz w:val="22"/>
          <w:szCs w:val="22"/>
          <w:color w:val="auto"/>
        </w:rPr>
        <w:t>The Company hereby grants to you an aggregate of up to _____ restricted</w:t>
      </w:r>
      <w:r>
        <w:rPr>
          <w:rFonts w:ascii="Arial" w:cs="Arial" w:eastAsia="Arial" w:hAnsi="Arial"/>
          <w:sz w:val="22"/>
          <w:szCs w:val="22"/>
          <w:b w:val="1"/>
          <w:bCs w:val="1"/>
          <w:color w:val="auto"/>
        </w:rPr>
        <w:t xml:space="preserve"> </w:t>
      </w:r>
      <w:r>
        <w:rPr>
          <w:rFonts w:ascii="Arial" w:cs="Arial" w:eastAsia="Arial" w:hAnsi="Arial"/>
          <w:sz w:val="22"/>
          <w:szCs w:val="22"/>
          <w:color w:val="auto"/>
        </w:rPr>
        <w:t>stock units (individually, an "</w:t>
      </w:r>
      <w:r>
        <w:rPr>
          <w:rFonts w:ascii="Arial" w:cs="Arial" w:eastAsia="Arial" w:hAnsi="Arial"/>
          <w:sz w:val="22"/>
          <w:szCs w:val="22"/>
          <w:u w:val="single" w:color="auto"/>
          <w:color w:val="auto"/>
        </w:rPr>
        <w:t>RSU</w:t>
      </w:r>
      <w:r>
        <w:rPr>
          <w:rFonts w:ascii="Arial" w:cs="Arial" w:eastAsia="Arial" w:hAnsi="Arial"/>
          <w:sz w:val="22"/>
          <w:szCs w:val="22"/>
          <w:color w:val="auto"/>
        </w:rPr>
        <w:t>," and collectively, "</w:t>
      </w:r>
      <w:r>
        <w:rPr>
          <w:rFonts w:ascii="Arial" w:cs="Arial" w:eastAsia="Arial" w:hAnsi="Arial"/>
          <w:sz w:val="22"/>
          <w:szCs w:val="22"/>
          <w:u w:val="single" w:color="auto"/>
          <w:color w:val="auto"/>
        </w:rPr>
        <w:t>RSUs</w:t>
      </w:r>
      <w:r>
        <w:rPr>
          <w:rFonts w:ascii="Arial" w:cs="Arial" w:eastAsia="Arial" w:hAnsi="Arial"/>
          <w:sz w:val="22"/>
          <w:szCs w:val="22"/>
          <w:color w:val="auto"/>
        </w:rPr>
        <w:t>") as more specifically set forth in Section 2(e). Each RSU entitles you to receive one share of common stock, par value $.01 per share, of the Company (the "</w:t>
      </w:r>
      <w:r>
        <w:rPr>
          <w:rFonts w:ascii="Arial" w:cs="Arial" w:eastAsia="Arial" w:hAnsi="Arial"/>
          <w:sz w:val="22"/>
          <w:szCs w:val="22"/>
          <w:u w:val="single" w:color="auto"/>
          <w:color w:val="auto"/>
        </w:rPr>
        <w:t>Shares</w:t>
      </w:r>
      <w:r>
        <w:rPr>
          <w:rFonts w:ascii="Arial" w:cs="Arial" w:eastAsia="Arial" w:hAnsi="Arial"/>
          <w:sz w:val="22"/>
          <w:szCs w:val="22"/>
          <w:color w:val="auto"/>
        </w:rPr>
        <w:t>") at such time as the restrictions described in Section 2(d)(ii) lapse as described in Section 2(e).</w:t>
      </w:r>
    </w:p>
    <w:p>
      <w:pPr>
        <w:spacing w:after="0" w:line="176" w:lineRule="exact"/>
        <w:rPr>
          <w:rFonts w:ascii="Arial" w:cs="Arial" w:eastAsia="Arial" w:hAnsi="Arial"/>
          <w:sz w:val="22"/>
          <w:szCs w:val="22"/>
          <w:color w:val="auto"/>
        </w:rPr>
      </w:pPr>
    </w:p>
    <w:p>
      <w:pPr>
        <w:jc w:val="both"/>
        <w:ind w:left="660" w:firstLine="658"/>
        <w:spacing w:after="0" w:line="295" w:lineRule="auto"/>
        <w:tabs>
          <w:tab w:leader="none" w:pos="1848" w:val="left"/>
        </w:tabs>
        <w:numPr>
          <w:ilvl w:val="2"/>
          <w:numId w:val="20"/>
        </w:numPr>
        <w:rPr>
          <w:rFonts w:ascii="Arial" w:cs="Arial" w:eastAsia="Arial" w:hAnsi="Arial"/>
          <w:sz w:val="19"/>
          <w:szCs w:val="19"/>
          <w:color w:val="auto"/>
        </w:rPr>
      </w:pPr>
      <w:r>
        <w:rPr>
          <w:rFonts w:ascii="Arial" w:cs="Arial" w:eastAsia="Arial" w:hAnsi="Arial"/>
          <w:sz w:val="19"/>
          <w:szCs w:val="19"/>
          <w:b w:val="1"/>
          <w:bCs w:val="1"/>
          <w:color w:val="auto"/>
        </w:rPr>
        <w:t xml:space="preserve">Form of Shares; Possession of Certificates. </w:t>
      </w:r>
      <w:r>
        <w:rPr>
          <w:rFonts w:ascii="Arial" w:cs="Arial" w:eastAsia="Arial" w:hAnsi="Arial"/>
          <w:sz w:val="19"/>
          <w:szCs w:val="19"/>
          <w:color w:val="auto"/>
        </w:rPr>
        <w:t>The Company shall issue the Shares you become entitled to</w:t>
      </w:r>
      <w:r>
        <w:rPr>
          <w:rFonts w:ascii="Arial" w:cs="Arial" w:eastAsia="Arial" w:hAnsi="Arial"/>
          <w:sz w:val="19"/>
          <w:szCs w:val="19"/>
          <w:b w:val="1"/>
          <w:bCs w:val="1"/>
          <w:color w:val="auto"/>
        </w:rPr>
        <w:t xml:space="preserve"> </w:t>
      </w:r>
      <w:r>
        <w:rPr>
          <w:rFonts w:ascii="Arial" w:cs="Arial" w:eastAsia="Arial" w:hAnsi="Arial"/>
          <w:sz w:val="19"/>
          <w:szCs w:val="19"/>
          <w:color w:val="auto"/>
        </w:rPr>
        <w:t>receive hereunder by book-entry registration or by issuance of a certificate or certificates for the Shares in your name as soon as practicable after the restrictions in Section 2(d)(ii) lapse as described in Section 2(e). In the event the Company issues a certificate or certificates for the Shares, such certificates shall be subject to such stop transfer orders and other restrictions as the committee of the Board of Directors that administers the Plan may deem necessary or advisable under the Plan and rules, regulations and other requirements of the Securities and Exchange Commission, any stock exchange upon which such Shares are then listed, and any applicable foreign, federal or state securities laws.</w:t>
      </w:r>
    </w:p>
    <w:p>
      <w:pPr>
        <w:spacing w:after="0" w:line="146" w:lineRule="exact"/>
        <w:rPr>
          <w:sz w:val="20"/>
          <w:szCs w:val="20"/>
          <w:color w:val="auto"/>
        </w:rPr>
      </w:pPr>
    </w:p>
    <w:p>
      <w:pPr>
        <w:jc w:val="both"/>
        <w:ind w:left="660" w:firstLine="645"/>
        <w:spacing w:after="0" w:line="256" w:lineRule="auto"/>
        <w:tabs>
          <w:tab w:leader="none" w:pos="1728" w:val="left"/>
        </w:tabs>
        <w:numPr>
          <w:ilvl w:val="0"/>
          <w:numId w:val="21"/>
        </w:numPr>
        <w:rPr>
          <w:rFonts w:ascii="Arial" w:cs="Arial" w:eastAsia="Arial" w:hAnsi="Arial"/>
          <w:sz w:val="22"/>
          <w:szCs w:val="22"/>
          <w:color w:val="auto"/>
        </w:rPr>
      </w:pPr>
      <w:r>
        <w:rPr>
          <w:rFonts w:ascii="Arial" w:cs="Arial" w:eastAsia="Arial" w:hAnsi="Arial"/>
          <w:sz w:val="22"/>
          <w:szCs w:val="22"/>
          <w:b w:val="1"/>
          <w:bCs w:val="1"/>
          <w:color w:val="auto"/>
        </w:rPr>
        <w:t xml:space="preserve">Stockholder Rights Prior to Issuance of Shares. </w:t>
      </w:r>
      <w:r>
        <w:rPr>
          <w:rFonts w:ascii="Arial" w:cs="Arial" w:eastAsia="Arial" w:hAnsi="Arial"/>
          <w:sz w:val="22"/>
          <w:szCs w:val="22"/>
          <w:color w:val="auto"/>
        </w:rPr>
        <w:t>Neither you nor any of your beneficiaries shall be deemed to</w:t>
      </w:r>
      <w:r>
        <w:rPr>
          <w:rFonts w:ascii="Arial" w:cs="Arial" w:eastAsia="Arial" w:hAnsi="Arial"/>
          <w:sz w:val="22"/>
          <w:szCs w:val="22"/>
          <w:b w:val="1"/>
          <w:bCs w:val="1"/>
          <w:color w:val="auto"/>
        </w:rPr>
        <w:t xml:space="preserve"> </w:t>
      </w:r>
      <w:r>
        <w:rPr>
          <w:rFonts w:ascii="Arial" w:cs="Arial" w:eastAsia="Arial" w:hAnsi="Arial"/>
          <w:sz w:val="22"/>
          <w:szCs w:val="22"/>
          <w:color w:val="auto"/>
        </w:rPr>
        <w:t>have any voting rights, rights to receive dividends or other rights as a stockholder of the Company with respect to any Shares covered by the RSUs until the date of book-entry registration or issuance by the Company of a certificate to you for such Shares.</w:t>
      </w:r>
    </w:p>
    <w:p>
      <w:pPr>
        <w:sectPr>
          <w:pgSz w:w="11900" w:h="16838" w:orient="portrait"/>
          <w:cols w:equalWidth="0" w:num="1">
            <w:col w:w="11420"/>
          </w:cols>
          <w:pgMar w:left="240" w:top="580" w:right="239" w:bottom="1440" w:gutter="0" w:footer="0" w:header="0"/>
        </w:sectPr>
      </w:pPr>
    </w:p>
    <w:bookmarkStart w:id="43" w:name="page44"/>
    <w:bookmarkEnd w:id="43"/>
    <w:p>
      <w:pPr>
        <w:ind w:left="1084" w:hanging="435"/>
        <w:spacing w:after="0"/>
        <w:tabs>
          <w:tab w:leader="none" w:pos="1084"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Restrictions.</w:t>
      </w:r>
    </w:p>
    <w:p>
      <w:pPr>
        <w:spacing w:after="0" w:line="239" w:lineRule="exact"/>
        <w:rPr>
          <w:rFonts w:ascii="Arial" w:cs="Arial" w:eastAsia="Arial" w:hAnsi="Arial"/>
          <w:sz w:val="22"/>
          <w:szCs w:val="22"/>
          <w:color w:val="auto"/>
        </w:rPr>
      </w:pPr>
    </w:p>
    <w:p>
      <w:pPr>
        <w:ind w:left="644" w:right="20" w:firstLine="653"/>
        <w:spacing w:after="0" w:line="276" w:lineRule="auto"/>
        <w:tabs>
          <w:tab w:leader="none" w:pos="1689" w:val="left"/>
        </w:tabs>
        <w:numPr>
          <w:ilvl w:val="1"/>
          <w:numId w:val="22"/>
        </w:numPr>
        <w:rPr>
          <w:rFonts w:ascii="Arial" w:cs="Arial" w:eastAsia="Arial" w:hAnsi="Arial"/>
          <w:sz w:val="22"/>
          <w:szCs w:val="22"/>
          <w:color w:val="auto"/>
        </w:rPr>
      </w:pPr>
      <w:r>
        <w:rPr>
          <w:rFonts w:ascii="Arial" w:cs="Arial" w:eastAsia="Arial" w:hAnsi="Arial"/>
          <w:sz w:val="22"/>
          <w:szCs w:val="22"/>
          <w:color w:val="auto"/>
        </w:rPr>
        <w:t>Your ownership of the RSUs shall be subject to the restrictions set forth in subsection (ii) of this Section 2(d) until such restrictions lapse pursuant to the terms of Section 2(e).</w:t>
      </w:r>
    </w:p>
    <w:p>
      <w:pPr>
        <w:spacing w:after="0" w:line="160" w:lineRule="exact"/>
        <w:rPr>
          <w:rFonts w:ascii="Arial" w:cs="Arial" w:eastAsia="Arial" w:hAnsi="Arial"/>
          <w:sz w:val="22"/>
          <w:szCs w:val="22"/>
          <w:color w:val="auto"/>
        </w:rPr>
      </w:pPr>
    </w:p>
    <w:p>
      <w:pPr>
        <w:jc w:val="both"/>
        <w:ind w:left="644" w:firstLine="653"/>
        <w:spacing w:after="0" w:line="251" w:lineRule="auto"/>
        <w:tabs>
          <w:tab w:leader="none" w:pos="1763" w:val="left"/>
        </w:tabs>
        <w:numPr>
          <w:ilvl w:val="1"/>
          <w:numId w:val="22"/>
        </w:numPr>
        <w:rPr>
          <w:rFonts w:ascii="Arial" w:cs="Arial" w:eastAsia="Arial" w:hAnsi="Arial"/>
          <w:sz w:val="22"/>
          <w:szCs w:val="22"/>
          <w:color w:val="auto"/>
        </w:rPr>
      </w:pPr>
      <w:r>
        <w:rPr>
          <w:rFonts w:ascii="Arial" w:cs="Arial" w:eastAsia="Arial" w:hAnsi="Arial"/>
          <w:sz w:val="22"/>
          <w:szCs w:val="22"/>
          <w:color w:val="auto"/>
        </w:rPr>
        <w:t>You may not sell, assign, transfer or otherwise dispose of any RSUs or any rights under the RSUs. No RSU and no rights under any such RSU may be pledged, alienated, attached or otherwise encumbered, other than by will or the laws of descent and distribution. If you or anyone claiming under or through you attempts to violate this Section 2(d)(ii), such attempted violation shall be null and void and without effect, and all of the Company’s obligations hereunder shall terminate.</w:t>
      </w:r>
    </w:p>
    <w:p>
      <w:pPr>
        <w:spacing w:after="0" w:line="183" w:lineRule="exact"/>
        <w:rPr>
          <w:rFonts w:ascii="Arial" w:cs="Arial" w:eastAsia="Arial" w:hAnsi="Arial"/>
          <w:sz w:val="22"/>
          <w:szCs w:val="22"/>
          <w:color w:val="auto"/>
        </w:rPr>
      </w:pPr>
    </w:p>
    <w:p>
      <w:pPr>
        <w:ind w:left="1064" w:hanging="415"/>
        <w:spacing w:after="0"/>
        <w:tabs>
          <w:tab w:leader="none" w:pos="1064" w:val="left"/>
        </w:tabs>
        <w:numPr>
          <w:ilvl w:val="0"/>
          <w:numId w:val="22"/>
        </w:numPr>
        <w:rPr>
          <w:rFonts w:ascii="Arial" w:cs="Arial" w:eastAsia="Arial" w:hAnsi="Arial"/>
          <w:sz w:val="22"/>
          <w:szCs w:val="22"/>
          <w:color w:val="auto"/>
        </w:rPr>
      </w:pPr>
      <w:r>
        <w:rPr>
          <w:rFonts w:ascii="Arial" w:cs="Arial" w:eastAsia="Arial" w:hAnsi="Arial"/>
          <w:sz w:val="22"/>
          <w:szCs w:val="22"/>
          <w:b w:val="1"/>
          <w:bCs w:val="1"/>
          <w:color w:val="auto"/>
        </w:rPr>
        <w:t>Lapse of Restrictions.</w:t>
      </w:r>
    </w:p>
    <w:p>
      <w:pPr>
        <w:spacing w:after="0" w:line="239" w:lineRule="exact"/>
        <w:rPr>
          <w:sz w:val="20"/>
          <w:szCs w:val="20"/>
          <w:color w:val="auto"/>
        </w:rPr>
      </w:pPr>
    </w:p>
    <w:p>
      <w:pPr>
        <w:ind w:left="624" w:firstLine="659"/>
        <w:spacing w:after="0" w:line="276" w:lineRule="auto"/>
        <w:tabs>
          <w:tab w:leader="none" w:pos="1966"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restrictions described in Section 2(d)(ii) shall lapse with respect to the RSUs on the first anniversary of the date of this Award Agreement.</w:t>
      </w:r>
    </w:p>
    <w:p>
      <w:pPr>
        <w:spacing w:after="0" w:line="161" w:lineRule="exact"/>
        <w:rPr>
          <w:sz w:val="20"/>
          <w:szCs w:val="20"/>
          <w:color w:val="auto"/>
        </w:rPr>
      </w:pPr>
    </w:p>
    <w:p>
      <w:pPr>
        <w:ind w:left="624" w:firstLine="646"/>
        <w:spacing w:after="0" w:line="301" w:lineRule="auto"/>
        <w:tabs>
          <w:tab w:leader="none" w:pos="1865" w:val="left"/>
        </w:tabs>
        <w:numPr>
          <w:ilvl w:val="0"/>
          <w:numId w:val="24"/>
        </w:numPr>
        <w:rPr>
          <w:rFonts w:ascii="Arial" w:cs="Arial" w:eastAsia="Arial" w:hAnsi="Arial"/>
          <w:sz w:val="21"/>
          <w:szCs w:val="21"/>
          <w:color w:val="auto"/>
        </w:rPr>
      </w:pPr>
      <w:r>
        <w:rPr>
          <w:rFonts w:ascii="Arial" w:cs="Arial" w:eastAsia="Arial" w:hAnsi="Arial"/>
          <w:sz w:val="21"/>
          <w:szCs w:val="21"/>
          <w:color w:val="auto"/>
        </w:rPr>
        <w:t>Notwithstanding the provisions of subsection (i) of this Section 2(e), the restrictions described in Section 2(d)(ii) shall lapse with respect to all RSUs upon the occurrence of any of the following events:</w:t>
      </w:r>
    </w:p>
    <w:p>
      <w:pPr>
        <w:spacing w:after="0" w:line="137" w:lineRule="exact"/>
        <w:rPr>
          <w:rFonts w:ascii="Arial" w:cs="Arial" w:eastAsia="Arial" w:hAnsi="Arial"/>
          <w:sz w:val="21"/>
          <w:szCs w:val="21"/>
          <w:color w:val="auto"/>
        </w:rPr>
      </w:pPr>
    </w:p>
    <w:p>
      <w:pPr>
        <w:ind w:left="2424" w:hanging="479"/>
        <w:spacing w:after="0"/>
        <w:tabs>
          <w:tab w:leader="none" w:pos="2424" w:val="left"/>
        </w:tabs>
        <w:numPr>
          <w:ilvl w:val="1"/>
          <w:numId w:val="24"/>
        </w:numPr>
        <w:rPr>
          <w:rFonts w:ascii="Arial" w:cs="Arial" w:eastAsia="Arial" w:hAnsi="Arial"/>
          <w:sz w:val="22"/>
          <w:szCs w:val="22"/>
          <w:color w:val="auto"/>
        </w:rPr>
      </w:pPr>
      <w:r>
        <w:rPr>
          <w:rFonts w:ascii="Arial" w:cs="Arial" w:eastAsia="Arial" w:hAnsi="Arial"/>
          <w:sz w:val="22"/>
          <w:szCs w:val="22"/>
          <w:color w:val="auto"/>
        </w:rPr>
        <w:t>Your death or "</w:t>
      </w:r>
      <w:r>
        <w:rPr>
          <w:rFonts w:ascii="Arial" w:cs="Arial" w:eastAsia="Arial" w:hAnsi="Arial"/>
          <w:sz w:val="22"/>
          <w:szCs w:val="22"/>
          <w:u w:val="single" w:color="auto"/>
          <w:color w:val="auto"/>
        </w:rPr>
        <w:t>Disability</w:t>
      </w:r>
      <w:r>
        <w:rPr>
          <w:rFonts w:ascii="Arial" w:cs="Arial" w:eastAsia="Arial" w:hAnsi="Arial"/>
          <w:sz w:val="22"/>
          <w:szCs w:val="22"/>
          <w:color w:val="auto"/>
        </w:rPr>
        <w:t>"; or</w:t>
      </w:r>
    </w:p>
    <w:p>
      <w:pPr>
        <w:spacing w:after="0" w:line="233" w:lineRule="exact"/>
        <w:rPr>
          <w:rFonts w:ascii="Arial" w:cs="Arial" w:eastAsia="Arial" w:hAnsi="Arial"/>
          <w:sz w:val="22"/>
          <w:szCs w:val="22"/>
          <w:color w:val="auto"/>
        </w:rPr>
      </w:pPr>
    </w:p>
    <w:p>
      <w:pPr>
        <w:ind w:left="2404" w:hanging="459"/>
        <w:spacing w:after="0"/>
        <w:tabs>
          <w:tab w:leader="none" w:pos="2404" w:val="left"/>
        </w:tabs>
        <w:numPr>
          <w:ilvl w:val="1"/>
          <w:numId w:val="24"/>
        </w:numPr>
        <w:rPr>
          <w:rFonts w:ascii="Arial" w:cs="Arial" w:eastAsia="Arial" w:hAnsi="Arial"/>
          <w:sz w:val="22"/>
          <w:szCs w:val="22"/>
          <w:color w:val="auto"/>
        </w:rPr>
      </w:pPr>
      <w:r>
        <w:rPr>
          <w:rFonts w:ascii="Arial" w:cs="Arial" w:eastAsia="Arial" w:hAnsi="Arial"/>
          <w:sz w:val="22"/>
          <w:szCs w:val="22"/>
          <w:color w:val="auto"/>
        </w:rPr>
        <w:t>A Change of Control of the Company.</w:t>
      </w:r>
    </w:p>
    <w:p>
      <w:pPr>
        <w:spacing w:after="0" w:line="233" w:lineRule="exact"/>
        <w:rPr>
          <w:sz w:val="20"/>
          <w:szCs w:val="20"/>
          <w:color w:val="auto"/>
        </w:rPr>
      </w:pPr>
    </w:p>
    <w:p>
      <w:pPr>
        <w:jc w:val="both"/>
        <w:ind w:left="644" w:firstLine="648"/>
        <w:spacing w:after="0" w:line="271" w:lineRule="auto"/>
        <w:rPr>
          <w:sz w:val="20"/>
          <w:szCs w:val="20"/>
          <w:color w:val="auto"/>
        </w:rPr>
      </w:pPr>
      <w:r>
        <w:rPr>
          <w:rFonts w:ascii="Arial" w:cs="Arial" w:eastAsia="Arial" w:hAnsi="Arial"/>
          <w:sz w:val="21"/>
          <w:szCs w:val="21"/>
          <w:color w:val="auto"/>
        </w:rPr>
        <w:t>The term "</w:t>
      </w:r>
      <w:r>
        <w:rPr>
          <w:rFonts w:ascii="Arial" w:cs="Arial" w:eastAsia="Arial" w:hAnsi="Arial"/>
          <w:sz w:val="21"/>
          <w:szCs w:val="21"/>
          <w:u w:val="single" w:color="auto"/>
          <w:color w:val="auto"/>
        </w:rPr>
        <w:t>Disability</w:t>
      </w:r>
      <w:r>
        <w:rPr>
          <w:rFonts w:ascii="Arial" w:cs="Arial" w:eastAsia="Arial" w:hAnsi="Arial"/>
          <w:sz w:val="21"/>
          <w:szCs w:val="21"/>
          <w:color w:val="auto"/>
        </w:rPr>
        <w:t>" shall mean your inability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168" w:lineRule="exact"/>
        <w:rPr>
          <w:sz w:val="20"/>
          <w:szCs w:val="20"/>
          <w:color w:val="auto"/>
        </w:rPr>
      </w:pPr>
    </w:p>
    <w:p>
      <w:pPr>
        <w:jc w:val="both"/>
        <w:ind w:left="624" w:firstLine="646"/>
        <w:spacing w:after="0" w:line="251" w:lineRule="auto"/>
        <w:tabs>
          <w:tab w:leader="none" w:pos="1776" w:val="left"/>
        </w:tabs>
        <w:numPr>
          <w:ilvl w:val="1"/>
          <w:numId w:val="25"/>
        </w:numPr>
        <w:rPr>
          <w:rFonts w:ascii="Arial" w:cs="Arial" w:eastAsia="Arial" w:hAnsi="Arial"/>
          <w:sz w:val="22"/>
          <w:szCs w:val="22"/>
          <w:color w:val="auto"/>
        </w:rPr>
      </w:pPr>
      <w:r>
        <w:rPr>
          <w:rFonts w:ascii="Arial" w:cs="Arial" w:eastAsia="Arial" w:hAnsi="Arial"/>
          <w:sz w:val="22"/>
          <w:szCs w:val="22"/>
          <w:color w:val="auto"/>
        </w:rPr>
        <w:t>On the date of the lapse of the restrictions in accordance with this Section 2(e), or in any event, no later than the earlier of ninety (90) days after such date or two and one-half months following the end of the calendar year in which the restrictions lapsed in accordance with Section 2(e), the Company will make a book-entry registration or will issue you a certificate as provided in Section 2(b) of this Award Agreement for the Shares covered by such RSUs in redemption of such RSUs.</w:t>
      </w:r>
    </w:p>
    <w:p>
      <w:pPr>
        <w:spacing w:after="0" w:line="224" w:lineRule="exact"/>
        <w:rPr>
          <w:rFonts w:ascii="Arial" w:cs="Arial" w:eastAsia="Arial" w:hAnsi="Arial"/>
          <w:sz w:val="22"/>
          <w:szCs w:val="22"/>
          <w:color w:val="auto"/>
        </w:rPr>
      </w:pPr>
    </w:p>
    <w:p>
      <w:pPr>
        <w:ind w:left="-656" w:firstLine="656"/>
        <w:spacing w:after="0" w:line="282" w:lineRule="auto"/>
        <w:tabs>
          <w:tab w:leader="none" w:pos="334"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 xml:space="preserve">Adjustment of Shares. </w:t>
      </w:r>
      <w:r>
        <w:rPr>
          <w:rFonts w:ascii="Arial" w:cs="Arial" w:eastAsia="Arial" w:hAnsi="Arial"/>
          <w:sz w:val="22"/>
          <w:szCs w:val="22"/>
          <w:color w:val="auto"/>
        </w:rPr>
        <w:t>The number of Shares subject to the RSUs awarded to you under this Award Agreement may be</w:t>
      </w:r>
      <w:r>
        <w:rPr>
          <w:rFonts w:ascii="Arial" w:cs="Arial" w:eastAsia="Arial" w:hAnsi="Arial"/>
          <w:sz w:val="22"/>
          <w:szCs w:val="22"/>
          <w:b w:val="1"/>
          <w:bCs w:val="1"/>
          <w:color w:val="auto"/>
        </w:rPr>
        <w:t xml:space="preserve"> </w:t>
      </w:r>
      <w:r>
        <w:rPr>
          <w:rFonts w:ascii="Arial" w:cs="Arial" w:eastAsia="Arial" w:hAnsi="Arial"/>
          <w:sz w:val="22"/>
          <w:szCs w:val="22"/>
          <w:color w:val="auto"/>
        </w:rPr>
        <w:t>adjusted as provided in the Plan.</w:t>
      </w:r>
    </w:p>
    <w:p>
      <w:pPr>
        <w:spacing w:after="0" w:line="148" w:lineRule="exact"/>
        <w:rPr>
          <w:rFonts w:ascii="Arial" w:cs="Arial" w:eastAsia="Arial" w:hAnsi="Arial"/>
          <w:sz w:val="22"/>
          <w:szCs w:val="22"/>
          <w:color w:val="auto"/>
        </w:rPr>
      </w:pPr>
    </w:p>
    <w:p>
      <w:pPr>
        <w:jc w:val="both"/>
        <w:ind w:left="-656" w:firstLine="656"/>
        <w:spacing w:after="0" w:line="268" w:lineRule="auto"/>
        <w:tabs>
          <w:tab w:leader="none" w:pos="415" w:val="left"/>
        </w:tabs>
        <w:numPr>
          <w:ilvl w:val="0"/>
          <w:numId w:val="26"/>
        </w:numPr>
        <w:rPr>
          <w:rFonts w:ascii="Arial" w:cs="Arial" w:eastAsia="Arial" w:hAnsi="Arial"/>
          <w:sz w:val="21"/>
          <w:szCs w:val="21"/>
          <w:color w:val="auto"/>
        </w:rPr>
      </w:pPr>
      <w:r>
        <w:rPr>
          <w:rFonts w:ascii="Arial" w:cs="Arial" w:eastAsia="Arial" w:hAnsi="Arial"/>
          <w:sz w:val="21"/>
          <w:szCs w:val="21"/>
          <w:b w:val="1"/>
          <w:bCs w:val="1"/>
          <w:color w:val="auto"/>
        </w:rPr>
        <w:t xml:space="preserve">Agreement With Respect to Securities Matters. </w:t>
      </w:r>
      <w:r>
        <w:rPr>
          <w:rFonts w:ascii="Arial" w:cs="Arial" w:eastAsia="Arial" w:hAnsi="Arial"/>
          <w:sz w:val="21"/>
          <w:szCs w:val="21"/>
          <w:color w:val="auto"/>
        </w:rPr>
        <w:t>You agree that you will not sell or otherwise transfer any Shares</w:t>
      </w:r>
      <w:r>
        <w:rPr>
          <w:rFonts w:ascii="Arial" w:cs="Arial" w:eastAsia="Arial" w:hAnsi="Arial"/>
          <w:sz w:val="21"/>
          <w:szCs w:val="21"/>
          <w:b w:val="1"/>
          <w:bCs w:val="1"/>
          <w:color w:val="auto"/>
        </w:rPr>
        <w:t xml:space="preserve"> </w:t>
      </w:r>
      <w:r>
        <w:rPr>
          <w:rFonts w:ascii="Arial" w:cs="Arial" w:eastAsia="Arial" w:hAnsi="Arial"/>
          <w:sz w:val="21"/>
          <w:szCs w:val="21"/>
          <w:color w:val="auto"/>
        </w:rPr>
        <w:t>received pursuant to this Award Agreement except pursuant to an effective registration statement under the U.S. Securities Act of 1933, as amended, or pursuant to an applicable exemption from such registration. Unless a registration statement relating to the Shares issuable upon the lapse of the restrictions on the RSUs pursuant to this Award Agreement is in effect at the time of issuance of such Shares, the certificate(s) for the Shares shall contain the following legend:</w:t>
      </w:r>
    </w:p>
    <w:p>
      <w:pPr>
        <w:sectPr>
          <w:pgSz w:w="11900" w:h="16838" w:orient="portrait"/>
          <w:cols w:equalWidth="0" w:num="1">
            <w:col w:w="10764"/>
          </w:cols>
          <w:pgMar w:left="896" w:top="585" w:right="239" w:bottom="1440" w:gutter="0" w:footer="0" w:header="0"/>
        </w:sectPr>
      </w:pPr>
    </w:p>
    <w:bookmarkStart w:id="44" w:name="page45"/>
    <w:bookmarkEnd w:id="44"/>
    <w:p>
      <w:pPr>
        <w:jc w:val="both"/>
        <w:ind w:left="640"/>
        <w:spacing w:after="0" w:line="248" w:lineRule="auto"/>
        <w:rPr>
          <w:sz w:val="20"/>
          <w:szCs w:val="20"/>
          <w:color w:val="auto"/>
        </w:rPr>
      </w:pPr>
      <w:r>
        <w:rPr>
          <w:rFonts w:ascii="Arial" w:cs="Arial" w:eastAsia="Arial" w:hAnsi="Arial"/>
          <w:sz w:val="22"/>
          <w:szCs w:val="22"/>
          <w:color w:val="auto"/>
        </w:rPr>
        <w:t>The securities evidenced by this certificate have not been registered under the Securities Act of 1933 or any other securities laws. These securities have been acquired for investment and may not be sold or transferred for value in the absence of an effective registration of them under the U.S. Securities Act of 1933 and any other applicable securities laws, or receipt by the Company of an opinion of counsel or other evidence acceptable to the Company that such registration is not required under such acts.</w:t>
      </w:r>
    </w:p>
    <w:p>
      <w:pPr>
        <w:spacing w:after="0" w:line="186" w:lineRule="exact"/>
        <w:rPr>
          <w:sz w:val="20"/>
          <w:szCs w:val="20"/>
          <w:color w:val="auto"/>
        </w:rPr>
      </w:pPr>
    </w:p>
    <w:p>
      <w:pPr>
        <w:jc w:val="both"/>
        <w:ind w:left="-20" w:firstLine="656"/>
        <w:spacing w:after="0" w:line="251" w:lineRule="auto"/>
        <w:tabs>
          <w:tab w:leader="none" w:pos="984"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Compliance with 409A</w:t>
      </w:r>
      <w:r>
        <w:rPr>
          <w:rFonts w:ascii="Arial" w:cs="Arial" w:eastAsia="Arial" w:hAnsi="Arial"/>
          <w:sz w:val="22"/>
          <w:szCs w:val="22"/>
          <w:color w:val="auto"/>
        </w:rPr>
        <w:t>. The Company intends that this Award Agreement and the Plan either (1) comply with Section</w:t>
      </w:r>
      <w:r>
        <w:rPr>
          <w:rFonts w:ascii="Arial" w:cs="Arial" w:eastAsia="Arial" w:hAnsi="Arial"/>
          <w:sz w:val="22"/>
          <w:szCs w:val="22"/>
          <w:b w:val="1"/>
          <w:bCs w:val="1"/>
          <w:color w:val="auto"/>
        </w:rPr>
        <w:t xml:space="preserve"> </w:t>
      </w:r>
      <w:r>
        <w:rPr>
          <w:rFonts w:ascii="Arial" w:cs="Arial" w:eastAsia="Arial" w:hAnsi="Arial"/>
          <w:sz w:val="22"/>
          <w:szCs w:val="22"/>
          <w:color w:val="auto"/>
        </w:rPr>
        <w:t>409A of the Internal Revenue Code of 1986, as amended, and guidance thereunder (“Section 409A”) or (b) be excepted from the provisions of Section 409A. Accordingly, the Company reserves the right and you agree that the Company shall have the right, without your consent and without prior notice to you, to amend either or both this Award Agreement and the Plan to cause this Award Agreement and the Plan to be so compliant or so excepted and to take such other actions under the Plan and this Award Agreement to achieve such compliance or exception.</w:t>
      </w:r>
    </w:p>
    <w:p>
      <w:pPr>
        <w:spacing w:after="0" w:line="181" w:lineRule="exact"/>
        <w:rPr>
          <w:rFonts w:ascii="Arial" w:cs="Arial" w:eastAsia="Arial" w:hAnsi="Arial"/>
          <w:sz w:val="22"/>
          <w:szCs w:val="22"/>
          <w:color w:val="auto"/>
        </w:rPr>
      </w:pPr>
    </w:p>
    <w:p>
      <w:pPr>
        <w:ind w:left="-20" w:firstLine="656"/>
        <w:spacing w:after="0" w:line="282" w:lineRule="auto"/>
        <w:tabs>
          <w:tab w:leader="none" w:pos="1011"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 xml:space="preserve">Certain Definitions. </w:t>
      </w:r>
      <w:r>
        <w:rPr>
          <w:rFonts w:ascii="Arial" w:cs="Arial" w:eastAsia="Arial" w:hAnsi="Arial"/>
          <w:sz w:val="22"/>
          <w:szCs w:val="22"/>
          <w:color w:val="auto"/>
        </w:rPr>
        <w:t>Capitalized terms used in this Award Agreement and not otherwise defined herein shall have the</w:t>
      </w:r>
      <w:r>
        <w:rPr>
          <w:rFonts w:ascii="Arial" w:cs="Arial" w:eastAsia="Arial" w:hAnsi="Arial"/>
          <w:sz w:val="22"/>
          <w:szCs w:val="22"/>
          <w:b w:val="1"/>
          <w:bCs w:val="1"/>
          <w:color w:val="auto"/>
        </w:rPr>
        <w:t xml:space="preserve"> </w:t>
      </w:r>
      <w:r>
        <w:rPr>
          <w:rFonts w:ascii="Arial" w:cs="Arial" w:eastAsia="Arial" w:hAnsi="Arial"/>
          <w:sz w:val="22"/>
          <w:szCs w:val="22"/>
          <w:color w:val="auto"/>
        </w:rPr>
        <w:t>respective meanings provided in the Plan.</w:t>
      </w:r>
    </w:p>
    <w:p>
      <w:pPr>
        <w:spacing w:after="0" w:line="148" w:lineRule="exact"/>
        <w:rPr>
          <w:rFonts w:ascii="Arial" w:cs="Arial" w:eastAsia="Arial" w:hAnsi="Arial"/>
          <w:sz w:val="22"/>
          <w:szCs w:val="22"/>
          <w:color w:val="auto"/>
        </w:rPr>
      </w:pPr>
    </w:p>
    <w:p>
      <w:pPr>
        <w:jc w:val="both"/>
        <w:ind w:left="-20" w:right="20" w:firstLine="656"/>
        <w:spacing w:after="0" w:line="262" w:lineRule="auto"/>
        <w:tabs>
          <w:tab w:leader="none" w:pos="1051" w:val="left"/>
        </w:tabs>
        <w:numPr>
          <w:ilvl w:val="0"/>
          <w:numId w:val="27"/>
        </w:numPr>
        <w:rPr>
          <w:rFonts w:ascii="Arial" w:cs="Arial" w:eastAsia="Arial" w:hAnsi="Arial"/>
          <w:sz w:val="22"/>
          <w:szCs w:val="22"/>
          <w:color w:val="auto"/>
        </w:rPr>
      </w:pPr>
      <w:r>
        <w:rPr>
          <w:rFonts w:ascii="Arial" w:cs="Arial" w:eastAsia="Arial" w:hAnsi="Arial"/>
          <w:sz w:val="22"/>
          <w:szCs w:val="22"/>
          <w:b w:val="1"/>
          <w:bCs w:val="1"/>
          <w:color w:val="auto"/>
        </w:rPr>
        <w:t>Designation of Beneficiary</w:t>
      </w:r>
      <w:r>
        <w:rPr>
          <w:rFonts w:ascii="Arial" w:cs="Arial" w:eastAsia="Arial" w:hAnsi="Arial"/>
          <w:sz w:val="22"/>
          <w:szCs w:val="22"/>
          <w:color w:val="auto"/>
        </w:rPr>
        <w:t>. Your beneficiary for receipt of any payment made under this Award Agreement in the</w:t>
      </w:r>
      <w:r>
        <w:rPr>
          <w:rFonts w:ascii="Arial" w:cs="Arial" w:eastAsia="Arial" w:hAnsi="Arial"/>
          <w:sz w:val="22"/>
          <w:szCs w:val="22"/>
          <w:b w:val="1"/>
          <w:bCs w:val="1"/>
          <w:color w:val="auto"/>
        </w:rPr>
        <w:t xml:space="preserve"> </w:t>
      </w:r>
      <w:r>
        <w:rPr>
          <w:rFonts w:ascii="Arial" w:cs="Arial" w:eastAsia="Arial" w:hAnsi="Arial"/>
          <w:sz w:val="22"/>
          <w:szCs w:val="22"/>
          <w:color w:val="auto"/>
        </w:rPr>
        <w:t>event of your death shall be the person(s) designated as your beneficiary(ies) on a form prescribed by the Company. If no beneficiary is designated, upon your death, payment shall be made to your estate.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to Follow]</w:t>
      </w:r>
    </w:p>
    <w:p>
      <w:pPr>
        <w:sectPr>
          <w:pgSz w:w="11900" w:h="16838" w:orient="portrait"/>
          <w:cols w:equalWidth="0" w:num="1">
            <w:col w:w="11400"/>
          </w:cols>
          <w:pgMar w:left="260" w:top="591" w:right="239" w:bottom="1440" w:gutter="0" w:footer="0" w:header="0"/>
        </w:sectPr>
      </w:pPr>
    </w:p>
    <w:bookmarkStart w:id="45" w:name="page46"/>
    <w:bookmarkEnd w:id="45"/>
    <w:p>
      <w:pPr>
        <w:ind w:firstLine="648"/>
        <w:spacing w:after="0" w:line="263" w:lineRule="auto"/>
        <w:rPr>
          <w:sz w:val="20"/>
          <w:szCs w:val="20"/>
          <w:color w:val="auto"/>
        </w:rPr>
      </w:pPr>
      <w:r>
        <w:rPr>
          <w:rFonts w:ascii="Arial" w:cs="Arial" w:eastAsia="Arial" w:hAnsi="Arial"/>
          <w:sz w:val="22"/>
          <w:szCs w:val="22"/>
          <w:color w:val="auto"/>
        </w:rPr>
        <w:t>If you accept this Award Agreement and agree to the foregoing terms and conditions, please so confirm by signing and returning the duplicate copy of this Award Agreement enclosed for that purpose.</w:t>
      </w:r>
    </w:p>
    <w:p>
      <w:pPr>
        <w:spacing w:after="0" w:line="17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MATRIX SERVICE COMPANY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2787650</wp:posOffset>
            </wp:positionH>
            <wp:positionV relativeFrom="paragraph">
              <wp:posOffset>-17780</wp:posOffset>
            </wp:positionV>
            <wp:extent cx="285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w:t>
      </w:r>
    </w:p>
    <w:p>
      <w:pPr>
        <w:spacing w:after="0" w:line="17"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2915920</wp:posOffset>
            </wp:positionH>
            <wp:positionV relativeFrom="paragraph">
              <wp:posOffset>-20320</wp:posOffset>
            </wp:positionV>
            <wp:extent cx="28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foregoing Award Agreement is accepted by me as of ______________________, and I hereby agree to the terms,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conditions, and restrictions set forth above and in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Grantee</w:t>
      </w:r>
    </w:p>
    <w:p>
      <w:pPr>
        <w:sectPr>
          <w:pgSz w:w="11900" w:h="16838" w:orient="portrait"/>
          <w:cols w:equalWidth="0" w:num="1">
            <w:col w:w="11400"/>
          </w:cols>
          <w:pgMar w:left="240" w:top="847" w:right="25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John R. Hewitt, certify that:</w:t>
      </w:r>
    </w:p>
    <w:p>
      <w:pPr>
        <w:spacing w:after="0" w:line="171" w:lineRule="exact"/>
        <w:rPr>
          <w:sz w:val="20"/>
          <w:szCs w:val="20"/>
          <w:color w:val="auto"/>
        </w:rPr>
      </w:pPr>
    </w:p>
    <w:p>
      <w:pPr>
        <w:ind w:left="980" w:hanging="324"/>
        <w:spacing w:after="0"/>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9,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Kevin S. Cavanah, certify that:</w:t>
      </w:r>
    </w:p>
    <w:p>
      <w:pPr>
        <w:spacing w:after="0" w:line="171" w:lineRule="exact"/>
        <w:rPr>
          <w:sz w:val="20"/>
          <w:szCs w:val="20"/>
          <w:color w:val="auto"/>
        </w:rPr>
      </w:pPr>
    </w:p>
    <w:p>
      <w:pPr>
        <w:ind w:left="980" w:hanging="324"/>
        <w:spacing w:after="0"/>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Matrix Service Company;</w:t>
      </w:r>
    </w:p>
    <w:p>
      <w:pPr>
        <w:spacing w:after="0" w:line="171" w:lineRule="exact"/>
        <w:rPr>
          <w:rFonts w:ascii="Arial" w:cs="Arial" w:eastAsia="Arial" w:hAnsi="Arial"/>
          <w:sz w:val="18"/>
          <w:szCs w:val="18"/>
          <w:color w:val="auto"/>
        </w:rPr>
      </w:pPr>
    </w:p>
    <w:p>
      <w:pPr>
        <w:ind w:left="980" w:right="4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980" w:right="200" w:hanging="324"/>
        <w:spacing w:after="0" w:line="308" w:lineRule="auto"/>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980" w:right="160" w:hanging="324"/>
        <w:spacing w:after="0" w:line="291"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9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56" w:lineRule="exact"/>
        <w:rPr>
          <w:rFonts w:ascii="Arial" w:cs="Arial" w:eastAsia="Arial" w:hAnsi="Arial"/>
          <w:sz w:val="16"/>
          <w:szCs w:val="16"/>
          <w:color w:val="auto"/>
        </w:rPr>
      </w:pPr>
    </w:p>
    <w:p>
      <w:pPr>
        <w:ind w:left="1620" w:right="200" w:hanging="640"/>
        <w:spacing w:after="0" w:line="286" w:lineRule="auto"/>
        <w:tabs>
          <w:tab w:leader="none" w:pos="16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ind w:left="1620" w:right="260" w:hanging="640"/>
        <w:spacing w:after="0" w:line="264"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620" w:right="60" w:hanging="640"/>
        <w:spacing w:after="0" w:line="342" w:lineRule="auto"/>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620" w:right="60" w:hanging="640"/>
        <w:spacing w:after="0" w:line="264"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980" w:right="120" w:hanging="324"/>
        <w:spacing w:after="0" w:line="34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620" w:right="300" w:hanging="640"/>
        <w:spacing w:after="0" w:line="342" w:lineRule="auto"/>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620" w:right="580" w:hanging="640"/>
        <w:spacing w:after="0" w:line="277"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32.1</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2016 as filed with the Securities and Exchange Commission on the date hereof (the “Report”), I, John R. Hewitt, President and Chief Executive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40" w:val="left"/>
        </w:tabs>
        <w:rPr>
          <w:sz w:val="20"/>
          <w:szCs w:val="20"/>
          <w:color w:val="auto"/>
        </w:rPr>
      </w:pPr>
      <w:r>
        <w:rPr>
          <w:rFonts w:ascii="Arial" w:cs="Arial" w:eastAsia="Arial" w:hAnsi="Arial"/>
          <w:sz w:val="18"/>
          <w:szCs w:val="18"/>
          <w:color w:val="auto"/>
        </w:rPr>
        <w:t>Date:</w:t>
        <w:tab/>
        <w:t>February 9,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John R. Hewitt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315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R. Hewitt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32.2</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 18 U.S.C. Section 1350,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Sarbanes-Oxley Act of 2002</w:t>
      </w:r>
    </w:p>
    <w:p>
      <w:pPr>
        <w:spacing w:after="0" w:line="15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Matrix Service Company (the “Company”) on Form 10-Q for the period ending December 31, 2016 as filed with the Securities and Exchange Commission on the date hereof (the “Report”), I, Kevin S. Cavanah, Vice President and Chief Financial Officer of the Company, certify, pursuant to 18 U.S.C. ss. 1350, as adopted pursuant to ss. 906 of the Sarbanes-Oxley Act of 2002, that based on my knowledge:</w:t>
      </w:r>
    </w:p>
    <w:p>
      <w:pPr>
        <w:spacing w:after="0" w:line="166" w:lineRule="exact"/>
        <w:rPr>
          <w:sz w:val="20"/>
          <w:szCs w:val="20"/>
          <w:color w:val="auto"/>
        </w:rPr>
      </w:pPr>
    </w:p>
    <w:p>
      <w:pPr>
        <w:ind w:left="1300" w:hanging="644"/>
        <w:spacing w:after="0"/>
        <w:tabs>
          <w:tab w:leader="none" w:pos="13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40" w:hanging="644"/>
        <w:spacing w:after="0" w:line="277" w:lineRule="auto"/>
        <w:tabs>
          <w:tab w:leader="none" w:pos="1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16" w:lineRule="exact"/>
        <w:rPr>
          <w:sz w:val="20"/>
          <w:szCs w:val="20"/>
          <w:color w:val="auto"/>
        </w:rPr>
      </w:pPr>
    </w:p>
    <w:p>
      <w:pPr>
        <w:ind w:left="40"/>
        <w:spacing w:after="0"/>
        <w:tabs>
          <w:tab w:leader="none" w:pos="6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9, 2017</w:t>
      </w:r>
    </w:p>
    <w:p>
      <w:pPr>
        <w:spacing w:after="0" w:line="1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Kevin S. Cavanah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5901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Kevin S. Cavanah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 and Chief Financial Officer</w:t>
      </w:r>
    </w:p>
    <w:p>
      <w:pPr>
        <w:sectPr>
          <w:pgSz w:w="11900" w:h="16838" w:orient="portrait"/>
          <w:cols w:equalWidth="0" w:num="1">
            <w:col w:w="11420"/>
          </w:cols>
          <w:pgMar w:left="240" w:top="580" w:right="239" w:bottom="1440" w:gutter="0" w:footer="0" w:header="0"/>
        </w:sectPr>
      </w:pPr>
    </w:p>
    <w:bookmarkStart w:id="50" w:name="page51"/>
    <w:bookmarkEnd w:id="50"/>
    <w:p>
      <w:pPr>
        <w:ind w:left="10620"/>
        <w:spacing w:after="0"/>
        <w:rPr>
          <w:sz w:val="20"/>
          <w:szCs w:val="20"/>
          <w:color w:val="auto"/>
        </w:rPr>
      </w:pPr>
      <w:r>
        <w:rPr>
          <w:rFonts w:ascii="Arial" w:cs="Arial" w:eastAsia="Arial" w:hAnsi="Arial"/>
          <w:sz w:val="17"/>
          <w:szCs w:val="17"/>
          <w:b w:val="1"/>
          <w:bCs w:val="1"/>
          <w:color w:val="auto"/>
        </w:rPr>
        <w:t>Exhibit 95</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both"/>
        <w:ind w:right="20"/>
        <w:spacing w:after="0" w:line="297" w:lineRule="auto"/>
        <w:rPr>
          <w:sz w:val="20"/>
          <w:szCs w:val="20"/>
          <w:color w:val="auto"/>
        </w:rPr>
      </w:pPr>
      <w:r>
        <w:rPr>
          <w:rFonts w:ascii="Arial" w:cs="Arial" w:eastAsia="Arial" w:hAnsi="Arial"/>
          <w:sz w:val="16"/>
          <w:szCs w:val="16"/>
          <w:color w:val="auto"/>
        </w:rPr>
        <w:t>Section 1503(a) of the Dodd-Frank Wall Street Reform and Consumer Protection Act (the "Dodd-Frank Act") requires domestic mine operators to disclose violations and orders issued under the Federal Mine Safety and Health Act of 1977 (the "Mine Act") by the federal Mine Safety and Health Administration ("MSHA"). We do not act as the owner of any mines, but as a result of our performing services or construction at mine sites as an independent contractor, we are considered an "operator" within the meaning of the Mine Act. The mine data retrieval system maintained by MSHA may show information that is different than what is provided herein. Any such difference may be attributed to the need to update that information on MSHA’s system and/or other factors.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for the three months ended December 31, 2016:</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170"/>
        </w:trPr>
        <w:tc>
          <w:tcPr>
            <w:tcW w:w="1140" w:type="dxa"/>
            <w:vAlign w:val="bottom"/>
            <w:tcBorders>
              <w:top w:val="single" w:sz="8" w:color="auto"/>
              <w:left w:val="single" w:sz="8" w:color="auto"/>
              <w:right w:val="single" w:sz="8" w:color="auto"/>
            </w:tcBorders>
          </w:tcPr>
          <w:p>
            <w:pPr>
              <w:spacing w:after="0"/>
              <w:rPr>
                <w:sz w:val="14"/>
                <w:szCs w:val="14"/>
                <w:color w:val="auto"/>
              </w:rPr>
            </w:pPr>
          </w:p>
        </w:tc>
        <w:tc>
          <w:tcPr>
            <w:tcW w:w="8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00" w:type="dxa"/>
            <w:vAlign w:val="bottom"/>
            <w:tcBorders>
              <w:top w:val="single" w:sz="8" w:color="auto"/>
              <w:right w:val="single" w:sz="8" w:color="auto"/>
            </w:tcBorders>
          </w:tcPr>
          <w:p>
            <w:pPr>
              <w:spacing w:after="0"/>
              <w:rPr>
                <w:sz w:val="14"/>
                <w:szCs w:val="14"/>
                <w:color w:val="auto"/>
              </w:rPr>
            </w:pPr>
          </w:p>
        </w:tc>
        <w:tc>
          <w:tcPr>
            <w:tcW w:w="780" w:type="dxa"/>
            <w:vAlign w:val="bottom"/>
            <w:tcBorders>
              <w:top w:val="single" w:sz="8" w:color="auto"/>
              <w:right w:val="single" w:sz="8" w:color="auto"/>
            </w:tcBorders>
          </w:tcPr>
          <w:p>
            <w:pPr>
              <w:spacing w:after="0"/>
              <w:rPr>
                <w:sz w:val="14"/>
                <w:szCs w:val="14"/>
                <w:color w:val="auto"/>
              </w:rPr>
            </w:pPr>
          </w:p>
        </w:tc>
        <w:tc>
          <w:tcPr>
            <w:tcW w:w="102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1060" w:type="dxa"/>
            <w:vAlign w:val="bottom"/>
            <w:tcBorders>
              <w:top w:val="single" w:sz="8" w:color="auto"/>
              <w:right w:val="single" w:sz="8" w:color="auto"/>
            </w:tcBorders>
          </w:tcPr>
          <w:p>
            <w:pPr>
              <w:spacing w:after="0"/>
              <w:rPr>
                <w:sz w:val="14"/>
                <w:szCs w:val="14"/>
                <w:color w:val="auto"/>
              </w:rPr>
            </w:pPr>
          </w:p>
        </w:tc>
        <w:tc>
          <w:tcPr>
            <w:tcW w:w="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Received</w:t>
            </w:r>
          </w:p>
        </w:tc>
        <w:tc>
          <w:tcPr>
            <w:tcW w:w="780" w:type="dxa"/>
            <w:vAlign w:val="bottom"/>
            <w:tcBorders>
              <w:top w:val="single" w:sz="8" w:color="auto"/>
              <w:right w:val="single" w:sz="8" w:color="auto"/>
            </w:tcBorders>
          </w:tcPr>
          <w:p>
            <w:pPr>
              <w:spacing w:after="0"/>
              <w:rPr>
                <w:sz w:val="14"/>
                <w:szCs w:val="14"/>
                <w:color w:val="auto"/>
              </w:rPr>
            </w:pPr>
          </w:p>
        </w:tc>
        <w:tc>
          <w:tcPr>
            <w:tcW w:w="680" w:type="dxa"/>
            <w:vAlign w:val="bottom"/>
            <w:tcBorders>
              <w:top w:val="single" w:sz="8" w:color="auto"/>
              <w:right w:val="single" w:sz="8" w:color="auto"/>
            </w:tcBorders>
          </w:tcPr>
          <w:p>
            <w:pPr>
              <w:spacing w:after="0"/>
              <w:rPr>
                <w:sz w:val="14"/>
                <w:szCs w:val="14"/>
                <w:color w:val="auto"/>
              </w:rPr>
            </w:pPr>
          </w:p>
        </w:tc>
        <w:tc>
          <w:tcPr>
            <w:tcW w:w="800" w:type="dxa"/>
            <w:vAlign w:val="bottom"/>
            <w:tcBorders>
              <w:top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Notice of</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10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Number of</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Number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Mine or</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Section</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Received Notice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0"/>
              </w:rPr>
              <w:t>Have Pattern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Legal</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Legal</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Legal</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Operating</w:t>
            </w:r>
          </w:p>
        </w:tc>
        <w:tc>
          <w:tcPr>
            <w:tcW w:w="88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104(d)</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of Pattern of</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of Violations</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Name/MSHA</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Section 104</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Citations</w:t>
            </w:r>
          </w:p>
        </w:tc>
        <w:tc>
          <w:tcPr>
            <w:tcW w:w="10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Section</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Mining</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Violations Under</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Under 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Pending as</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Initiated</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Resolved</w:t>
            </w: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S&amp;S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and</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110(b)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2"/>
              </w:rPr>
              <w:t>Section 104(e)</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104(e)</w:t>
            </w:r>
            <w:r>
              <w:rPr>
                <w:rFonts w:ascii="Arial" w:cs="Arial" w:eastAsia="Arial" w:hAnsi="Arial"/>
                <w:sz w:val="8"/>
                <w:szCs w:val="8"/>
                <w:color w:val="auto"/>
                <w:w w:val="95"/>
              </w:rPr>
              <w:t>(7)</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of Last Day</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Number</w:t>
            </w: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Citations</w:t>
            </w:r>
            <w:r>
              <w:rPr>
                <w:rFonts w:ascii="Arial" w:cs="Arial" w:eastAsia="Arial" w:hAnsi="Arial"/>
                <w:sz w:val="8"/>
                <w:szCs w:val="8"/>
                <w:color w:val="auto"/>
                <w:w w:val="96"/>
              </w:rPr>
              <w:t>(1)</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(2)</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8"/>
              </w:rPr>
              <w:t>(2) Violations</w:t>
            </w:r>
            <w:r>
              <w:rPr>
                <w:rFonts w:ascii="Arial" w:cs="Arial" w:eastAsia="Arial" w:hAnsi="Arial"/>
                <w:sz w:val="8"/>
                <w:szCs w:val="8"/>
                <w:color w:val="auto"/>
                <w:w w:val="98"/>
              </w:rPr>
              <w:t>(4)</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Orders</w:t>
            </w:r>
            <w:r>
              <w:rPr>
                <w:rFonts w:ascii="Arial" w:cs="Arial" w:eastAsia="Arial" w:hAnsi="Arial"/>
                <w:sz w:val="8"/>
                <w:szCs w:val="8"/>
                <w:color w:val="auto"/>
                <w:w w:val="95"/>
              </w:rPr>
              <w:t>(5)</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9"/>
                <w:szCs w:val="9"/>
                <w:color w:val="auto"/>
                <w:w w:val="93"/>
              </w:rPr>
              <w:t xml:space="preserve">(6) </w:t>
            </w:r>
            <w:r>
              <w:rPr>
                <w:rFonts w:ascii="Arial" w:cs="Arial" w:eastAsia="Arial" w:hAnsi="Arial"/>
                <w:sz w:val="14"/>
                <w:szCs w:val="14"/>
                <w:color w:val="auto"/>
                <w:w w:val="93"/>
              </w:rPr>
              <w:t>(yes/no)</w:t>
            </w:r>
          </w:p>
        </w:tc>
        <w:tc>
          <w:tcPr>
            <w:tcW w:w="9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of Period</w:t>
            </w:r>
          </w:p>
        </w:tc>
        <w:tc>
          <w:tcPr>
            <w:tcW w:w="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Period</w:t>
            </w: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1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Morenci Inc. 02-</w:t>
            </w:r>
          </w:p>
        </w:tc>
        <w:tc>
          <w:tcPr>
            <w:tcW w:w="8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00024 5CP</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Solvay</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Chemicals Inc.</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48-01295</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Big Island Mine</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&amp; Refinery 48-</w:t>
            </w:r>
          </w:p>
        </w:tc>
        <w:tc>
          <w:tcPr>
            <w:tcW w:w="8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00154</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140" w:type="dxa"/>
            <w:vAlign w:val="bottom"/>
            <w:tcBorders>
              <w:left w:val="single" w:sz="8" w:color="auto"/>
              <w:right w:val="single" w:sz="8" w:color="auto"/>
            </w:tcBorders>
          </w:tcPr>
          <w:p>
            <w:pPr>
              <w:ind w:left="40"/>
              <w:spacing w:after="0" w:line="157" w:lineRule="exact"/>
              <w:rPr>
                <w:sz w:val="20"/>
                <w:szCs w:val="20"/>
                <w:color w:val="auto"/>
              </w:rPr>
            </w:pPr>
            <w:r>
              <w:rPr>
                <w:rFonts w:ascii="Arial" w:cs="Arial" w:eastAsia="Arial" w:hAnsi="Arial"/>
                <w:sz w:val="14"/>
                <w:szCs w:val="14"/>
                <w:color w:val="auto"/>
              </w:rPr>
              <w:t>Freeport</w:t>
            </w:r>
          </w:p>
        </w:tc>
        <w:tc>
          <w:tcPr>
            <w:tcW w:w="8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102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10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780" w:type="dxa"/>
            <w:vAlign w:val="bottom"/>
            <w:tcBorders>
              <w:right w:val="single" w:sz="8" w:color="auto"/>
            </w:tcBorders>
          </w:tcPr>
          <w:p>
            <w:pPr>
              <w:spacing w:after="0"/>
              <w:rPr>
                <w:sz w:val="13"/>
                <w:szCs w:val="13"/>
                <w:color w:val="auto"/>
              </w:rPr>
            </w:pPr>
          </w:p>
        </w:tc>
        <w:tc>
          <w:tcPr>
            <w:tcW w:w="680" w:type="dxa"/>
            <w:vAlign w:val="bottom"/>
            <w:tcBorders>
              <w:right w:val="single" w:sz="8" w:color="auto"/>
            </w:tcBorders>
          </w:tcPr>
          <w:p>
            <w:pPr>
              <w:spacing w:after="0"/>
              <w:rPr>
                <w:sz w:val="13"/>
                <w:szCs w:val="13"/>
                <w:color w:val="auto"/>
              </w:rPr>
            </w:pPr>
          </w:p>
        </w:tc>
        <w:tc>
          <w:tcPr>
            <w:tcW w:w="8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140" w:type="dxa"/>
            <w:vAlign w:val="bottom"/>
            <w:tcBorders>
              <w:left w:val="single" w:sz="8" w:color="auto"/>
              <w:right w:val="single" w:sz="8" w:color="auto"/>
            </w:tcBorders>
          </w:tcPr>
          <w:p>
            <w:pPr>
              <w:ind w:left="40"/>
              <w:spacing w:after="0" w:line="149" w:lineRule="exact"/>
              <w:rPr>
                <w:sz w:val="20"/>
                <w:szCs w:val="20"/>
                <w:color w:val="auto"/>
              </w:rPr>
            </w:pPr>
            <w:r>
              <w:rPr>
                <w:rFonts w:ascii="Arial" w:cs="Arial" w:eastAsia="Arial" w:hAnsi="Arial"/>
                <w:sz w:val="14"/>
                <w:szCs w:val="14"/>
                <w:color w:val="auto"/>
              </w:rPr>
              <w:t>McMoran</w:t>
            </w:r>
          </w:p>
        </w:tc>
        <w:tc>
          <w:tcPr>
            <w:tcW w:w="8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6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01"/>
        </w:trPr>
        <w:tc>
          <w:tcPr>
            <w:tcW w:w="1140" w:type="dxa"/>
            <w:vAlign w:val="bottom"/>
            <w:tcBorders>
              <w:left w:val="single" w:sz="8" w:color="auto"/>
              <w:right w:val="single" w:sz="8" w:color="auto"/>
            </w:tcBorders>
            <w:vMerge w:val="restart"/>
          </w:tcPr>
          <w:p>
            <w:pPr>
              <w:ind w:left="40"/>
              <w:spacing w:after="0" w:line="149" w:lineRule="exact"/>
              <w:rPr>
                <w:sz w:val="20"/>
                <w:szCs w:val="20"/>
                <w:color w:val="auto"/>
              </w:rPr>
            </w:pPr>
            <w:r>
              <w:rPr>
                <w:rFonts w:ascii="Arial" w:cs="Arial" w:eastAsia="Arial" w:hAnsi="Arial"/>
                <w:sz w:val="14"/>
                <w:szCs w:val="14"/>
                <w:color w:val="auto"/>
              </w:rPr>
              <w:t>Safford Inc. 02-</w:t>
            </w:r>
          </w:p>
        </w:tc>
        <w:tc>
          <w:tcPr>
            <w:tcW w:w="8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0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102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10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78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vMerge w:val="continue"/>
          </w:tcPr>
          <w:p>
            <w:pPr>
              <w:spacing w:after="0"/>
              <w:rPr>
                <w:sz w:val="8"/>
                <w:szCs w:val="8"/>
                <w:color w:val="auto"/>
              </w:rPr>
            </w:pPr>
          </w:p>
        </w:tc>
        <w:tc>
          <w:tcPr>
            <w:tcW w:w="80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1140" w:type="dxa"/>
            <w:vAlign w:val="bottom"/>
            <w:tcBorders>
              <w:left w:val="single" w:sz="8" w:color="auto"/>
              <w:right w:val="single" w:sz="8" w:color="auto"/>
            </w:tcBorders>
            <w:vMerge w:val="continue"/>
          </w:tcPr>
          <w:p>
            <w:pPr>
              <w:spacing w:after="0"/>
              <w:rPr>
                <w:sz w:val="4"/>
                <w:szCs w:val="4"/>
                <w:color w:val="auto"/>
              </w:rPr>
            </w:pPr>
          </w:p>
        </w:tc>
        <w:tc>
          <w:tcPr>
            <w:tcW w:w="8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0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102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1060" w:type="dxa"/>
            <w:vAlign w:val="bottom"/>
            <w:tcBorders>
              <w:right w:val="single" w:sz="8" w:color="auto"/>
            </w:tcBorders>
          </w:tcPr>
          <w:p>
            <w:pPr>
              <w:spacing w:after="0"/>
              <w:rPr>
                <w:sz w:val="4"/>
                <w:szCs w:val="4"/>
                <w:color w:val="auto"/>
              </w:rPr>
            </w:pPr>
          </w:p>
        </w:tc>
        <w:tc>
          <w:tcPr>
            <w:tcW w:w="920" w:type="dxa"/>
            <w:vAlign w:val="bottom"/>
            <w:tcBorders>
              <w:right w:val="single" w:sz="8" w:color="auto"/>
            </w:tcBorders>
          </w:tcPr>
          <w:p>
            <w:pPr>
              <w:spacing w:after="0"/>
              <w:rPr>
                <w:sz w:val="4"/>
                <w:szCs w:val="4"/>
                <w:color w:val="auto"/>
              </w:rPr>
            </w:pPr>
          </w:p>
        </w:tc>
        <w:tc>
          <w:tcPr>
            <w:tcW w:w="780" w:type="dxa"/>
            <w:vAlign w:val="bottom"/>
            <w:tcBorders>
              <w:right w:val="single" w:sz="8" w:color="auto"/>
            </w:tcBorders>
          </w:tcPr>
          <w:p>
            <w:pPr>
              <w:spacing w:after="0"/>
              <w:rPr>
                <w:sz w:val="4"/>
                <w:szCs w:val="4"/>
                <w:color w:val="auto"/>
              </w:rPr>
            </w:pPr>
          </w:p>
        </w:tc>
        <w:tc>
          <w:tcPr>
            <w:tcW w:w="680" w:type="dxa"/>
            <w:vAlign w:val="bottom"/>
            <w:tcBorders>
              <w:right w:val="single" w:sz="8" w:color="auto"/>
            </w:tcBorders>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1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03131 5CP</w:t>
            </w:r>
          </w:p>
        </w:tc>
        <w:tc>
          <w:tcPr>
            <w:tcW w:w="8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0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102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1060" w:type="dxa"/>
            <w:vAlign w:val="bottom"/>
            <w:tcBorders>
              <w:bottom w:val="single" w:sz="8" w:color="auto"/>
              <w:right w:val="single" w:sz="8" w:color="auto"/>
            </w:tcBorders>
          </w:tcPr>
          <w:p>
            <w:pPr>
              <w:spacing w:after="0"/>
              <w:rPr>
                <w:sz w:val="16"/>
                <w:szCs w:val="16"/>
                <w:color w:val="auto"/>
              </w:rPr>
            </w:pPr>
          </w:p>
        </w:tc>
        <w:tc>
          <w:tcPr>
            <w:tcW w:w="920" w:type="dxa"/>
            <w:vAlign w:val="bottom"/>
            <w:tcBorders>
              <w:bottom w:val="single" w:sz="8" w:color="auto"/>
              <w:right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68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260" w:right="360" w:hanging="252"/>
        <w:spacing w:after="0" w:line="273" w:lineRule="auto"/>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total number of citations issued under section 104 of the Mine Act for violations of mandatory health or safety standards that could significantly and substantially contribute to a serious injury if left unabated.</w:t>
      </w:r>
    </w:p>
    <w:p>
      <w:pPr>
        <w:spacing w:after="0" w:line="146"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The total number of orders issued under section 104(b) of the Mine Act, which represents a failure to abate a citation under section 104(a) within the period of time prescribed by MSHA.</w:t>
      </w:r>
    </w:p>
    <w:p>
      <w:pPr>
        <w:spacing w:after="0" w:line="201" w:lineRule="exact"/>
        <w:rPr>
          <w:rFonts w:ascii="Arial" w:cs="Arial" w:eastAsia="Arial" w:hAnsi="Arial"/>
          <w:sz w:val="13"/>
          <w:szCs w:val="13"/>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total number of citations and orders issued by MSHA under section 104(d) of the Mine Act for unwarrantable failure to comply with mandatory health or safety standards.</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total number of flagrant violations identified under section 110(b)(2)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total number of orders issued under section 107(a) of the Mine Act for situations in which MSHA determined an imminent danger existed.</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written notice from the MSHA regarding a pattern of violations under section 104(e) of the Mine Act.</w:t>
      </w:r>
    </w:p>
    <w:p>
      <w:pPr>
        <w:spacing w:after="0" w:line="190" w:lineRule="exact"/>
        <w:rPr>
          <w:rFonts w:ascii="Arial" w:cs="Arial" w:eastAsia="Arial" w:hAnsi="Arial"/>
          <w:sz w:val="14"/>
          <w:szCs w:val="14"/>
          <w:color w:val="auto"/>
        </w:rPr>
      </w:pPr>
    </w:p>
    <w:p>
      <w:pPr>
        <w:ind w:left="220" w:hanging="212"/>
        <w:spacing w:after="0"/>
        <w:tabs>
          <w:tab w:leader="none" w:pos="22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 written notice from the MSHA regarding a potential to have a pattern of violations under section 104(e) of the Mine Act.</w:t>
      </w:r>
    </w:p>
    <w:sectPr>
      <w:pgSz w:w="11900" w:h="16838" w:orient="portrait"/>
      <w:cols w:equalWidth="0" w:num="1">
        <w:col w:w="11440"/>
      </w:cols>
      <w:pgMar w:left="240" w:top="74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
      <w:numFmt w:val="bullet"/>
      <w:start w:val="1"/>
    </w:lvl>
  </w:abstractNum>
  <w:abstractNum w:abstractNumId="5">
    <w:nsid w:val="7C83E458"/>
    <w:multiLevelType w:val="hybridMultilevel"/>
    <w:lvl w:ilvl="0">
      <w:lvlJc w:val="left"/>
      <w:lvlText w:val="•"/>
      <w:numFmt w:val="bullet"/>
      <w:start w:val="1"/>
    </w:lvl>
  </w:abstractNum>
  <w:abstractNum w:abstractNumId="6">
    <w:nsid w:val="257130A3"/>
    <w:multiLevelType w:val="hybridMultilevel"/>
    <w:lvl w:ilvl="0">
      <w:lvlJc w:val="left"/>
      <w:lvlText w:val="•"/>
      <w:numFmt w:val="bullet"/>
      <w:start w:val="1"/>
    </w:lvl>
  </w:abstractNum>
  <w:abstractNum w:abstractNumId="7">
    <w:nsid w:val="62BBD95A"/>
    <w:multiLevelType w:val="hybridMultilevel"/>
    <w:lvl w:ilvl="0">
      <w:lvlJc w:val="left"/>
      <w:lvlText w:val="•"/>
      <w:numFmt w:val="bullet"/>
      <w:start w:val="1"/>
    </w:lvl>
  </w:abstractNum>
  <w:abstractNum w:abstractNumId="8">
    <w:nsid w:val="436C6125"/>
    <w:multiLevelType w:val="hybridMultilevel"/>
    <w:lvl w:ilvl="0">
      <w:lvlJc w:val="left"/>
      <w:lvlText w:val="•"/>
      <w:numFmt w:val="bullet"/>
      <w:start w:val="1"/>
    </w:lvl>
    <w:lvl w:ilvl="1">
      <w:lvlJc w:val="left"/>
      <w:lvlText w:val="-"/>
      <w:numFmt w:val="bullet"/>
      <w:start w:val="1"/>
    </w:lvl>
  </w:abstractNum>
  <w:abstractNum w:abstractNumId="9">
    <w:nsid w:val="628C895D"/>
    <w:multiLevelType w:val="hybridMultilevel"/>
    <w:lvl w:ilvl="0">
      <w:lvlJc w:val="left"/>
      <w:lvlText w:val="•"/>
      <w:numFmt w:val="bullet"/>
      <w:start w:val="1"/>
    </w:lvl>
    <w:lvl w:ilvl="1">
      <w:lvlJc w:val="left"/>
      <w:lvlText w:val="-"/>
      <w:numFmt w:val="bullet"/>
      <w:start w:val="1"/>
    </w:lvl>
  </w:abstractNum>
  <w:abstractNum w:abstractNumId="10">
    <w:nsid w:val="333AB105"/>
    <w:multiLevelType w:val="hybridMultilevel"/>
    <w:lvl w:ilvl="0">
      <w:lvlJc w:val="left"/>
      <w:lvlText w:val="•"/>
      <w:numFmt w:val="bullet"/>
      <w:start w:val="1"/>
    </w:lvl>
  </w:abstractNum>
  <w:abstractNum w:abstractNumId="11">
    <w:nsid w:val="721DA317"/>
    <w:multiLevelType w:val="hybridMultilevel"/>
    <w:lvl w:ilvl="0">
      <w:lvlJc w:val="left"/>
      <w:lvlText w:val="•"/>
      <w:numFmt w:val="bullet"/>
      <w:start w:val="1"/>
    </w:lvl>
  </w:abstractNum>
  <w:abstractNum w:abstractNumId="12">
    <w:nsid w:val="2443A858"/>
    <w:multiLevelType w:val="hybridMultilevel"/>
    <w:lvl w:ilvl="0">
      <w:lvlJc w:val="left"/>
      <w:lvlText w:val="•"/>
      <w:numFmt w:val="bullet"/>
      <w:start w:val="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
      <w:numFmt w:val="bullet"/>
      <w:start w:val="1"/>
    </w:lvl>
  </w:abstractNum>
  <w:abstractNum w:abstractNumId="18">
    <w:nsid w:val="4353D0CD"/>
    <w:multiLevelType w:val="hybridMultilevel"/>
    <w:lvl w:ilvl="0">
      <w:lvlJc w:val="left"/>
      <w:lvlText w:val="(%1)"/>
      <w:numFmt w:val="upperLetter"/>
      <w:start w:val="1"/>
    </w:lvl>
    <w:lvl w:ilvl="1">
      <w:lvlJc w:val="left"/>
      <w:lvlText w:val="-"/>
      <w:numFmt w:val="bullet"/>
      <w:start w:val="1"/>
    </w:lvl>
  </w:abstractNum>
  <w:abstractNum w:abstractNumId="19">
    <w:nsid w:val="B03E0C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20">
    <w:nsid w:val="189A769B"/>
    <w:multiLevelType w:val="hybridMultilevel"/>
    <w:lvl w:ilvl="0">
      <w:lvlJc w:val="left"/>
      <w:lvlText w:val="(%1)"/>
      <w:numFmt w:val="lowerLetter"/>
      <w:start w:val="3"/>
    </w:lvl>
  </w:abstractNum>
  <w:abstractNum w:abstractNumId="21">
    <w:nsid w:val="54E49EB4"/>
    <w:multiLevelType w:val="hybridMultilevel"/>
    <w:lvl w:ilvl="0">
      <w:lvlJc w:val="left"/>
      <w:lvlText w:val="(%1)"/>
      <w:numFmt w:val="lowerLetter"/>
      <w:start w:val="4"/>
    </w:lvl>
    <w:lvl w:ilvl="1">
      <w:lvlJc w:val="left"/>
      <w:lvlText w:val="(%2)"/>
      <w:numFmt w:val="lowerRoman"/>
      <w:start w:val="1"/>
    </w:lvl>
  </w:abstractNum>
  <w:abstractNum w:abstractNumId="22">
    <w:nsid w:val="71F32454"/>
    <w:multiLevelType w:val="hybridMultilevel"/>
    <w:lvl w:ilvl="0">
      <w:lvlJc w:val="left"/>
      <w:lvlText w:val="(%1)"/>
      <w:numFmt w:val="lowerRoman"/>
      <w:start w:val="1"/>
    </w:lvl>
  </w:abstractNum>
  <w:abstractNum w:abstractNumId="23">
    <w:nsid w:val="2CA88611"/>
    <w:multiLevelType w:val="hybridMultilevel"/>
    <w:lvl w:ilvl="0">
      <w:lvlJc w:val="left"/>
      <w:lvlText w:val="(%1)"/>
      <w:numFmt w:val="lowerRoman"/>
      <w:start w:val="2"/>
    </w:lvl>
    <w:lvl w:ilvl="1">
      <w:lvlJc w:val="left"/>
      <w:lvlText w:val="(%2)"/>
      <w:numFmt w:val="upperLetter"/>
      <w:start w:val="1"/>
    </w:lvl>
  </w:abstractNum>
  <w:abstractNum w:abstractNumId="24">
    <w:nsid w:val="836C40E"/>
    <w:multiLevelType w:val="hybridMultilevel"/>
    <w:lvl w:ilvl="0">
      <w:lvlJc w:val="left"/>
      <w:lvlText w:val="%1"/>
      <w:numFmt w:val="decimal"/>
      <w:start w:val="1"/>
    </w:lvl>
    <w:lvl w:ilvl="1">
      <w:lvlJc w:val="left"/>
      <w:lvlText w:val="(%2)"/>
      <w:numFmt w:val="lowerRoman"/>
      <w:start w:val="3"/>
    </w:lvl>
  </w:abstractNum>
  <w:abstractNum w:abstractNumId="25">
    <w:nsid w:val="2901D82"/>
    <w:multiLevelType w:val="hybridMultilevel"/>
    <w:lvl w:ilvl="0">
      <w:lvlJc w:val="left"/>
      <w:lvlText w:val="%1."/>
      <w:numFmt w:val="decimal"/>
      <w:start w:val="3"/>
    </w:lvl>
    <w:lvl w:ilvl="1">
      <w:lvlJc w:val="left"/>
      <w:lvlText w:val="%2"/>
      <w:numFmt w:val="lowerRoman"/>
      <w:start w:val="1"/>
    </w:lvl>
  </w:abstractNum>
  <w:abstractNum w:abstractNumId="26">
    <w:nsid w:val="3A95F874"/>
    <w:multiLevelType w:val="hybridMultilevel"/>
    <w:lvl w:ilvl="0">
      <w:lvlJc w:val="left"/>
      <w:lvlText w:val="%1."/>
      <w:numFmt w:val="decimal"/>
      <w:start w:val="5"/>
    </w:lvl>
  </w:abstractNum>
  <w:abstractNum w:abstractNumId="27">
    <w:nsid w:val="8138641"/>
    <w:multiLevelType w:val="hybridMultilevel"/>
    <w:lvl w:ilvl="0">
      <w:lvlJc w:val="left"/>
      <w:lvlText w:val="%1."/>
      <w:numFmt w:val="decimal"/>
      <w:start w:val="1"/>
    </w:lvl>
    <w:lvl w:ilvl="1">
      <w:lvlJc w:val="left"/>
      <w:lvlText w:val="%2."/>
      <w:numFmt w:val="lowerLetter"/>
      <w:start w:val="1"/>
    </w:lvl>
  </w:abstractNum>
  <w:abstractNum w:abstractNumId="28">
    <w:nsid w:val="1E7FF521"/>
    <w:multiLevelType w:val="hybridMultilevel"/>
    <w:lvl w:ilvl="0">
      <w:lvlJc w:val="left"/>
      <w:lvlText w:val="%1."/>
      <w:numFmt w:val="decimal"/>
      <w:start w:val="1"/>
    </w:lvl>
    <w:lvl w:ilvl="1">
      <w:lvlJc w:val="left"/>
      <w:lvlText w:val="%2."/>
      <w:numFmt w:val="lowerLetter"/>
      <w:start w:val="1"/>
    </w:lvl>
  </w:abstractNum>
  <w:abstractNum w:abstractNumId="29">
    <w:nsid w:val="7C3DBD3D"/>
    <w:multiLevelType w:val="hybridMultilevel"/>
    <w:lvl w:ilvl="0">
      <w:lvlJc w:val="left"/>
      <w:lvlText w:val="(%1)"/>
      <w:numFmt w:val="decimal"/>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2019-12-29T07:54:14Z</dcterms:created>
  <dcterms:modified xsi:type="dcterms:W3CDTF">2019-12-29T07:54:14Z</dcterms:modified>
</cp:coreProperties>
</file>