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443865</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-199390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32" w:lineRule="exact"/>
        <w:rPr>
          <w:sz w:val="24"/>
          <w:szCs w:val="24"/>
          <w:color w:val="auto"/>
        </w:rPr>
      </w:pPr>
    </w:p>
    <w:p>
      <w:pPr>
        <w:ind w:left="880"/>
        <w:spacing w:after="0"/>
        <w:rPr>
          <w:sz w:val="20"/>
          <w:szCs w:val="20"/>
          <w:color w:val="auto"/>
        </w:rPr>
      </w:pPr>
      <w:r>
        <w:rPr>
          <w:rFonts w:ascii="Arial" w:cs="Arial" w:eastAsia="Arial" w:hAnsi="Arial"/>
          <w:sz w:val="14"/>
          <w:szCs w:val="14"/>
          <w:color w:val="auto"/>
        </w:rPr>
        <w:t>(Mark One)</w:t>
      </w:r>
    </w:p>
    <w:p>
      <w:pPr>
        <w:ind w:left="1860" w:hanging="981"/>
        <w:spacing w:after="0" w:line="180" w:lineRule="auto"/>
        <w:tabs>
          <w:tab w:leader="none" w:pos="1860" w:val="left"/>
        </w:tabs>
        <w:numPr>
          <w:ilvl w:val="0"/>
          <w:numId w:val="1"/>
        </w:numPr>
        <w:rPr>
          <w:rFonts w:ascii="MS PGothic" w:cs="MS PGothic" w:eastAsia="MS PGothic" w:hAnsi="MS PGothic"/>
          <w:sz w:val="39"/>
          <w:szCs w:val="39"/>
          <w:color w:val="auto"/>
          <w:vertAlign w:val="subscript"/>
        </w:rPr>
      </w:pPr>
      <w:r>
        <w:rPr>
          <w:rFonts w:ascii="Arial" w:cs="Arial" w:eastAsia="Arial" w:hAnsi="Arial"/>
          <w:sz w:val="19"/>
          <w:szCs w:val="19"/>
          <w:b w:val="1"/>
          <w:bCs w:val="1"/>
          <w:color w:val="auto"/>
        </w:rPr>
        <w:t>Annual Report Pursuant to Section 13 or 15(d) of the Securities Exchange Act of 1934</w:t>
      </w:r>
    </w:p>
    <w:p>
      <w:pPr>
        <w:spacing w:after="0" w:line="1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fiscal year ended June 30, 2018</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8" w:lineRule="exact"/>
        <w:rPr>
          <w:sz w:val="24"/>
          <w:szCs w:val="24"/>
          <w:color w:val="auto"/>
        </w:rPr>
      </w:pPr>
    </w:p>
    <w:p>
      <w:pPr>
        <w:ind w:left="1860" w:hanging="981"/>
        <w:spacing w:after="0"/>
        <w:tabs>
          <w:tab w:leader="none" w:pos="1860" w:val="left"/>
        </w:tabs>
        <w:numPr>
          <w:ilvl w:val="0"/>
          <w:numId w:val="2"/>
        </w:numPr>
        <w:rPr>
          <w:rFonts w:ascii="Arial" w:cs="Arial" w:eastAsia="Arial" w:hAnsi="Arial"/>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80" w:lineRule="exact"/>
        <w:rPr>
          <w:sz w:val="24"/>
          <w:szCs w:val="24"/>
          <w:color w:val="auto"/>
        </w:rPr>
      </w:pPr>
    </w:p>
    <w:p>
      <w:pPr>
        <w:ind w:left="3620"/>
        <w:spacing w:after="0"/>
        <w:tabs>
          <w:tab w:leader="none" w:pos="6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Commission File No. 1-15461</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MATRIX SERVICE COMPANY</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jc w:val="center"/>
              <w:ind w:right="2659"/>
              <w:spacing w:after="0"/>
              <w:rPr>
                <w:sz w:val="20"/>
                <w:szCs w:val="20"/>
                <w:color w:val="auto"/>
              </w:rPr>
            </w:pPr>
            <w:r>
              <w:rPr>
                <w:rFonts w:ascii="Arial" w:cs="Arial" w:eastAsia="Arial" w:hAnsi="Arial"/>
                <w:sz w:val="14"/>
                <w:szCs w:val="14"/>
                <w:b w:val="1"/>
                <w:bCs w:val="1"/>
                <w:color w:val="auto"/>
                <w:w w:val="94"/>
              </w:rPr>
              <w:t>Delaware</w:t>
            </w:r>
          </w:p>
        </w:tc>
        <w:tc>
          <w:tcPr>
            <w:tcW w:w="12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73-1352174</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8040" w:type="dxa"/>
            <w:vAlign w:val="bottom"/>
          </w:tcPr>
          <w:p>
            <w:pPr>
              <w:jc w:val="center"/>
              <w:ind w:right="2679"/>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6"/>
              </w:rPr>
              <w:t>(I.R.S. Employer</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040" w:type="dxa"/>
            <w:vAlign w:val="bottom"/>
          </w:tcPr>
          <w:p>
            <w:pPr>
              <w:jc w:val="center"/>
              <w:ind w:right="2679"/>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Identification No.)</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8040" w:type="dxa"/>
            <w:vAlign w:val="bottom"/>
          </w:tcPr>
          <w:p>
            <w:pPr>
              <w:jc w:val="center"/>
              <w:ind w:right="2679"/>
              <w:spacing w:after="0"/>
              <w:rPr>
                <w:sz w:val="20"/>
                <w:szCs w:val="20"/>
                <w:color w:val="auto"/>
              </w:rPr>
            </w:pPr>
            <w:r>
              <w:rPr>
                <w:rFonts w:ascii="Arial" w:cs="Arial" w:eastAsia="Arial" w:hAnsi="Arial"/>
                <w:sz w:val="14"/>
                <w:szCs w:val="14"/>
                <w:b w:val="1"/>
                <w:bCs w:val="1"/>
                <w:color w:val="auto"/>
                <w:w w:val="93"/>
              </w:rPr>
              <w:t>5100 E. Skelly Drive, Suite 500</w:t>
            </w:r>
          </w:p>
        </w:tc>
        <w:tc>
          <w:tcPr>
            <w:tcW w:w="128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74135</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040" w:type="dxa"/>
            <w:vAlign w:val="bottom"/>
          </w:tcPr>
          <w:p>
            <w:pPr>
              <w:jc w:val="center"/>
              <w:ind w:right="2659"/>
              <w:spacing w:after="0"/>
              <w:rPr>
                <w:sz w:val="20"/>
                <w:szCs w:val="20"/>
                <w:color w:val="auto"/>
              </w:rPr>
            </w:pPr>
            <w:r>
              <w:rPr>
                <w:rFonts w:ascii="Arial" w:cs="Arial" w:eastAsia="Arial" w:hAnsi="Arial"/>
                <w:sz w:val="14"/>
                <w:szCs w:val="14"/>
                <w:b w:val="1"/>
                <w:bCs w:val="1"/>
                <w:color w:val="auto"/>
                <w:w w:val="94"/>
              </w:rPr>
              <w:t>Tulsa, Oklahoma</w:t>
            </w:r>
          </w:p>
        </w:tc>
        <w:tc>
          <w:tcPr>
            <w:tcW w:w="128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40" w:type="dxa"/>
            <w:vAlign w:val="bottom"/>
          </w:tcPr>
          <w:p>
            <w:pPr>
              <w:jc w:val="center"/>
              <w:ind w:right="26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(Zip Code)</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jc w:val="center"/>
              <w:ind w:left="2719"/>
              <w:spacing w:after="0"/>
              <w:rPr>
                <w:sz w:val="20"/>
                <w:szCs w:val="20"/>
                <w:color w:val="auto"/>
              </w:rPr>
            </w:pPr>
            <w:r>
              <w:rPr>
                <w:rFonts w:ascii="Arial" w:cs="Arial" w:eastAsia="Arial" w:hAnsi="Arial"/>
                <w:sz w:val="18"/>
                <w:szCs w:val="18"/>
                <w:b w:val="1"/>
                <w:bCs w:val="1"/>
                <w:color w:val="auto"/>
                <w:w w:val="89"/>
              </w:rPr>
              <w:t>Registrant’s telephone number, including area code: (918) 838-8822</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40" w:type="dxa"/>
            <w:vAlign w:val="bottom"/>
          </w:tcPr>
          <w:p>
            <w:pPr>
              <w:jc w:val="center"/>
              <w:ind w:left="3299"/>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040" w:type="dxa"/>
            <w:vAlign w:val="bottom"/>
          </w:tcPr>
          <w:p>
            <w:pPr>
              <w:jc w:val="center"/>
              <w:ind w:left="3299"/>
              <w:spacing w:after="0"/>
              <w:rPr>
                <w:sz w:val="20"/>
                <w:szCs w:val="20"/>
                <w:color w:val="auto"/>
              </w:rPr>
            </w:pPr>
            <w:r>
              <w:rPr>
                <w:rFonts w:ascii="Arial" w:cs="Arial" w:eastAsia="Arial" w:hAnsi="Arial"/>
                <w:sz w:val="14"/>
                <w:szCs w:val="14"/>
                <w:b w:val="1"/>
                <w:bCs w:val="1"/>
                <w:color w:val="auto"/>
                <w:w w:val="91"/>
              </w:rPr>
              <w:t>(Title of class)</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40" w:type="dxa"/>
            <w:vAlign w:val="bottom"/>
          </w:tcPr>
          <w:p>
            <w:pPr>
              <w:jc w:val="center"/>
              <w:ind w:left="3299"/>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20" w:type="dxa"/>
            <w:vAlign w:val="bottom"/>
            <w:gridSpan w:val="2"/>
          </w:tcPr>
          <w:p>
            <w:pPr>
              <w:jc w:val="center"/>
              <w:ind w:left="2719"/>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8040" w:type="dxa"/>
            <w:vAlign w:val="bottom"/>
          </w:tcPr>
          <w:p>
            <w:pPr>
              <w:spacing w:after="0"/>
              <w:rPr>
                <w:sz w:val="20"/>
                <w:szCs w:val="20"/>
                <w:color w:val="auto"/>
              </w:rPr>
            </w:pPr>
            <w:r>
              <w:rPr>
                <w:rFonts w:ascii="Arial" w:cs="Arial" w:eastAsia="Arial" w:hAnsi="Arial"/>
                <w:sz w:val="18"/>
                <w:szCs w:val="18"/>
                <w:color w:val="auto"/>
              </w:rPr>
              <w:t>Name of each exchange on which registered: NASDAQ Global Select Market (common stock)</w:t>
            </w: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620" w:type="dxa"/>
            <w:vAlign w:val="bottom"/>
            <w:gridSpan w:val="2"/>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8620" w:type="dxa"/>
            <w:vAlign w:val="bottom"/>
            <w:gridSpan w:val="2"/>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40" w:type="dxa"/>
            <w:vAlign w:val="bottom"/>
          </w:tcPr>
          <w:p>
            <w:pPr>
              <w:ind w:left="16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bl>
    <w:p>
      <w:pPr>
        <w:spacing w:after="0" w:line="47"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9"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380"/>
          </w:cols>
          <w:pgMar w:left="240" w:top="233" w:right="279" w:bottom="1440" w:gutter="0" w:footer="0" w:header="0"/>
        </w:sectPr>
      </w:pPr>
    </w:p>
    <w:p>
      <w:pPr>
        <w:spacing w:after="0" w:line="14" w:lineRule="exact"/>
        <w:rPr>
          <w:sz w:val="24"/>
          <w:szCs w:val="24"/>
          <w:color w:val="auto"/>
        </w:rPr>
      </w:pPr>
    </w:p>
    <w:p>
      <w:pPr>
        <w:ind w:left="4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7">
            <w:col w:w="2280" w:space="540"/>
            <w:col w:w="1200" w:space="80"/>
            <w:col w:w="160" w:space="540"/>
            <w:col w:w="1540" w:space="80"/>
            <w:col w:w="160" w:space="540"/>
            <w:col w:w="1980" w:space="80"/>
            <w:col w:w="2200"/>
          </w:cols>
          <w:pgMar w:left="240" w:top="233" w:right="279" w:bottom="1440" w:gutter="0" w:footer="0" w:header="0"/>
          <w:type w:val="continuous"/>
        </w:sectPr>
      </w:pPr>
    </w:p>
    <w:p>
      <w:pPr>
        <w:ind w:left="4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82" w:lineRule="exact"/>
        <w:rPr>
          <w:sz w:val="24"/>
          <w:szCs w:val="24"/>
          <w:color w:val="auto"/>
        </w:rPr>
      </w:pPr>
    </w:p>
    <w:p>
      <w:pPr>
        <w:sectPr>
          <w:pgSz w:w="11900" w:h="16838" w:orient="portrait"/>
          <w:cols w:equalWidth="0" w:num="2">
            <w:col w:w="2380" w:space="80"/>
            <w:col w:w="8920"/>
          </w:cols>
          <w:pgMar w:left="240" w:top="233" w:right="279" w:bottom="1440" w:gutter="0" w:footer="0" w:header="0"/>
          <w:type w:val="continuous"/>
        </w:sect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23"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The aggregate market value of the registrant’s common stock held by non-affiliates computed by reference to the price at which the common stock was last sold as of the last business day of the registrant’s most recently completed second quarter was approximately $466 million.</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September 7, 2018 was 27,009,420 shares.</w:t>
      </w:r>
    </w:p>
    <w:p>
      <w:pPr>
        <w:spacing w:after="0" w:line="59"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ind w:right="660"/>
        <w:spacing w:after="0" w:line="323" w:lineRule="auto"/>
        <w:rPr>
          <w:sz w:val="20"/>
          <w:szCs w:val="20"/>
          <w:color w:val="auto"/>
        </w:rPr>
      </w:pPr>
      <w:r>
        <w:rPr>
          <w:rFonts w:ascii="Arial" w:cs="Arial" w:eastAsia="Arial" w:hAnsi="Arial"/>
          <w:sz w:val="16"/>
          <w:szCs w:val="16"/>
          <w:color w:val="auto"/>
        </w:rPr>
        <w:t>Certain sections of the registrant’s definitive proxy statement relating to the registrant’s 2018 annual meeting of stockholders, which definitive proxy statement will be filed within 120 days of the end of the registrant’s fiscal year,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00" w:type="dxa"/>
            <w:vAlign w:val="bottom"/>
            <w:gridSpan w:val="7"/>
          </w:tcPr>
          <w:p>
            <w:pPr>
              <w:jc w:val="center"/>
              <w:ind w:right="3700"/>
              <w:spacing w:after="0"/>
              <w:rPr>
                <w:sz w:val="20"/>
                <w:szCs w:val="20"/>
                <w:color w:val="auto"/>
              </w:rPr>
            </w:pPr>
            <w:r>
              <w:rPr>
                <w:rFonts w:ascii="Arial" w:cs="Arial" w:eastAsia="Arial" w:hAnsi="Arial"/>
                <w:sz w:val="18"/>
                <w:szCs w:val="18"/>
                <w:b w:val="1"/>
                <w:bCs w:val="1"/>
                <w:color w:val="auto"/>
                <w:w w:val="98"/>
              </w:rPr>
              <w:t>TABLE OF CONTENTS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230"/>
        </w:trPr>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60" w:type="dxa"/>
            <w:vAlign w:val="bottom"/>
            <w:gridSpan w:val="5"/>
          </w:tcPr>
          <w:p>
            <w:pPr>
              <w:jc w:val="center"/>
              <w:ind w:right="4400"/>
              <w:spacing w:after="0"/>
              <w:rPr>
                <w:sz w:val="20"/>
                <w:szCs w:val="20"/>
                <w:color w:val="auto"/>
              </w:rPr>
            </w:pPr>
            <w:r>
              <w:rPr>
                <w:rFonts w:ascii="Arial" w:cs="Arial" w:eastAsia="Arial" w:hAnsi="Arial"/>
                <w:sz w:val="18"/>
                <w:szCs w:val="18"/>
                <w:b w:val="1"/>
                <w:bCs w:val="1"/>
                <w:color w:val="auto"/>
              </w:rPr>
              <w:t>Part I</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67"/>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580" w:type="dxa"/>
            <w:vAlign w:val="bottom"/>
            <w:gridSpan w:val="18"/>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20" w:type="dxa"/>
            <w:vAlign w:val="bottom"/>
          </w:tcPr>
          <w:p>
            <w:pPr>
              <w:spacing w:after="0"/>
              <w:rPr>
                <w:sz w:val="24"/>
                <w:szCs w:val="24"/>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8320" w:type="dxa"/>
            <w:vAlign w:val="bottom"/>
            <w:gridSpan w:val="16"/>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20" w:type="dxa"/>
            <w:vAlign w:val="bottom"/>
          </w:tcPr>
          <w:p>
            <w:pPr>
              <w:spacing w:after="0"/>
              <w:rPr>
                <w:sz w:val="24"/>
                <w:szCs w:val="24"/>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9"/>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Unresolved Staff Comments</w:t>
              </w:r>
            </w:hyperlink>
          </w:p>
        </w:tc>
        <w:tc>
          <w:tcPr>
            <w:tcW w:w="7180" w:type="dxa"/>
            <w:vAlign w:val="bottom"/>
            <w:gridSpan w:val="10"/>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19</w:t>
              </w:r>
            </w:hyperlink>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Properties</w:t>
              </w:r>
            </w:hyperlink>
          </w:p>
        </w:tc>
        <w:tc>
          <w:tcPr>
            <w:tcW w:w="7180" w:type="dxa"/>
            <w:vAlign w:val="bottom"/>
            <w:gridSpan w:val="10"/>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20</w:t>
              </w:r>
            </w:hyperlink>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3.</w:t>
            </w:r>
          </w:p>
        </w:tc>
        <w:tc>
          <w:tcPr>
            <w:tcW w:w="922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4.</w:t>
            </w:r>
          </w:p>
        </w:tc>
        <w:tc>
          <w:tcPr>
            <w:tcW w:w="922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r>
      <w:tr>
        <w:trPr>
          <w:trHeight w:val="412"/>
        </w:trPr>
        <w:tc>
          <w:tcPr>
            <w:tcW w:w="1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40" w:type="dxa"/>
            <w:vAlign w:val="bottom"/>
            <w:gridSpan w:val="6"/>
          </w:tcPr>
          <w:p>
            <w:pPr>
              <w:jc w:val="center"/>
              <w:ind w:right="4120"/>
              <w:spacing w:after="0"/>
              <w:rPr>
                <w:sz w:val="20"/>
                <w:szCs w:val="20"/>
                <w:color w:val="auto"/>
              </w:rPr>
            </w:pPr>
            <w:r>
              <w:rPr>
                <w:rFonts w:ascii="Arial" w:cs="Arial" w:eastAsia="Arial" w:hAnsi="Arial"/>
                <w:sz w:val="18"/>
                <w:szCs w:val="18"/>
                <w:b w:val="1"/>
                <w:bCs w:val="1"/>
                <w:color w:val="auto"/>
              </w:rPr>
              <w:t>Part II</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tcPr>
          <w:p>
            <w:pPr>
              <w:spacing w:after="0"/>
              <w:rPr>
                <w:sz w:val="20"/>
                <w:szCs w:val="20"/>
                <w:color w:val="auto"/>
              </w:rPr>
            </w:pPr>
            <w:r>
              <w:rPr>
                <w:rFonts w:ascii="Arial" w:cs="Arial" w:eastAsia="Arial" w:hAnsi="Arial"/>
                <w:sz w:val="18"/>
                <w:szCs w:val="18"/>
                <w:color w:val="auto"/>
              </w:rPr>
              <w:t>Item 5.</w:t>
            </w:r>
          </w:p>
        </w:tc>
        <w:tc>
          <w:tcPr>
            <w:tcW w:w="922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Market for Registrant’s Common Equity, Related Stockholder Matters and Issuer Purchases of Equity Securities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Selected Financial Data</w:t>
              </w:r>
            </w:hyperlink>
          </w:p>
        </w:tc>
        <w:tc>
          <w:tcPr>
            <w:tcW w:w="116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6"/>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276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4"/>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4"/>
                <w:szCs w:val="24"/>
                <w:color w:val="auto"/>
              </w:rPr>
            </w:pPr>
          </w:p>
        </w:tc>
        <w:tc>
          <w:tcPr>
            <w:tcW w:w="276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Financial Statements and Supplementary Data</w:t>
              </w:r>
            </w:hyperlink>
          </w:p>
        </w:tc>
        <w:tc>
          <w:tcPr>
            <w:tcW w:w="4860" w:type="dxa"/>
            <w:vAlign w:val="bottom"/>
            <w:gridSpan w:val="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9.</w:t>
            </w:r>
          </w:p>
        </w:tc>
        <w:tc>
          <w:tcPr>
            <w:tcW w:w="9220" w:type="dxa"/>
            <w:vAlign w:val="bottom"/>
            <w:gridSpan w:val="1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Changes in and Disagreements with Accountants on Accounting and Financial Disclosure</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79</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9A.</w:t>
            </w:r>
          </w:p>
        </w:tc>
        <w:tc>
          <w:tcPr>
            <w:tcW w:w="6460" w:type="dxa"/>
            <w:vAlign w:val="bottom"/>
            <w:gridSpan w:val="1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Controls and Procedures</w:t>
              </w:r>
            </w:hyperlink>
          </w:p>
        </w:tc>
        <w:tc>
          <w:tcPr>
            <w:tcW w:w="276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79</w:t>
              </w:r>
            </w:hyperlink>
          </w:p>
        </w:tc>
      </w:tr>
      <w:tr>
        <w:trPr>
          <w:trHeight w:val="20"/>
        </w:trPr>
        <w:tc>
          <w:tcPr>
            <w:tcW w:w="12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Other Information</w:t>
              </w:r>
            </w:hyperlink>
          </w:p>
        </w:tc>
        <w:tc>
          <w:tcPr>
            <w:tcW w:w="7460" w:type="dxa"/>
            <w:vAlign w:val="bottom"/>
            <w:gridSpan w:val="12"/>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79</w:t>
              </w:r>
            </w:hyperlink>
          </w:p>
        </w:tc>
      </w:tr>
      <w:tr>
        <w:trPr>
          <w:trHeight w:val="412"/>
        </w:trPr>
        <w:tc>
          <w:tcPr>
            <w:tcW w:w="1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40" w:type="dxa"/>
            <w:vAlign w:val="bottom"/>
            <w:gridSpan w:val="6"/>
          </w:tcPr>
          <w:p>
            <w:pPr>
              <w:jc w:val="center"/>
              <w:ind w:right="4120"/>
              <w:spacing w:after="0"/>
              <w:rPr>
                <w:sz w:val="20"/>
                <w:szCs w:val="20"/>
                <w:color w:val="auto"/>
              </w:rPr>
            </w:pPr>
            <w:r>
              <w:rPr>
                <w:rFonts w:ascii="Arial" w:cs="Arial" w:eastAsia="Arial" w:hAnsi="Arial"/>
                <w:sz w:val="18"/>
                <w:szCs w:val="18"/>
                <w:b w:val="1"/>
                <w:bCs w:val="1"/>
                <w:color w:val="auto"/>
              </w:rPr>
              <w:t>Part III</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tcPr>
          <w:p>
            <w:pPr>
              <w:spacing w:after="0"/>
              <w:rPr>
                <w:sz w:val="20"/>
                <w:szCs w:val="20"/>
                <w:color w:val="auto"/>
              </w:rPr>
            </w:pPr>
            <w:r>
              <w:rPr>
                <w:rFonts w:ascii="Arial" w:cs="Arial" w:eastAsia="Arial" w:hAnsi="Arial"/>
                <w:sz w:val="18"/>
                <w:szCs w:val="18"/>
                <w:color w:val="auto"/>
              </w:rPr>
              <w:t>Item 10.</w:t>
            </w:r>
          </w:p>
        </w:tc>
        <w:tc>
          <w:tcPr>
            <w:tcW w:w="9220" w:type="dxa"/>
            <w:vAlign w:val="bottom"/>
            <w:gridSpan w:val="1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Directors, Executive Officers and Corporate Governance</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r>
      <w:tr>
        <w:trPr>
          <w:trHeight w:val="20"/>
        </w:trPr>
        <w:tc>
          <w:tcPr>
            <w:tcW w:w="12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Executive Compensation</w:t>
              </w:r>
            </w:hyperlink>
          </w:p>
        </w:tc>
        <w:tc>
          <w:tcPr>
            <w:tcW w:w="2280" w:type="dxa"/>
            <w:vAlign w:val="bottom"/>
            <w:gridSpan w:val="5"/>
          </w:tcPr>
          <w:p>
            <w:pPr>
              <w:spacing w:after="0"/>
              <w:rPr>
                <w:sz w:val="24"/>
                <w:szCs w:val="24"/>
                <w:color w:val="auto"/>
              </w:rPr>
            </w:pPr>
          </w:p>
        </w:tc>
        <w:tc>
          <w:tcPr>
            <w:tcW w:w="514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r>
      <w:tr>
        <w:trPr>
          <w:trHeight w:val="20"/>
        </w:trPr>
        <w:tc>
          <w:tcPr>
            <w:tcW w:w="12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12.</w:t>
            </w:r>
          </w:p>
        </w:tc>
        <w:tc>
          <w:tcPr>
            <w:tcW w:w="9220" w:type="dxa"/>
            <w:vAlign w:val="bottom"/>
            <w:gridSpan w:val="1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r>
      <w:tr>
        <w:trPr>
          <w:trHeight w:val="20"/>
        </w:trPr>
        <w:tc>
          <w:tcPr>
            <w:tcW w:w="12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17"/>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Certain Relationships and Related Transactions, and Director Independence</w:t>
              </w:r>
            </w:hyperlink>
          </w:p>
        </w:tc>
        <w:tc>
          <w:tcPr>
            <w:tcW w:w="1940" w:type="dxa"/>
            <w:vAlign w:val="bottom"/>
            <w:gridSpan w:val="2"/>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r>
      <w:tr>
        <w:trPr>
          <w:trHeight w:val="20"/>
        </w:trPr>
        <w:tc>
          <w:tcPr>
            <w:tcW w:w="12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5"/>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Principal Accounting Fees and Services</w:t>
              </w:r>
            </w:hyperlink>
          </w:p>
        </w:tc>
        <w:tc>
          <w:tcPr>
            <w:tcW w:w="3780" w:type="dxa"/>
            <w:vAlign w:val="bottom"/>
            <w:gridSpan w:val="4"/>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r>
      <w:tr>
        <w:trPr>
          <w:trHeight w:val="412"/>
        </w:trPr>
        <w:tc>
          <w:tcPr>
            <w:tcW w:w="1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40" w:type="dxa"/>
            <w:vAlign w:val="bottom"/>
            <w:gridSpan w:val="6"/>
          </w:tcPr>
          <w:p>
            <w:pPr>
              <w:jc w:val="center"/>
              <w:ind w:right="4120"/>
              <w:spacing w:after="0"/>
              <w:rPr>
                <w:sz w:val="20"/>
                <w:szCs w:val="20"/>
                <w:color w:val="auto"/>
              </w:rPr>
            </w:pPr>
            <w:r>
              <w:rPr>
                <w:rFonts w:ascii="Arial" w:cs="Arial" w:eastAsia="Arial" w:hAnsi="Arial"/>
                <w:sz w:val="18"/>
                <w:szCs w:val="18"/>
                <w:b w:val="1"/>
                <w:bCs w:val="1"/>
                <w:color w:val="auto"/>
              </w:rPr>
              <w:t>Part IV</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26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1"/>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Exhibits and Financial Statement Schedules</w:t>
              </w:r>
            </w:hyperlink>
          </w:p>
        </w:tc>
        <w:tc>
          <w:tcPr>
            <w:tcW w:w="6060" w:type="dxa"/>
            <w:vAlign w:val="bottom"/>
            <w:gridSpan w:val="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r>
      <w:tr>
        <w:trPr>
          <w:trHeight w:val="20"/>
        </w:trPr>
        <w:tc>
          <w:tcPr>
            <w:tcW w:w="126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606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16.</w:t>
            </w:r>
          </w:p>
        </w:tc>
        <w:tc>
          <w:tcPr>
            <w:tcW w:w="3160" w:type="dxa"/>
            <w:vAlign w:val="bottom"/>
            <w:gridSpan w:val="11"/>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Form 10-K Summary</w:t>
              </w:r>
            </w:hyperlink>
          </w:p>
        </w:tc>
        <w:tc>
          <w:tcPr>
            <w:tcW w:w="6060" w:type="dxa"/>
            <w:vAlign w:val="bottom"/>
            <w:gridSpan w:val="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84">
              <w:r>
                <w:rPr>
                  <w:rFonts w:ascii="Arial" w:cs="Arial" w:eastAsia="Arial" w:hAnsi="Arial"/>
                  <w:sz w:val="18"/>
                  <w:szCs w:val="18"/>
                  <w:color w:val="0000EE"/>
                </w:rPr>
                <w:t>83</w:t>
              </w:r>
            </w:hyperlink>
          </w:p>
        </w:tc>
      </w:tr>
      <w:tr>
        <w:trPr>
          <w:trHeight w:val="912"/>
        </w:trPr>
        <w:tc>
          <w:tcPr>
            <w:tcW w:w="1260" w:type="dxa"/>
            <w:vAlign w:val="bottom"/>
          </w:tcPr>
          <w:p>
            <w:pPr>
              <w:spacing w:after="0"/>
              <w:rPr>
                <w:sz w:val="24"/>
                <w:szCs w:val="24"/>
                <w:color w:val="auto"/>
              </w:rPr>
            </w:pPr>
          </w:p>
        </w:tc>
        <w:tc>
          <w:tcPr>
            <w:tcW w:w="1540" w:type="dxa"/>
            <w:vAlign w:val="bottom"/>
            <w:tcBorders>
              <w:top w:val="single" w:sz="8" w:color="0000EE"/>
            </w:tcBorders>
            <w:gridSpan w:val="5"/>
          </w:tcPr>
          <w:p>
            <w:pPr>
              <w:spacing w:after="0"/>
              <w:rPr>
                <w:sz w:val="24"/>
                <w:szCs w:val="24"/>
                <w:color w:val="auto"/>
              </w:rPr>
            </w:pPr>
          </w:p>
        </w:tc>
        <w:tc>
          <w:tcPr>
            <w:tcW w:w="3900" w:type="dxa"/>
            <w:vAlign w:val="bottom"/>
            <w:gridSpan w:val="10"/>
          </w:tcPr>
          <w:p>
            <w:pPr>
              <w:jc w:val="right"/>
              <w:ind w:right="890"/>
              <w:spacing w:after="0"/>
              <w:rPr>
                <w:sz w:val="20"/>
                <w:szCs w:val="20"/>
                <w:color w:val="auto"/>
              </w:rPr>
            </w:pPr>
            <w:r>
              <w:rPr>
                <w:rFonts w:ascii="Arial" w:cs="Arial" w:eastAsia="Arial" w:hAnsi="Arial"/>
                <w:sz w:val="18"/>
                <w:szCs w:val="18"/>
                <w:color w:val="auto"/>
              </w:rPr>
              <w:t>1</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Annual Report on Form 10-K includes “forward-looking statements” within the meaning of Section 27A of the Securities Act of 1933, as amended, and Section 21E of the Securities Exchange Act of 1934, as amended. All statements, other than statements of historical facts, included in this Annual Report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71" w:lineRule="exact"/>
        <w:rPr>
          <w:sz w:val="20"/>
          <w:szCs w:val="20"/>
          <w:color w:val="auto"/>
        </w:rPr>
      </w:pPr>
    </w:p>
    <w:p>
      <w:pPr>
        <w:ind w:left="640" w:right="640" w:hanging="321"/>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cash from operations, access our credit facility, or raise cash in order to meet our short and long-term capital requirements;</w:t>
      </w:r>
    </w:p>
    <w:p>
      <w:pPr>
        <w:spacing w:after="0" w:line="116"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to our business of crude oil, natural gas and other commodity prices;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the Tax Cuts and Jobs Act on our business;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trends in the industries we serve;</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93" w:lineRule="exact"/>
        <w:rPr>
          <w:sz w:val="20"/>
          <w:szCs w:val="20"/>
          <w:color w:val="auto"/>
        </w:rPr>
      </w:pPr>
    </w:p>
    <w:p>
      <w:pPr>
        <w:ind w:left="640" w:hanging="321"/>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risk factors discussed in Item 1A of this Annual Report and listed from time to time in our filings with the Securities and Exchange Commission;</w:t>
      </w:r>
    </w:p>
    <w:p>
      <w:pPr>
        <w:spacing w:after="0" w:line="194" w:lineRule="exact"/>
        <w:rPr>
          <w:rFonts w:ascii="Arial" w:cs="Arial" w:eastAsia="Arial" w:hAnsi="Arial"/>
          <w:sz w:val="16"/>
          <w:szCs w:val="16"/>
          <w:color w:val="auto"/>
        </w:rPr>
      </w:pPr>
    </w:p>
    <w:p>
      <w:pPr>
        <w:ind w:left="640" w:hanging="321"/>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economic, market or business conditions in general and in the oil, gas, power, iron and steel, agricultural and mining industries in particular;</w:t>
      </w:r>
    </w:p>
    <w:p>
      <w:pPr>
        <w:spacing w:after="0" w:line="182" w:lineRule="exact"/>
        <w:rPr>
          <w:rFonts w:ascii="Arial" w:cs="Arial" w:eastAsia="Arial" w:hAnsi="Arial"/>
          <w:sz w:val="17"/>
          <w:szCs w:val="17"/>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in the commencement of major projects, whether due to permitting issues or other factors;</w:t>
      </w:r>
    </w:p>
    <w:p>
      <w:pPr>
        <w:spacing w:after="0" w:line="171" w:lineRule="exact"/>
        <w:rPr>
          <w:rFonts w:ascii="Arial" w:cs="Arial" w:eastAsia="Arial" w:hAnsi="Arial"/>
          <w:sz w:val="18"/>
          <w:szCs w:val="18"/>
          <w:color w:val="auto"/>
        </w:rPr>
      </w:pPr>
    </w:p>
    <w:p>
      <w:pPr>
        <w:ind w:left="640" w:right="16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volatility of crude oil and other commodity prices to which our customers' businesses are affected;</w:t>
      </w:r>
    </w:p>
    <w:p>
      <w:pPr>
        <w:spacing w:after="0" w:line="116"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reserves for claims and contingencies;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laws or regulations, including the imposition, cancellation or delay of tariffs on imported goods;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all of the forward-looking statements made in this Annual Report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began operations in 1984 as an Oklahoma corporation under the name of Matrix Service. In 1989, we incorporated in the State of Delaware under the name of Matrix Service Company. We provide engineering, fabrication, infrastructure, construction, and maintenance services primarily to the oil, gas, power, petrochemical, industrial, agricultural, mining and minerals markets. We also sell products for crude oil and refined product aboveground storage tanks. We maintain regional offices throughout the United States, Canada and other international locations, and operate through separate union and merit subsidiaries.</w:t>
      </w:r>
    </w:p>
    <w:p>
      <w:pPr>
        <w:spacing w:after="0" w:line="13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is licensed to operate in all 50 states, in four Canadian provinces and in other international locations. Our principal executive offices are located at 5100 E. Skelly Drive, Suite 500, Tulsa, Oklahoma 74135. Our telephone number is (918) 838-8822. Unless the context otherwise requires, all references herein to “Matrix Service Company”, “Matrix”, the “Company” or to “we”, “our”, and “us” are to Matrix Service Company and its subsidiaries.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REPORTS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public website is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We make available free of charge through the "Investor Relations" section of our website our annual reports to stockholders,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Securities and Exchange Commission ("SEC"). Any materials we file with or furnish to the SEC is also maintained on the SEC website (</w:t>
      </w:r>
      <w:r>
        <w:rPr>
          <w:rFonts w:ascii="Arial" w:cs="Arial" w:eastAsia="Arial" w:hAnsi="Arial"/>
          <w:sz w:val="18"/>
          <w:szCs w:val="18"/>
          <w:u w:val="single" w:color="auto"/>
          <w:color w:val="auto"/>
        </w:rPr>
        <w:t>sec.gov</w:t>
      </w:r>
      <w:r>
        <w:rPr>
          <w:rFonts w:ascii="Arial" w:cs="Arial" w:eastAsia="Arial" w:hAnsi="Arial"/>
          <w:sz w:val="18"/>
          <w:szCs w:val="18"/>
          <w:color w:val="auto"/>
        </w:rPr>
        <w:t>).</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information contained on our website, or available by hyperlink from our website, is not incorporated into this Form 10-K or other documents we file with, or furnish to, the SEC. We intend to use our website as a means of disclosing material non-public information and for complying with our disclosure obligations under Regulation FD. Such disclosures will be included on our website in the "Investor Relations" section. We also intend to use social media channels as a means of disclosing material non-public information and for complying with our disclosure obligations under Regulation FD. We encourage investors, the media, and others interested in Matrix to review the information posted on the company Facebook site (</w:t>
      </w:r>
      <w:r>
        <w:rPr>
          <w:rFonts w:ascii="Arial" w:cs="Arial" w:eastAsia="Arial" w:hAnsi="Arial"/>
          <w:sz w:val="17"/>
          <w:szCs w:val="17"/>
          <w:u w:val="single" w:color="auto"/>
          <w:color w:val="auto"/>
        </w:rPr>
        <w:t>facebook.com/matrixservicecompany</w:t>
      </w:r>
      <w:r>
        <w:rPr>
          <w:rFonts w:ascii="Arial" w:cs="Arial" w:eastAsia="Arial" w:hAnsi="Arial"/>
          <w:sz w:val="17"/>
          <w:szCs w:val="17"/>
          <w:color w:val="auto"/>
        </w:rPr>
        <w:t>), the company Linkedin account (</w:t>
      </w:r>
      <w:r>
        <w:rPr>
          <w:rFonts w:ascii="Arial" w:cs="Arial" w:eastAsia="Arial" w:hAnsi="Arial"/>
          <w:sz w:val="17"/>
          <w:szCs w:val="17"/>
          <w:u w:val="single" w:color="auto"/>
          <w:color w:val="auto"/>
        </w:rPr>
        <w:t>linkedin.com/company/matrix-service-company</w:t>
      </w:r>
      <w:r>
        <w:rPr>
          <w:rFonts w:ascii="Arial" w:cs="Arial" w:eastAsia="Arial" w:hAnsi="Arial"/>
          <w:sz w:val="17"/>
          <w:szCs w:val="17"/>
          <w:color w:val="auto"/>
        </w:rPr>
        <w:t>) and the company twitter account (</w:t>
      </w:r>
      <w:r>
        <w:rPr>
          <w:rFonts w:ascii="Arial" w:cs="Arial" w:eastAsia="Arial" w:hAnsi="Arial"/>
          <w:sz w:val="17"/>
          <w:szCs w:val="17"/>
          <w:u w:val="single" w:color="auto"/>
          <w:color w:val="auto"/>
        </w:rPr>
        <w:t>twitter.com/matrixserviceco</w:t>
      </w:r>
      <w:r>
        <w:rPr>
          <w:rFonts w:ascii="Arial" w:cs="Arial" w:eastAsia="Arial" w:hAnsi="Arial"/>
          <w:sz w:val="17"/>
          <w:szCs w:val="17"/>
          <w:color w:val="auto"/>
        </w:rPr>
        <w:t xml:space="preserve">). Investors, the media or other interested parties can subscribe to the twitter feed at the address listed above. Any updates to the list of social media channels Matrix will use to announce material information will be posted on the "Investor Relations" page of the company's website at </w:t>
      </w:r>
      <w:r>
        <w:rPr>
          <w:rFonts w:ascii="Arial" w:cs="Arial" w:eastAsia="Arial" w:hAnsi="Arial"/>
          <w:sz w:val="17"/>
          <w:szCs w:val="17"/>
          <w:u w:val="single" w:color="auto"/>
          <w:color w:val="auto"/>
        </w:rPr>
        <w:t>matrixservicecompany.com</w:t>
      </w:r>
      <w:r>
        <w:rPr>
          <w:rFonts w:ascii="Arial" w:cs="Arial" w:eastAsia="Arial" w:hAnsi="Arial"/>
          <w:sz w:val="17"/>
          <w:szCs w:val="17"/>
          <w:color w:val="auto"/>
        </w:rPr>
        <w:t>. Accordingly, investors should monitor such portions of our website and social media channels, in addition to following our press releases, SEC filings and public conference calls and webcasts.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consists of high voltage services provided to investor owned utilities, including construction of new substations, upgrades of existing substations, short-run transmission line installations, distribution upgrades and maintenance, as well as emergency and storm restoration services. We also provide construction and maintenance services to a variety of power generation facilities, such as combined cycle plants, and natural gas fired power stations.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 Gas &amp; Chemical segment serves customers primarily in the downstream and midstream petroleum industries who are engaged in refining crude oil and processing, fractionating, and marketing of natural gas and natural gas liquids. We also perform work in the petrochemical, upstream petroleum, and sulfur extraction, recovery and processing markets. Our services include turnarounds, plant maintenance, engineering and capital construction. We also offer industrial cleaning services including hydro-blasting, hydro-excavating, advanced chemical cleaning and vacuum services.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Storage Solutions segment consists of work related to aboveground storage tanks (“ASTs”) and terminals. Also included in this segment are cryogenic and other specialty storage tanks and terminals including liquefied natural gas (“LNG”), liquid nitrogen/liquid oxygen (“LIN/LOX”), liquid petroleum (“LPG”), other specialty vessels such as spheres as well as marine structures and truck and rail loading/offloading facilities. Our services include engineering, fabrication and construction, maintenance and repair, which includes planned and emergency services of both tanks and full terminals. Finally, we offer AST products, including geodesic domes, aluminum internal floating roofs, floating suction and skimmer systems, roof drain systems and floating roof seals.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Industrial segment consists of work for integrated iron and steel companies, major mining and minerals companies engaged primarily in the extraction of copper, as well as other companies in aerospace and defense, cement, agriculture and grain, food and other industries. Our services include engineering, fabrication and construction, maintenance and repair, which includes planned and emergency services. We also design instrumentation and control systems and offer specialized expertise in the design and construction of bulk material handling systems.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Houston Interests, LLC</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12, 2016, the Company completed the acquisition of Houston Interests, LLC ("Houston Interests"), a global solutions company that provides consulting, engineering, design, construction services and systems integration for $42.5 million in cash, net of working capital adjustments and cash acquired. Houston Interests brings expertise to the Company in natural gas processing; sulfur recovery, processing and handling; liquid terminals, silos and other bulk storage; process plant design; power generation environmental controls and material handling; industrial power distribution; electrical, instrumentation and controls; marine structures; and material handling systems and terminals for cement, sulfur, fertilizer, coal and grain facilities. The business has been included in our Matrix PDM Engineering, Inc. subsidiary, and its operating results impact the Oil Gas &amp; Chemical, Storage Solutions and Industrial segments.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Matrix Applied Technologies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 2016, the Company completed the acquisition of all outstanding stock of Baillie Tank Equipment, Ltd. ("BTE") for $13.0 million in cash. Founded in 1998, BTE is a provider of tank products including geodesic domes, aluminum internal floating roofs, floating suction and skimmer systems, roof drain systems, and seals. BTE is headquartered in Sydney, Australia with a manufacturing facility near Seoul, South Korea. The Company acquired BTE to expand its service offerings of certain technical solutions for aboveground storage tanks. The business is now known as Matrix Applied Technologies, and its operating results are included in the Storage Solutions segment.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Marketing</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provided services to approximately 600 customers in fiscal 2018. Most of our revenue comes from long-term customer relationships. One customer, U.S. Steel Corporation, accounted for $124.7 million or 11.4% of our consolidated revenue in fiscal 2018, all of which was in the Industrial segment. The loss of this major customer or other significant customers could have a material adverse effect on the Company; however, we are not dependent on any single contract or customer on an on-going basis.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Matrix markets its services and products primarily through its marketing and business development personnel, senior professional staff and its operating management. We competitively bid most of our projects; however, we have a number of preferred provider relationships with customers who award us work through long-term agreements. Our projects have durations ranging from a few days to multiple years.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Financial Information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information for our operating segments is provided in Item 7. Management’s Discussion and Analysis of Financial Condition and Results of Operations, and in Note 13-Segment Information of the Notes to Consolidated Financial Statements included in Item 8. Financial Statements and Supplementary Data.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compete with local, regional, national and international contractors and service providers. Competitors vary with the markets we serve with few competitors competing in all of the markets we serve or in all of the services we provide. Contracts are generally awarded based on price, quality, safety performance, schedule, and customer satisfaction.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define backlog as the total dollar amount of revenue that we expect to recognize as a result of performing work that has been awarded to us through a signed contract, limited notice to proceed or other type of assurance that we consider firm. The following arrangements are considered firm:</w:t>
      </w:r>
    </w:p>
    <w:p>
      <w:pPr>
        <w:spacing w:after="0" w:line="93" w:lineRule="exact"/>
        <w:rPr>
          <w:sz w:val="20"/>
          <w:szCs w:val="20"/>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171" w:lineRule="exact"/>
        <w:rPr>
          <w:rFonts w:ascii="Arial" w:cs="Arial" w:eastAsia="Arial" w:hAnsi="Arial"/>
          <w:sz w:val="18"/>
          <w:szCs w:val="18"/>
          <w:color w:val="auto"/>
        </w:rPr>
      </w:pPr>
    </w:p>
    <w:p>
      <w:pPr>
        <w:ind w:left="640" w:right="80" w:hanging="321"/>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long-term maintenance contracts with no minimum commitments and other established customer agreements, we include only the amounts that we expect to recognize as revenue over the next 12 months. For arrangements in which we have received a limited notice to proceed, we include the entire scope of work in our backlog if the notice is significant relative to the overall project and if we conclude that the likelihood of the full project proceeding as high. For all other arrangements, we calculate backlog as the estimated contract amount less revenues recognized as of the reporting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in fiscal 2018: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40" w:type="dxa"/>
            <w:vAlign w:val="bottom"/>
          </w:tcPr>
          <w:p>
            <w:pPr>
              <w:spacing w:after="0"/>
              <w:rPr>
                <w:sz w:val="14"/>
                <w:szCs w:val="14"/>
                <w:color w:val="auto"/>
              </w:rPr>
            </w:pPr>
          </w:p>
        </w:tc>
        <w:tc>
          <w:tcPr>
            <w:tcW w:w="10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June 30,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162,637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287,007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141,551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91,078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682,273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207,251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263,217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786,505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370,903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1,627,876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(255,931)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(322,772)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(1,091,553)</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Backlog as of June 30,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113,957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227,452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613,360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263,827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1,218,596</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Book-to-bill ratio</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40" w:hanging="316"/>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97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Project awards in all segments are cyclical and are typically the result of a sales process that can take several months to complete. Backlog volatility may increase for some segments from time to time when individual project awards are less frequent, but more significant. We expect to recognize approximately 74% of our total backlog reported as of June 30, 2018 as revenue within the next year.</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change in backlog in the Electrical Infrastructure segment during the fiscal year ended June 30, 2018 is mainly attributable to work performed in fiscal 2018 related to a major power generation project that was not replaced as a result of the Company's strategic decision to exit full EPC power generation projects. In addition, year end backlog was affected by lower project awards for power generation package work and sluggish spending and increased competition for high voltage work in our traditional markets. We expect improvement in fiscal 2019, however the timing of the recovery of our traditional markets and the expected benefit of a planned geographic expansion is dependent on market conditions.</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change in backlog in the Oil, Gas &amp; Chemical segment during the fiscal year ended June 30, 2018 is attributable to progress on previously announced awards, partially offset by new project awards. The lower book-to-bill ratio is primarily a result of higher capital work volumes related to a major capital project awarded in the prior fiscal year. The level of awards in the segment has generally met our expectations and market conditions are favorable.</w:t>
      </w:r>
    </w:p>
    <w:p>
      <w:pPr>
        <w:spacing w:after="0" w:line="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change in backlog in the Storage Solutions segment during the fiscal year ended June 30, 2018 is attributable to increased project awards, including the previously announced engineering, construction and procurement, or "EPC", contract for a greenfield crude oil storage and blending terminal in Cushing, Oklahoma and the previously announced EPC contract for an expansion of crude oil storage and loading capabilities at a terminal on the Texas Gulf Coast. We expect awards in this segment to remain strong in the near term based on favorable market conditions and our bidding opportunities.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backlog in the Industrial segment during the fiscal year ended June 30, 2018 is primarily attributable to significant awards for capital projects and maintenance work in the iron and steel industry and the previously announced award for a thermal vacuum chamber. We expect spending from our iron and steel customers to remain strong in the near term.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 Also, we typically see a lower level of operating activity relating to construction projects during the winter months and early in the calendar year because many of our customers’ capital budgets have not been finalized.</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factors impacting operating results in all segments come from work site permitting delays or customers accelerating or postponing work. The differing types, sizes, and durations of our contracts, combined with their geographic diversity and stages of completion, often results in fluctuations in the Company's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Sources and Availability</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Steel plate and steel pipe are key materials used by the Company. Supplies of these materials are available throughout the United States and globally from numerous sources. We anticipate that adequate amounts of these materials will be available in the foreseeable future. However, the price, quantity, and the delivery schedules of these materials could change rapidly due to various factors, including producer capacity, the level of imports, worldwide demand, tariffs on imported goods and other market conditions.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There can be no assurance that our insurance and the additional insurance coverage provided by our subcontractors will fully protect us against a valid claim or loss under the contracts with our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2018, the Company had approximately 4,650 employees of which approximately 1,000 were employed in non-field positions and 3,650 were employed in field or shop positions. The number of employees varies significantly throughout the year because of the number, type and size of projects we have in progress at any particular time.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subsidiaries include both merit and union companies. The union businesses operate under collective bargaining agreements with various unions representing different groups of our employees. Union agreements provide union employees with benefits including health and welfare, pension, training programs and competitive compensation plans. We have not experienced any strikes or work stoppages in recent years. We maintain health and welfare, retirement and training programs for our merit employees and administrative personnel.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Technology</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Matrix Service Company’s subsidiaries have several patents and patents pending, and continue to pursue new ideas and innovations to better serve our customers in several areas of our business. The Flex-A-Span® and Flex-A-Seal® trademarks are utilized to market the Company’s unique seals for floating roof tanks. The FastFroth® trademark is utilized to market the Company’s unique industrial cleaning process. Our patented RS 1000 Tank Mixer controls sludge build-up in crude oil tanks through resuspension. The Flexible Fluid Containment System patent covers a system that captures and contains flue leaking from pipe and valve connections. The Flex-A-Swivel patent refers to our unique pipe swivel joint assembly. Our patent for Spacerless or Geocomposite Double Bottom for Storage Tanks relates to a replacement bottom with leak detection and containment that allows for the retrofitting of an existing tank while minimizing the loss of capacity. The patent for the Training Tank for Personnel Entry, Exit and Rescue relates to a training device that can be used to train personnel on equipment that is made to simulate confined space scenarios.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holds a perpetual license to use various patents and technologies related to LNG storage tanks, LIN/LOX storage tanks, LPG storage tanks and thermal vacuum chambers.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Company’s intellectual property is not its main business, we believe that the ability to use these patents and technology enables us to expand our presence in the markets we serve and minimizes the development costs typically associated with organic growth.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 Regulations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are subject to regulation by the United States Occupational Safety and Health Administration (“OSHA”) and Mine Safety and Health Administration (“MSHA”), and to regulation under state laws and by the Canadian Workers’ Compensation Board and its Workplace Health, Safety and Compensation Commission. Regulations promulgated by these agencies require employers and independent contractors to implement work practices, medical surveillance systems and personnel protection programs to protect employees from workplace hazards and exposure to hazardous chemicals and materials. In recognition of the potential for accidents within various scopes of work, these agencies have enacted strict and comprehensive safety regulations. The Company has established and consistently reinforces and monitors compliance with comprehensive programs intended to ensure that it complies with all applicable health and safety regulations to protect the safety of its workers, subcontractors and customers. While the Company believes that it operates safely and prudently, there can be no assurance that accidents will not occur or that the Company will not incur substantial liability in connection with the operation of its businesses. In order to minimize the financial exposure resulting from potential accidents associated with the Company's work, the Company maintains liability insurance to limit losses that could result from our work.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operations and the operations of its customers are subject to extensive and changing environmental laws and regulations. These laws and regulations relate primarily to air and water pollutants and the management and disposal of hazardous materials. The Company is exposed to potential liability for personal injury or property damage caused by any release, spill, exposure or other accident involving such pollutants, substances or hazardous materials.</w:t>
      </w:r>
    </w:p>
    <w:p>
      <w:pPr>
        <w:spacing w:after="0" w:line="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order to limit costs incurred as a result of environmental exposure, the Company maintains contractor’s pollution liability insurance that covers liability that may be incurred as a result of accidental releases of hazardous materials.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believes that it is currently in compliance, in all material aspects, with all applicable environmental laws and regulations. The Company does not expect any material charges in subsequent periods relating to environmental conditions that currently exist and does not currently foresee any significant future capital spending relating to environmental matters.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The following risk factors should be considered with the other information included in this Annual Report on Form 10-K. As we operate in a continuously changing environment, other risk factors may emerge which could have a material adverse effect on our results of operations, financial condition and cash flow.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Business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Unsatisfactory safety performance may subject us to penalties, affect customer relationships, result in higher operating costs, negatively impact employee morale and result in higher employee turnover.</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projects are conducted at a variety of sites including construction sites and industrial facilities. With each location, hazards are part of the day to day exposures that we must manage on a continuous basis to ensure our employees return home from work the same way they arrived. We understand that everyone plays a role with safety and everyone can make a difference with their active participation. With our proactive approach, our strategy is to identify the exposures and correct them before they result in an incident whether that involves an injury, damage or destruction of property, plant and equipment or an environmental impact. We are intensely focused on maintaining a strong safety culture and strive for zero incidents.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have taken what we believe are appropriate precautions to adequately train and equip our employees, we have experienced serious accidents, including fatalities, in the past and may experience additional accidents in the future. Serious accidents may subject us to penalties, civil litigation or criminal prosecution. Claims for damages to persons, including claims for bodily injury or loss of life, could result in costs and liabilities, which could materially and adversely affect our financial condition, results of operations or cash flows. Poor safety performance could also jeopardize our relationships with our customers and increase our insurance premiums.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could be negatively impacted if we are not able to maintain appropriate utilization of our workforce.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extent to which we utilize our workforce affects our profitability. If we under utilize our workforce, our project gross margins and overall profitability suffer in the short-term. If we over utilize our workforce, we may negatively impact safety, employee satisfaction and project execution, which could result in a decline in future project awards. The utilization of our workforce is impacted by numerous factors including:</w:t>
      </w:r>
    </w:p>
    <w:p>
      <w:pPr>
        <w:spacing w:after="0" w:line="127" w:lineRule="exact"/>
        <w:rPr>
          <w:sz w:val="20"/>
          <w:szCs w:val="20"/>
          <w:color w:val="auto"/>
        </w:rPr>
      </w:pPr>
    </w:p>
    <w:p>
      <w:pPr>
        <w:ind w:left="640" w:hanging="321"/>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estimate of the headcount requirements for various operating units based upon our forecast of the demand for our products and services;</w:t>
      </w:r>
    </w:p>
    <w:p>
      <w:pPr>
        <w:spacing w:after="0" w:line="182" w:lineRule="exact"/>
        <w:rPr>
          <w:rFonts w:ascii="Arial" w:cs="Arial" w:eastAsia="Arial" w:hAnsi="Arial"/>
          <w:sz w:val="17"/>
          <w:szCs w:val="17"/>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our talent base and manage attrition;</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productivity;</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schedule our portfolio of projects to efficiently utilize our employees and minimize downtime between project assignments; and</w:t>
      </w:r>
    </w:p>
    <w:p>
      <w:pPr>
        <w:spacing w:after="0" w:line="182" w:lineRule="exact"/>
        <w:rPr>
          <w:rFonts w:ascii="Arial" w:cs="Arial" w:eastAsia="Arial" w:hAnsi="Arial"/>
          <w:sz w:val="17"/>
          <w:szCs w:val="17"/>
          <w:color w:val="auto"/>
        </w:rPr>
      </w:pPr>
    </w:p>
    <w:p>
      <w:pPr>
        <w:ind w:left="640" w:hanging="321"/>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need to invest time and resources into functions such as training, business development, employee recruiting, and sales that are not chargeable to customer projects.</w:t>
      </w:r>
    </w:p>
    <w:p>
      <w:pPr>
        <w:spacing w:after="0" w:line="116" w:lineRule="exact"/>
        <w:rPr>
          <w:sz w:val="20"/>
          <w:szCs w:val="20"/>
          <w:color w:val="auto"/>
        </w:rPr>
      </w:pPr>
    </w:p>
    <w:p>
      <w:pPr>
        <w:ind w:left="60"/>
        <w:spacing w:after="0" w:line="277" w:lineRule="auto"/>
        <w:rPr>
          <w:sz w:val="20"/>
          <w:szCs w:val="20"/>
          <w:color w:val="auto"/>
        </w:rPr>
      </w:pPr>
      <w:r>
        <w:rPr>
          <w:rFonts w:ascii="Arial" w:cs="Arial" w:eastAsia="Arial" w:hAnsi="Arial"/>
          <w:sz w:val="18"/>
          <w:szCs w:val="18"/>
          <w:b w:val="1"/>
          <w:bCs w:val="1"/>
          <w:i w:val="1"/>
          <w:iCs w:val="1"/>
          <w:color w:val="auto"/>
        </w:rPr>
        <w:t>An inability to attract and retain qualified personnel, and in particular, engineers, project managers, and skilled craft workers, could impact our ability to perform on our contracts, which could harm our business and impair our future revenues and profitability.</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ability to attract and retain qualified engineers, project managers, skilled craftsmen and other experienced professionals in accordance with our needs is an important factor in our ability to maintain profitability and grow our business. The market for these professionals is competitive, particularly during periods of economic growth when the supply is limited. We cannot provide any assurance that we will be successful in our efforts to retain or attract qualified personnel when needed. Therefore, when we anticipate or experience growing demand for our services, we may incur additional cost to maintain a professional staff in excess of our current contract needs in an effort to have sufficient qualified personnel available to address this anticipated demand. If we do incur additional compensation and benefit costs, our customer contracts may not allow us to pass through these costs.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Competent and experienced engineers, project managers, and craft workers are especially critical to the profitable performance of our contracts, particularly on our fixed-price contracts where superior design and execution of the project can result in profits greater than originally estimated or where inferior design and project execution can reduce or eliminate estimated profits or even result in a loss.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Our project managers are involved in most aspects of contracting and contract execution including:</w:t>
      </w:r>
    </w:p>
    <w:p>
      <w:pPr>
        <w:spacing w:after="0" w:line="171" w:lineRule="exact"/>
        <w:rPr>
          <w:sz w:val="20"/>
          <w:szCs w:val="20"/>
          <w:color w:val="auto"/>
        </w:rPr>
      </w:pPr>
    </w:p>
    <w:p>
      <w:pPr>
        <w:ind w:left="640" w:right="220" w:hanging="321"/>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supervising the bidding process, including providing estimates of significant cost components, such as material and equipment needs, and the size, productivity and composition of the workforce;</w:t>
      </w:r>
    </w:p>
    <w:p>
      <w:pPr>
        <w:spacing w:after="0" w:line="116"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negotiating contracts;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supervising project performance, including performance by our employees, subcontractors and other third-party suppliers and vendors;</w:t>
      </w:r>
    </w:p>
    <w:p>
      <w:pPr>
        <w:spacing w:after="0" w:line="171" w:lineRule="exact"/>
        <w:rPr>
          <w:rFonts w:ascii="Arial" w:cs="Arial" w:eastAsia="Arial" w:hAnsi="Arial"/>
          <w:sz w:val="18"/>
          <w:szCs w:val="18"/>
          <w:color w:val="auto"/>
        </w:rPr>
      </w:pPr>
    </w:p>
    <w:p>
      <w:pPr>
        <w:ind w:left="640" w:right="140" w:hanging="321"/>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estimating costs for completion of contracts that is used to estimate amounts that can be reported as revenues and earnings on the contract under the percentage-of-completion method of accounting;</w:t>
      </w:r>
    </w:p>
    <w:p>
      <w:pPr>
        <w:spacing w:after="0" w:line="116"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negotiating requests for change orders and the final terms of approved change orders; and</w:t>
      </w:r>
    </w:p>
    <w:p>
      <w:pPr>
        <w:spacing w:after="0" w:line="171" w:lineRule="exact"/>
        <w:rPr>
          <w:rFonts w:ascii="Arial" w:cs="Arial" w:eastAsia="Arial" w:hAnsi="Arial"/>
          <w:sz w:val="18"/>
          <w:szCs w:val="18"/>
          <w:color w:val="auto"/>
        </w:rPr>
      </w:pPr>
    </w:p>
    <w:p>
      <w:pPr>
        <w:ind w:left="640" w:right="40" w:hanging="321"/>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determining and documenting claims by us for increased costs incurred due to the failure of customers, subcontractors and other third-party suppliers of equipment and materials to perform on a timely basis and in accordance with contract terms.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depend upon the award of new contracts and the timing of those awards.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revenues are derived primarily from contracts awarded on a project-by-project basis. Generally, it is difficult to predict whether and when we will be awarded a new contract due to lengthy and complex bidding and selection processes, changes in existing or forecasted market conditions, customers' access to financing, governmental regulations, permitting and environmental matters. Because our revenues are derived from contract awards, our results of operations and cash flows can fluctuate materially from period to period.</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uncertainty associated with the timing of contract awards may reduce our short-term profitability as we balance our current capacity with expectations of future contract awards. If an expected contract award is delayed or not received, we could incur costs to maintain an idle workforce that may have a material adverse effect on our results of operations. Alternatively, we may decide that our long-term interests are best served by reducing our workforce and incurring increased costs associated with severance and termination benefits, which also could have a material adverse effect on our results of operations in the period incurred. Reducing our workforce could also impact our results of operations if we are unable to adequately staff projects that are awarded subsequent to a workforce reduction.</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Demand for our products and services is cyclical and is vulnerable to the level of capital and maintenance spending of our customers and to downturns in the industries and markets we serve, as well as conditions in the general economy.</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our products and services depends upon the existence of construction and maintenance projects primarily in the midstream and downstream petroleum, power and other heavy industries in the United States and Canada. Therefore, it is likely that our business will continue to be cyclical in nature and vulnerable to general downturns in the United States, Canadian and world economies and changes in commodity prices, which could adversely affect the demand for our products and services.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availability of engineering and construction projects is dependent upon economic conditions in the oil, gas, iron and steel and power industries, specifically, the level of capital expenditures on energy infrastructure. A prolonged period of relatively low commodity prices in North America has had an adverse impact on the level of capital expenditures of our customers and/or their ability to finance these expenditures. Our failure to obtain projects, the delay of project awards, the cancellation of projects or delays in the execution of contracts has resulted and may continue to result in under-utilization of our resources, which could adversely impact our revenue, margins, operating results and cash flow. There are numerous factors beyond our control that influence the level of maintenance and capital expenditures of our customers, including:</w:t>
      </w:r>
    </w:p>
    <w:p>
      <w:pPr>
        <w:spacing w:after="0" w:line="139" w:lineRule="exact"/>
        <w:rPr>
          <w:sz w:val="20"/>
          <w:szCs w:val="20"/>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or projected commodity prices, including oil, gas, power, steel and mineral prices;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refining margins;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demand for oil, gas and electricity;</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oil, gas and power companies to generate, access and deploy capital;</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exploration, production and transportation costs;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 incentives, including those for alternative energy projects;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restraints on the rates that power companies may charge their customers;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national and international political and economic conditions.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revenue and profitability may be adversely affected by a reduced level of activity in the hydrocarbon industry.</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recent years, demand from the worldwide hydrocarbon industry has been a significant generator of our revenue. Numerous factors influence capital expenditure decisions in the hydrocarbon industry, including, but not limited to, the following:</w:t>
      </w:r>
    </w:p>
    <w:p>
      <w:pPr>
        <w:spacing w:after="0" w:line="116" w:lineRule="exact"/>
        <w:rPr>
          <w:sz w:val="20"/>
          <w:szCs w:val="20"/>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 and projected oil and gas prices;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exploration, extraction, production and transportation costs;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refining margins;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discovery rate, size and location of new oil and gas reserves;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challenges and advances;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export hydrocarbon products;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demand for hydrocarbon production;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taxes, price controls, and laws and regulations.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aforementioned factors are beyond our control and could have a material adverse effect on our results of operations, particularly in the Storage Solutions and Oil Gas &amp; Chemical segments, and on our financial position or cash flow.</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operations of our Storage Solutions segment are influenced by the overall forward market for crude oil, and certain market conditions may adversely affect that segment’s financial and operating results.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results of our Storage Solutions segment may be influenced by the overall forward market for crude oil. A “contango” market (meaning that the price of crude oil for future delivery is higher than the current price) is associated with greater demand for crude oil storage capacity, because a party can simultaneously purchase crude oil at current prices for storage and sell at higher prices for future delivery. A “backwardated” market (meaning that the price of crude oil for future delivery is lower than the current price) is associated with lower demand for crude oil storage capacity, because a party can capture a premium for prompt delivery of crude oil rather than storing it for future sale. A prolonged backwardated market or other adverse market conditions could have an adverse impact on demand for new construction in our Storage Solutions segment. Finally, higher absolute levels of crude oil prices increase the costs of financing and insuring crude oil in storage, which negatively affects storage economics. As a result, the overall forward market for crude oil may have an adverse effect on our Storage Solution segment’s business, results of operations and financial condition.</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terms of our contracts could expose us to unforeseen costs and costs not within our control, which may not be recoverable and could adversely affect our results of operations and financial condition.</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significant amount of our work is performed under fixed price contracts. Under fixed-price contracts, we agree to perform the contract for a fixed-price and, as a result, can improve our expected profit by superior execution, productivity, workplace safety and other factors resulting in cost savings. However, we could incur cost overruns above the approved contract price, which may not be recoverable. Under certain incentive fixed-price contracts, we may agree to share with a customer a portion of any savings we generate while the customer agrees to bear a portion of any increased costs we may incur up to a negotiated ceiling. To the extent costs exceed the negotiated ceiling price, we may be required to absorb some or all of the cost overruns.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Fixed-price contract prices are established based largely upon estimates and assumptions relating to project scope and specifications, personnel and productivity, material needs, and site conditions. These estimates and assumptions may prove inaccurate or conditions may change due to factors out of our control, resulting in cost overruns, which we may be required to absorb and which could have a material adverse effect on our business, financial condition and results of operations. In addition, our profits from these contracts could decrease or we could experience losses if we incur difficulties in performing the contracts or are unable to secure fixed-pricing commitments from our manufacturers, suppliers and subcontractors at the time we enter into fixed-price contracts with our customers.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cost-plus and time-and-material contracts, we perform our services in return for payment of our agreed upon reimbursable costs plus a profit. The profit component is typically expressed in the contract either as a percentage of the reimbursable costs we actually incur or is factored into the rates we charge for labor or for the cost of equipment and materials, if any, we are required to provide. Our profit could be negatively impacted if our actual costs exceed the estimated costs utilized to establish the billing rates included in the contracts.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in providing services in excess of original project scope without having an approved change order.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commencement of a contract, we may perform, without the benefit of an approved change order from the customer, additional services requested by the customer that were not contemplated in our contract price for various reasons, including customer changes or incomplete or inaccurate engineering, changes in project specifications and other similar information provided to us by the customer. Our construction contracts generally require the customer to compensate us for additional work or expenses incurred under these circumstances.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failure to obtain adequate compensation for these matters could require us to record in the current period an adjustment to revenue and profit recognized in prior periods under the percentage-of-completion accounting method. Any such adjustments, if substantial, could have a material adverse effect on our results of operations and financial condition, particularly for the period in which such adjustments are made. We can provide no assurance that we will be successful in obtaining, through negotiation, arbitration, litigation or otherwise, approved change orders in an amount adequate to compensate us for our additional work or expenses.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use of percentage-of-completion accounting for fixed-price contracts and our reporting of profits for cost-plus contracts prior to contract completion could result in a reduction or elimination of previously reported profits.</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revenues are recognized using the percentage-of-completion method of accounting. Under percentage-of-completion accounting, contract revenues and earnings are recognized ratably over the contract term based on the proportion of actual costs incurred to total estimated costs. In addition, some contracts contain penalty provisions for failure to achieve certain milestones, schedules or performance standards. We review our estimates of contract revenues, costs and profitability on a monthly basis. As a result, we may adjust our estimates on one or more occasions as a result of changes in cost estimates, change orders to the original contract, or claims against the customer for increased costs incurred by us due to customer-induced delays and other factors.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estimates of costs to complete fixed price contracts indicate a loss, a provision is made through a contract write-down for the total loss anticipated in the period the loss is determined. Contract profit estimates are also adjusted, on a percentage of completion basis, in the fiscal period in which it is determined that an adjustment is required. No restatements are made to prior periods. Further, a number of our contracts contain various cost and performance incentives and penalties that impact the earnings we realize from our contracts, and adjustments related to these incentives and penalties are recorded on a percentage of completion basis in the period when estimable and probable.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requirements of the percentage-of-completion method of accounting, the possibility exists that we could have estimated and reported a profit on a contract over several prior periods and later determine, as a result of additional information, that all or a portion of such previously estimated and reported profits were overstated. If this occurs, the full aggregate amount of the overstatement will be reported for the period in which such change in estimate occurs.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Actual results could differ from the estimates and assumptions that we use to prepare our financial statements.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prepare financial statements in conformity with generally accepted accounting principles, management is required to make estimates and assumptions, as of the date of the financial statements, which affect the reported values of assets, liabilities, revenues and expenses and disclosures of contingent assets and liabilities. Areas requiring significant estimation by our management include:</w:t>
      </w:r>
    </w:p>
    <w:p>
      <w:pPr>
        <w:spacing w:after="0" w:line="127" w:lineRule="exact"/>
        <w:rPr>
          <w:sz w:val="20"/>
          <w:szCs w:val="20"/>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contract costs and application of percentage-of-completion accounting;</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provisions for uncollectible receivables from customers for invoiced amounts;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and collectibility of unapproved change orders and claims against customers;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provisions for income taxes and related valuation allowances;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recoverability of goodwill and intangible assets;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valuation of assets acquired and liabilities assumed in connection with business combinations;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accruals for estimated liabilities, including litigation and insurance reserves.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actual results could materially differ from these estimates.</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steel industry is cyclical and sensitive to general economic conditions, which could have a material adverse effect on our operating results and financial condition.</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significant percentage of our Industrial segment's revenues are derived from the steel industry. Demand for steel products is cyclical in nature and sensitive to general economic conditions. The timing and magnitude of the cycles in the markets in which our customers’ products are used, including automobiles and construction, are difficult to predict. The cyclical nature of our customers’ operations tends to reflect and be amplified by changes in economic conditions, both domestically and internationally, supply/demand imbalances, foreign currency exchange fluctuations, and foreign and domestic import tariffs on steel. Economic downturns or a prolonged period of slow growth in the U.S. and foreign markets or any of the industries in which our steel industry customers operate could have a material adverse effect on our results of operations, financial condition and cash flows.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Domestic and Foreign trade tariffs could have a material adverse effect on our customers' businesses and could raise the price and reduce the availability of raw materials to us, which could negatively impact our operating results and financial condition.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Domestic and foreign trade tariffs could have a material adverse impact on our customers' businesses, which could cause our customers to reduce spending on capital and maintenance projects. This reduction in spending could lead to fewer project awards and/or more competition. Fewer project awards and more competition could reduce our revenues and gross margins.</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domestic and foreign trade tariffs could raise the price and reduce the availability of raw materials such as steel plate and steel pipe, which are key materials used by the Company. Supplies of these materials are available throughout the United States and globally from numerous sources. We anticipate that adequate amounts of these materials will be available in the foreseeable future. However, if trade tariffs should significantly impact the price and availability of these materials, we could experience lower gross margins, operational inefficiencies and project delays.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exposed to credit risk from customers. If we experience delays and/or defaults in customer payments, we could suffer liquidity problems or we could be unable to recover amounts owed to us.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terms of our contracts, at times we commit resources to customer projects prior to receiving payments from customers in amounts sufficient to cover expenditures on these projects as they are incurred. Many of our fixed-price or cost-plus contracts require us to satisfy specified progress milestones or performance standards in order to receive a payment. Under these types of arrangements, we may incur significant costs for labor, equipment and supplies prior to receipt of payment. If the customer fails or refuses to pay us for any reason, there is no assurance we will be able to collect amounts due to us for costs previously incurred. In some cases, we may find it necessary to terminate subcontracts with suppliers engaged by us to assist in performing a contract, and we may incur costs or penalties for canceling our commitments to them. Delays in customer payments require an investment in working capital. If we are unable to collect amounts owed to us under our contracts, we may be required to record a charge against previously recognized earnings related to the project, and our liquidity, financial condition and results of operations could be adversely affected.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Acquisitions may result in significant transaction expenses, and unidentified liabilities and risks associated with entering new markets. We may also be unable to profitably integrate and operate these businesses.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lack sufficient management, financial and other resources to successfully integrate future acquisitions, including acquisitions in markets where we have not previously operated. Any future acquisitions may result in significant transaction expenses, unexpected liabilities and other risks in addition to the integration and consolidation risks.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make any future acquisitions, we will likely assume liabilities of the acquired business or have exposure to contingent liabilities that may not be adequately covered by insurance or indemnification, if any, from the former owners of the acquired business. These potential liabilities could have a material adverse effect on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integrate our acquisitions, which could cause our business to suffer.</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may not be able to successfully complete our ongoing integration of the operations, personnel and technology from our recent acquisitions. Because of their size and complexity, if we fail to complete our integration efforts successfully, we may experience interruptions in our business activities, a decrease in the quality of our services, a deterioration in our employee and customer relationships, and harm to our reputation, all of which could have a material adverse effect on our business, financial condition and results of operations. Our recent integration activities have required significant attention from management, which potentially decreases the time that management may devote to serve existing customers, attract new customers and develop new services and strategies. We may also experience difficulties in combining corporate cultures, maintaining employee morale and retaining key employees. The continuing integration efforts may also impose substantial demands on our operations or other projects. We will have to actively strive to demonstrate to our existing customers that these integrations have not resulted in adverse changes in our standards or business focus. Our recent acquisitions have involved a significant capital commitment, and the return that we achieve on any capital invested may be less than the return achieved on our other projects or investments. There will be challenges in consolidating and rationalizing information technology platforms and administrative infrastructures. In addition, any delays or increased costs of integrating the acquired companies could adversely affect our operations, financial results and liquidity.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growth opportunities, operating margins and synergies that are anticipated from acquisitions.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benefits we expect to achieve as a result of an acquisition will depend, in part, on our ability to realize the anticipated growth opportunities, operating margins and synergies. Our success in realizing these growth opportunities, operating margins and synergies, and the timing of this realization, depends on the successful integration of the acquired business and operations with our existing business and operations. Even if we are able to integrate existing and acquired businesses successfully, this integration may not result in the realization of the full benefits of the growth opportunities, operating margins and synergies we currently expect within the anticipated time frame or at all. Accordingly, the benefits from an acquisition may be offset by costs incurred or delays in integrating the companies, which could cause our revenue assumptions and operating margin to be inaccurate.</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need to raise additional capital in the future for working capital, capital expenditures and/or acquisitions, and we may not be able to do so on favorable terms or at all, which would impair our ability to operate our business or achieve our strategic plan.</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extent that cash flow from operations, together with available borrowings under our senior secured revolving credit facility, are insufficient to make future investments, acquisitions or provide needed working capital, we may require additional financing from other sources. Our ability to obtain such additional financing in the future will depend in part upon prevailing capital market conditions, as well as conditions in our business and our operating results; and those factors may affect our efforts to arrange additional financing on terms that are satisfactory to us. If adequate funds are not available, or are not available on acceptable terms, we may not be able to make future investments, take advantage of acquisitions or other opportunities, or respond to competitive challenges.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 in each of our business segments, which may have a material adverse effect on our business.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face competition in all areas of our business from regional, national and international competitors. Our competitors range from small, family-owned businesses to well-established, well-financed entities, both privately and publicly held, including many large engineering and construction companies and specialty contractors. We compete primarily on the basis of price, customer satisfaction, safety performance and programs, quality of our products and services, and schedule. As a result, an increase in the level of competition in one or more markets may result in lower operating margins than we have recently experienced.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backlog is subject to unexpected fluctuations, adjustments and cancellations and does not include the full value of our long-term maintenance contracts, and therefore, may not be a reliable indicator of our future earnings.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Backlog may not be a reliable indicator of our future performance. We cannot guarantee that the revenue projected in our backlog will be realized or profitable. Projects may remain in our backlog for an extended period of time. In addition, project cancellations or scope adjustments may occur from time to time with respect to contracts included in our backlog that could reduce the dollar amount of our backlog and the revenue and profits that we actually earn. Many of our contracts have termination rights. Therefore, project adjustments may occur from time to time to contracts in our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of our significant customers could adversely affect us.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or more customers have in the past and may in the future contribute a material portion of our revenues in any one year. Because these significant customers generally contract with us for specific projects or for specific periods of time, we may lose these customers from year to year as the projects or maintenance contracts are completed. The loss of business from any one of these customers could have a material adverse effect on our business or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events, including those associated with our strategic plan, could negatively affect our liquidity position.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 provide no assurance that we will have sufficient earnings from operations or the credit capacity to meet all of our future cash needs should we encounter significant working capital requirements or incur significant acquisition costs. Insufficient earnings from operations, significant working capital requirements, and contract disputes have in the past, and could in the future, reduce availability under our senior secured revolving credit facility.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difficult work sites and environments, which may adversely affect our overall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 our work under a variety of conditions, including, but not limited to, difficult terrain, difficult site conditions and busy urban centers where delivery of materials and availability of labor may be impacted. Performing work under these conditions can slow our progress, potentially causing us to incur contractual liability to our customers. These difficult conditions may also cause us to incur additional, unanticipated costs that we might not be able to pass on to our customers.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susceptible to adverse weather conditions, which may harm our business and financial results.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may be adversely affected by severe weather in areas where we have significant operations. Repercussions of severe weather conditions may include:</w:t>
      </w:r>
    </w:p>
    <w:p>
      <w:pPr>
        <w:spacing w:after="0" w:line="116" w:lineRule="exact"/>
        <w:rPr>
          <w:sz w:val="20"/>
          <w:szCs w:val="20"/>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curtailment of services;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suspension of operations;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meet performance schedules in accordance with contracts and potential liability for liquidated damages;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injuries or fatalities;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 related damage to our facilities;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 of information systems;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receive machinery, equipment and materials at jobsites;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productivity.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senior secured revolving credit facility imposes restrictions that may limit business alternatives.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senior secured revolving credit facility contains covenants that restrict or limit our ability to incur additional debt, acquire or dispose of assets, repurchase equity, or make certain distributions, including dividends. In addition, our senior secured revolving credit facility requires that we comply with a number of financial covenants. These covenants and restrictions may impact our ability to effectively execute operating and strategic plans and our operating performance may not be sufficient to comply with the required covenants.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failure to comply with one or more of the covenants in our senior secured revolving credit facility could result in an event of default. We can provide no assurance that a default could be remedied, or that our creditors would grant a waiver or amend the terms of the senior secured revolving credit facility. If an event of default occurs, our lenders could elect to declare all amounts outstanding under the facility to be immediately due and payable, terminate all commitments, refuse to extend further credit, and require us to provide cash to collateralize any outstanding letters of credit. If an event of default occurs and the lenders under the senior secured revolving credit facility accelerate the maturity of any loans or other debt outstanding, we may not have sufficient liquidity to repay amounts outstanding under the existing agreement.</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We contribute to multiemployer plans that could result in liabilities to us if those plans are terminated or if we withdraw from those plans.</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contribute to several multiemployer pension plans for employees covered by collective bargaining agreements. These plans are not administered by us and contributions are determined in accordance with provisions of negotiated labor contracts. The Employee Retirement Income Security Act of 1974, as amended by the Multiemployer Pension Plan Amendments Act of 1980, imposes certain liabilities upon employers who are contributors to a multiemployer plan in the event of the employer’s withdrawal from, or upon termination of, such plan. If we terminate or withdraw from a multiemployer pension plan, we could be required to make significant cash contributions to fund that plan's unfunded vested benefit, which could materially and adversely affect our financial condition and results of operations; however, we are not currently able to determine the net assets and actuarial present value of the multiemployer pension plans’ unfunded vested benefits allocable to us, if any, and we are not presently aware of the amounts, if any, for which we may be contingently liable if we were to withdraw from any of these plans. In addition, if the funding level of any of these multiemployer plans becomes classified as “critical status” under the Pension Protection Act of 2006, we could be required to make significant additional contributions to those plans.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for future periods may be affected by impairment charges.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Because we have grown in part through acquisitions, goodwill and other acquired intangible assets represent a substantial portion of our assets. We perform annual goodwill impairment reviews in the fourth quarter of every fiscal year. In addition, we perform an impairment review whenever events or changes in circumstances indicate the carrying value of goodwill or an intangible or fixed asset may not be recoverable. Current market conditions have resulted in an impairment of goodwill related to our Electrical Infrastructure segment and have led to narrow differences between the fair values and carrying amounts of our other reporting units, which has increased the likelihood of additional impairments. If market conditions further deteriorate, we may determine that a significant impairment has occurred, which could require us to write off a portion of our assets and could adversely affect our financial condition or results of operations. As of June 30, 2018, the Company had $22.8 million of amortizing intangible assets and $96.2 million of non-amortizing goodwill representing 4.1% and 17.2% of the Company's total assets, respectively.</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involved, and are likely to continue to be involved in legal proceedings, which will increase our costs and, if adversely determined, could have a material effect on our financial condition, results of operations, cash flows and liquidity.</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currently a defendant in legal proceedings arising from the operation of our business, and it is reasonable to expect that we would be named in future actions. Many of the actions against us arise out of the normal course of performing services on project sites, and include workers’ compensation claims, personal injury claims and contract disputes with our customers. From time to time, we are also named as a defendant for actions involving the violation of federal and state labor laws related to employment practices, wages and benefits. We may also be a plaintiff in legal proceedings against customers seeking to recover payment of contractual amounts due to us as well as claims for increased costs incurred by us resulting from, among other things, services performed by us at the request of a customer that are in excess of original project scope that are later disputed by the customer and customer-caused delays in our contract performance.</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insurance against operating hazards in amounts that we believe are customary in our industry. However, our insurance policies include deductibles and certain coverage exclusions, so we cannot provide assurance that we are adequately insured against all of the risks associated with the conduct of our business. A successful claim brought against us in excess of, or outside of, our insurance coverage could have a material adverse effect on our financial condition, results of operations, cash flows and liquidity.</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Litigation, regardless of its outcome, is expensive, typically diverts the efforts of our management away from operations for varying periods of time, and can disrupt or otherwise adversely impact our relationships with current or potential customers, subcontractors and suppliers. Payment and claim disputes with customers may also cause us to incur increased interest costs resulting from incurring indebtedness under our revolving line of credit or receiving less interest income resulting from fewer funds invested due to the failure to receive payment for disputed claims and accounts.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projects expose us to potential professional liability, product liability, pollution liability, warranty and other claims, which could be expensive, damage our reputation and harm our business. We may not be able to obtain or maintain adequate insurance to cover these claims.</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perform construction and maintenance services at large industrial facilities where accidents or system failures can be disastrous and costly. Any catastrophic occurrence in excess of our insurance limits at locations engineered or constructed by us or where our products are installed or services performed could result in significant professional liability, product liability, warranty and other claims against us by our customers, including claims for cost overruns and the failure of the project to meet contractually specified milestones or performance standards. Further, the rendering of our services on these projects could expose us to risks and claims by third parties and governmental agencies for personal injuries, property damage and environmental matters, among others. Any claim, regardless of its merit or eventual outcome, could result in substantial costs, divert management’s attention and create negative publicity, particularly for claims relating to environmental matters where the amount of the claim could be extremely large. We may not be able to or may choose not to obtain or maintain insurance coverage for the types of claims described above. If we are unable to obtain insurance at an acceptable cost or otherwise protect against the claims described above, we will be exposed to significant liabilities, which may materially and adversely affect our financial condition and results of operations.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Employee, subcontractor or partner misconduct or our overall failure to comply with laws or regulations could harm our reputation, damage our relationships with customers, reduce our revenues and profits, and subject us to criminal and civil enforcement actions.</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Misconduct, fraud, non-compliance with applicable laws and regulations, or other improper activities by one of our employees, subcontractors or partners could have a significant negative impact on our business and reputation. Such misconduct could include the failure to comply with safety standards, laws and regulations, customer requirements, regulations pertaining to the internal controls over financial reporting, environmental laws and any other applicable laws or regulations. The precautions we take to prevent and detect these activities may not be effective, since our internal controls are subject to inherent limitations, including human error, the possibility that controls could be circumvented or become inadequate because of changed conditions, and fraud.</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failure to comply with applicable laws or regulations or acts of misconduct could subject us to fines and penalties, harm our reputation, damage our relationships with customers, reduce our revenues and profits and subject us to criminal and civil enforcement 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factors and changes in laws and regulations could increase our costs and liabilities.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operations are subject to environmental laws and regulations, including those concerning emissions into the air; discharges into waterways; generation, storage, handling, treatment and disposal of hazardous material and wastes; and health and safety.</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projects often involve highly regulated materials, including hazardous wastes. Environmental laws and regulations generally impose limitations and standards for regulated materials and require us to obtain permits and comply with various other requirements. The improper characterization, handling, or disposal of regulated materials or any other failure by us to comply with federal, state and local environmental laws and regulations or associated environmental permits could subject us to the assessment of administrative, civil and criminal penalties, the imposition of investigatory or remedial obligations, or the issuance of injunctions that could restrict or prevent our ability to operate our business and complete contracted projects.</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under the Comprehensive Environmental Response, Compensation and Liability Act of 1980 (“CERCLA”), and comparable state and foreign laws, we may be required to investigate and remediate regulated materials. CERCLA and the comparable state laws typically impose liability without regard to whether a company knew of or caused the release, and liability for the entire cost of clean-up can be imposed upon any responsible party.</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numerous other laws and regulations including those related to business registrations and licenses, environment, workplace, employment, health and safety. These laws and regulations are complex, change frequently and could become more stringent in the future. It is impossible to predict the effect on us of any future changes to these laws and regulations. We can provide no absolute assurance that our operations will continue to comply with future laws and regulations or that the costs to comply with these laws and regulations and/or a failure to comply with these laws will not significantly adversely affect our business, financial condition and results of operations.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failure or outage in our operational systems or cyber security attacks on any of our systems, or those of third parties, may adversely affect our financial results.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become more reliant on technology to help increase efficiency in our business. We use numerous technologies to help run our operations, and this may subject our business to increased risks. Any cyber security attack that affects our facilities, our systems, our customers and any of our financial data could have a material adverse effect on our business. In addition, a cyber-attack on our customer and employee data may result in a financial loss, including potential fines for failure to safeguard data, and may negatively impact our reputation. Third-party systems on which we rely could also suffer system failure. Any of these occurrences could disrupt our business, result in potential liability or reputational damage or otherwise have an adverse effect on our financial results.</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experienced cybersecurity threats to our information technology infrastructure and have experienced cyber-attacks, attempts to breach our systems and other similar incidents. Such prior events have not had a material impact on our financial condition, results of operations or liquidity. However, future threats could cause harm to our business and our reputation, as well as negatively impact our results of operations materially. Our insurance coverage may not be adequate to cover all the costs related to cyber-attacks or disruptions resulting from such events.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security breach resulting in the unauthorized use or disclosure of certain personal information could put individuals at risk of identity theft and financial or other harm and result in costs to the Company in investigation, remediation, legal defense and in liability to parties who are financially harmed. We may incur significant costs to protect against the threat of information security breaches or to respond to or alleviate problems caused by such breaches. For example, laws may require notification to regulators, clients or employees and enlisting credit monitoring or identity theft protection in the event of a privacy breach. A cybersecurity attack could also be directed at our systems and result in interruptions in our operations or delivery of services to our clients and their customers. Furthermore, a material security breach could cause us to lose revenues, lose clients or cause damage to our reputation.</w:t>
      </w:r>
    </w:p>
    <w:p>
      <w:pPr>
        <w:spacing w:after="0" w:line="1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We rely on internally and externally developed software applications and systems to support critical functions including project management, estimating, scheduling, human resources, accounting, and financial reporting. Any sudden loss, disruption or unexpected costs to maintain these systems could significantly increase our operational expense as well as disrupt the management of our business operations.</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various software systems to conduct our critical operating and administrative functions. We depend on our software vendors to provide long-term software maintenance support for our information systems. Software vendors may decide to discontinue further development, integration or long-term software maintenance support for our information systems, in which case we may need to abandon one or more of our current information systems and migrate some or all of our project management, human resources, estimating, scheduling, accounting and financial information to other systems, thus increasing our operational expense as well as disrupting the management of our business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adversely affected by violations of the U.S. Foreign Corrupt Practices Act and similar worldwide anti-bribery laws.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U.S. Foreign Corrupt Practices Act and similar anti-bribery laws in other jurisdictions generally prohibit companies and their intermediaries from making improper payments to officials or others for the purpose of obtaining or retaining business. Our policies mandate compliance with these anti-bribery laws. We operate in parts of the world that have experienced corruption to some degree and, in certain circumstances, strict compliance with anti-bribery laws may conflict with local customs and practices. We train our personnel concerning anti-bribery laws and issues, and we also inform our customers, vendors, and others who work for us or on our behalf that they must comply with anti-bribery law requirements. We also have procedures and controls in place to monitor compliance. We cannot assure that our internal controls and procedures always will protect us from the possible reckless or criminal acts committed by our employees or agents. If we are found to be liable for anti-bribery law violations (either due to our own acts or our inadvertence, or due to the acts or inadvertence of others including our partners, agents, subcontractors or suppliers), we could suffer from criminal or civil penalties or other sanctions, including contract cancellations or debarment, and loss of reputation, any of which could have a material adverse effect on our business. Litigation or investigations relating to alleged or suspected violations of anti-bribery laws, even if ultimately such litigation or investigations demonstrate that we did not violate anti-bribery laws, could be costly and could divert management's attention away from other aspects of our business.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political and other risks associated with international operations could adversely affect our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portion of our operations are conducted outside the United States, and accordingly, our business is subject to risks associated with doing business internationally, including changes in foreign currency exchange rates, instability in political or economic conditions, difficulty in repatriating cash proceeds, differing employee relations, differing regulatory environments, trade protection measures, and difficulty in administering and enforcing corporate policies which may be different than the normal business practices of local cultures.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Common Stock</w:t>
      </w:r>
    </w:p>
    <w:p>
      <w:pPr>
        <w:spacing w:after="0" w:line="17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common stock, which is listed on the NASDAQ Global Select Market, has experienced significant price and volume fluctuations. These fluctuations could continue in the future, and our stockholders may not be able to resell their shares of common stock at or above the purchase price paid.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common stock may change significantly in response to various factors and events beyond our control, including the following:</w:t>
      </w:r>
    </w:p>
    <w:p>
      <w:pPr>
        <w:spacing w:after="0" w:line="183" w:lineRule="exact"/>
        <w:rPr>
          <w:sz w:val="20"/>
          <w:szCs w:val="20"/>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factors described in this Item 1A;</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conditions in our customers’ industries;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conditions in the security markets;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significant concentration of ownership of our common stock in the hands of a small number of institutional investors;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shortfall in operating revenue or net income from that expected by securities analysts and investors;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securities analysts’ estimates of our financial performance or the financial performance of our competitors or companies in our industry.</w:t>
      </w:r>
    </w:p>
    <w:p>
      <w:pPr>
        <w:spacing w:after="0" w:line="194" w:lineRule="exact"/>
        <w:rPr>
          <w:sz w:val="20"/>
          <w:szCs w:val="20"/>
          <w:color w:val="auto"/>
        </w:rPr>
      </w:pPr>
    </w:p>
    <w:p>
      <w:pPr>
        <w:ind w:left="60" w:right="60"/>
        <w:spacing w:after="0" w:line="264" w:lineRule="auto"/>
        <w:rPr>
          <w:sz w:val="20"/>
          <w:szCs w:val="20"/>
          <w:color w:val="auto"/>
        </w:rPr>
      </w:pPr>
      <w:r>
        <w:rPr>
          <w:rFonts w:ascii="Arial" w:cs="Arial" w:eastAsia="Arial" w:hAnsi="Arial"/>
          <w:sz w:val="18"/>
          <w:szCs w:val="18"/>
          <w:color w:val="auto"/>
        </w:rPr>
        <w:t>Some companies that have volatile market prices for their securities have been subject to security class action suits filed against them. If a suit were to be filed against us, regardless of the outcome, it could result in substantial costs and a diversion of our management’s attention and resources. This could have a material adverse effect on our business, results of operations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depress our stock price.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of a substantial number of shares of our common stock in the public market or otherwise, either by us, a member of management or a major stockholder, or the perception that these sales could occur, could depress the market price of our common stock and impair our ability to raise capital through the sale of additional equity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equity securities, which could lead to dilution of our issued and outstanding stock.</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issuance of additional common stock, restricted stock units or securities convertible into our common stock could result in dilution of the ownership interest held by existing stockholders. We are authorized to issue, without stockholder approval 5,000,000 shares of preferred stock, par value $0.01 per share, in one or more series, which may give other stockholders dividend, conversion, voting, and liquidation rights, among other rights, which may be superior to the rights of holders of our common stock. In addition, we are authorized to issue, without stockholder approval, a significant number of additional shares of our common stock and securities convertible into either common stock or preferred stock.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activists could cause a disruption to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An activist investor may indicate disagreement with our strategic direction or capital allocation policies and may seek representation on our Board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Directors. Our business, operating results or financial condition could be adversely affected and may result in, among other things:</w:t>
      </w:r>
    </w:p>
    <w:p>
      <w:pPr>
        <w:spacing w:after="0" w:line="211"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operating costs, including increased legal expenses, insurance, administrative expenses and associated costs incurred in connection with director election contests;</w:t>
      </w:r>
    </w:p>
    <w:p>
      <w:pPr>
        <w:spacing w:after="0" w:line="8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as to our future direction, which could result in the loss of potential business opportunities and could make it more difficult to attract, retain, or motivate qualified personnel, and strain relationships with investors and customers;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reduction or delay in our ability to effectively execute our current business strategy and to implement new strategies.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properties of Matrix Service Company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220" w:type="dxa"/>
            <w:vAlign w:val="bottom"/>
            <w:tcBorders>
              <w:bottom w:val="single" w:sz="8" w:color="CCEEFF"/>
            </w:tcBorders>
          </w:tcPr>
          <w:p>
            <w:pPr>
              <w:spacing w:after="0"/>
              <w:rPr>
                <w:sz w:val="16"/>
                <w:szCs w:val="16"/>
                <w:color w:val="auto"/>
              </w:rPr>
            </w:pPr>
          </w:p>
        </w:tc>
        <w:tc>
          <w:tcPr>
            <w:tcW w:w="300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Description of Facility</w:t>
            </w:r>
          </w:p>
        </w:tc>
        <w:tc>
          <w:tcPr>
            <w:tcW w:w="42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Segment</w:t>
            </w:r>
          </w:p>
        </w:tc>
        <w:tc>
          <w:tcPr>
            <w:tcW w:w="4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United States:</w:t>
            </w:r>
          </w:p>
        </w:tc>
        <w:tc>
          <w:tcPr>
            <w:tcW w:w="3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24"/>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Tulsa, Oklahoma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Corporate headquarters and regional office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All segments</w:t>
            </w: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Bakersfield, California</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All segments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2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Bellingham, Washington</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fabrication facility and</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Oil Gas &amp; Chemical, Storage</w:t>
            </w:r>
          </w:p>
        </w:tc>
        <w:tc>
          <w:tcPr>
            <w:tcW w:w="1160" w:type="dxa"/>
            <w:vAlign w:val="bottom"/>
          </w:tcPr>
          <w:p>
            <w:pPr>
              <w:jc w:val="center"/>
              <w:spacing w:after="0"/>
              <w:rPr>
                <w:sz w:val="20"/>
                <w:szCs w:val="20"/>
                <w:color w:val="auto"/>
              </w:rPr>
            </w:pPr>
            <w:r>
              <w:rPr>
                <w:rFonts w:ascii="Arial" w:cs="Arial" w:eastAsia="Arial" w:hAnsi="Arial"/>
                <w:sz w:val="16"/>
                <w:szCs w:val="16"/>
                <w:color w:val="auto"/>
                <w:w w:val="94"/>
              </w:rPr>
              <w:t>Owned</w:t>
            </w:r>
          </w:p>
        </w:tc>
      </w:tr>
      <w:tr>
        <w:trPr>
          <w:trHeight w:val="206"/>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warehouse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Solutions, Industrial</w:t>
            </w:r>
          </w:p>
        </w:tc>
        <w:tc>
          <w:tcPr>
            <w:tcW w:w="1160" w:type="dxa"/>
            <w:vAlign w:val="bottom"/>
          </w:tcPr>
          <w:p>
            <w:pPr>
              <w:spacing w:after="0"/>
              <w:rPr>
                <w:sz w:val="17"/>
                <w:szCs w:val="17"/>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Canonsburg, Pennsylvania</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Electrical Infrastructure, Oil Gas</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19"/>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&amp; Chemical, Industrial</w:t>
            </w:r>
          </w:p>
        </w:tc>
        <w:tc>
          <w:tcPr>
            <w:tcW w:w="1160" w:type="dxa"/>
            <w:vAlign w:val="bottom"/>
            <w:tcBorders>
              <w:bottom w:val="single" w:sz="8" w:color="CCEEFF"/>
            </w:tcBorders>
            <w:shd w:val="clear" w:color="auto" w:fill="CCEEFF"/>
          </w:tcPr>
          <w:p>
            <w:pPr>
              <w:spacing w:after="0"/>
              <w:rPr>
                <w:sz w:val="19"/>
                <w:szCs w:val="19"/>
                <w:color w:val="auto"/>
              </w:rPr>
            </w:pPr>
          </w:p>
        </w:tc>
      </w:tr>
      <w:tr>
        <w:trPr>
          <w:trHeight w:val="22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Catoosa, Oklahoma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Fabrication facilities, regional office and</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Oil Gas &amp; Chemical, Storage</w:t>
            </w:r>
          </w:p>
        </w:tc>
        <w:tc>
          <w:tcPr>
            <w:tcW w:w="1160" w:type="dxa"/>
            <w:vAlign w:val="bottom"/>
          </w:tcPr>
          <w:p>
            <w:pPr>
              <w:ind w:left="340"/>
              <w:spacing w:after="0"/>
              <w:rPr>
                <w:sz w:val="20"/>
                <w:szCs w:val="20"/>
                <w:color w:val="auto"/>
              </w:rPr>
            </w:pPr>
            <w:r>
              <w:rPr>
                <w:rFonts w:ascii="Arial" w:cs="Arial" w:eastAsia="Arial" w:hAnsi="Arial"/>
                <w:sz w:val="16"/>
                <w:szCs w:val="16"/>
                <w:color w:val="auto"/>
              </w:rPr>
              <w:t>Leased &amp;</w:t>
            </w:r>
          </w:p>
        </w:tc>
      </w:tr>
      <w:tr>
        <w:trPr>
          <w:trHeight w:val="239"/>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warehouse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Solutions, Industrial</w:t>
            </w:r>
          </w:p>
        </w:tc>
        <w:tc>
          <w:tcPr>
            <w:tcW w:w="1160" w:type="dxa"/>
            <w:vAlign w:val="bottom"/>
          </w:tcPr>
          <w:p>
            <w:pPr>
              <w:jc w:val="center"/>
              <w:spacing w:after="0" w:line="239" w:lineRule="exact"/>
              <w:rPr>
                <w:sz w:val="20"/>
                <w:szCs w:val="20"/>
                <w:color w:val="auto"/>
              </w:rPr>
            </w:pPr>
            <w:r>
              <w:rPr>
                <w:rFonts w:ascii="Arial" w:cs="Arial" w:eastAsia="Arial" w:hAnsi="Arial"/>
                <w:sz w:val="16"/>
                <w:szCs w:val="16"/>
                <w:color w:val="auto"/>
                <w:w w:val="88"/>
              </w:rPr>
              <w:t xml:space="preserve">Owned </w:t>
            </w:r>
            <w:r>
              <w:rPr>
                <w:rFonts w:ascii="Arial" w:cs="Arial" w:eastAsia="Arial" w:hAnsi="Arial"/>
                <w:sz w:val="21"/>
                <w:szCs w:val="21"/>
                <w:color w:val="auto"/>
                <w:w w:val="88"/>
                <w:vertAlign w:val="superscript"/>
              </w:rPr>
              <w:t>(1)</w:t>
            </w: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Columbus, Ohio</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All segments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2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Eddystone, Pennsylvania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fabrication facility and</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All segments</w:t>
            </w: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6"/>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warehouse</w:t>
            </w:r>
          </w:p>
        </w:tc>
        <w:tc>
          <w:tcPr>
            <w:tcW w:w="2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Hammond, Indiana</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 fabrication facility, and</w:t>
            </w: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Oil Gas &amp; Chemical, Industrial</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19"/>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warehouse</w:t>
            </w:r>
          </w:p>
        </w:tc>
        <w:tc>
          <w:tcPr>
            <w:tcW w:w="22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2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Houston, Texas</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offices and warehouse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Oil Gas &amp; Chemical, Storage</w:t>
            </w:r>
          </w:p>
        </w:tc>
        <w:tc>
          <w:tcPr>
            <w:tcW w:w="1160" w:type="dxa"/>
            <w:vAlign w:val="bottom"/>
          </w:tcPr>
          <w:p>
            <w:pPr>
              <w:jc w:val="center"/>
              <w:spacing w:after="0"/>
              <w:rPr>
                <w:sz w:val="20"/>
                <w:szCs w:val="20"/>
                <w:color w:val="auto"/>
              </w:rPr>
            </w:pPr>
            <w:r>
              <w:rPr>
                <w:rFonts w:ascii="Arial" w:cs="Arial" w:eastAsia="Arial" w:hAnsi="Arial"/>
                <w:sz w:val="16"/>
                <w:szCs w:val="16"/>
                <w:color w:val="auto"/>
                <w:w w:val="91"/>
              </w:rPr>
              <w:t>Leased &amp;</w:t>
            </w:r>
          </w:p>
        </w:tc>
      </w:tr>
      <w:tr>
        <w:trPr>
          <w:trHeight w:val="206"/>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Solutions</w:t>
            </w:r>
          </w:p>
        </w:tc>
        <w:tc>
          <w:tcPr>
            <w:tcW w:w="1160" w:type="dxa"/>
            <w:vAlign w:val="bottom"/>
          </w:tcPr>
          <w:p>
            <w:pPr>
              <w:jc w:val="center"/>
              <w:spacing w:after="0"/>
              <w:rPr>
                <w:sz w:val="20"/>
                <w:szCs w:val="20"/>
                <w:color w:val="auto"/>
              </w:rPr>
            </w:pPr>
            <w:r>
              <w:rPr>
                <w:rFonts w:ascii="Arial" w:cs="Arial" w:eastAsia="Arial" w:hAnsi="Arial"/>
                <w:sz w:val="16"/>
                <w:szCs w:val="16"/>
                <w:color w:val="auto"/>
                <w:w w:val="94"/>
              </w:rPr>
              <w:t>Owned</w:t>
            </w: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Metairie, Louisiana</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All segments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2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Norco, California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Storage Solutions, Oil Gas &amp;</w:t>
            </w: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6"/>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Chemical</w:t>
            </w:r>
          </w:p>
        </w:tc>
        <w:tc>
          <w:tcPr>
            <w:tcW w:w="1160" w:type="dxa"/>
            <w:vAlign w:val="bottom"/>
          </w:tcPr>
          <w:p>
            <w:pPr>
              <w:spacing w:after="0"/>
              <w:rPr>
                <w:sz w:val="17"/>
                <w:szCs w:val="17"/>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Orange, California</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Fabrication facility, regional office and</w:t>
            </w: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Oil Gas &amp; Chemical, Storage</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Leased &amp;</w:t>
            </w:r>
          </w:p>
        </w:tc>
      </w:tr>
      <w:tr>
        <w:trPr>
          <w:trHeight w:val="219"/>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warehouse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Solutions, Industrial</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Owned</w:t>
            </w:r>
          </w:p>
        </w:tc>
      </w:tr>
      <w:tr>
        <w:trPr>
          <w:trHeight w:val="224"/>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Pittsburgh, Pennsylvania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All segments</w:t>
            </w: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47"/>
        </w:trPr>
        <w:tc>
          <w:tcPr>
            <w:tcW w:w="3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2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Rahway, New Jersey</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 and warehouse</w:t>
            </w: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Electrical Infrastructure, Oil Gas</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19"/>
        </w:trPr>
        <w:tc>
          <w:tcPr>
            <w:tcW w:w="3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&amp; Chemical, Industrial</w:t>
            </w:r>
          </w:p>
        </w:tc>
        <w:tc>
          <w:tcPr>
            <w:tcW w:w="1160" w:type="dxa"/>
            <w:vAlign w:val="bottom"/>
            <w:tcBorders>
              <w:bottom w:val="single" w:sz="8" w:color="CCEEFF"/>
            </w:tcBorders>
            <w:shd w:val="clear" w:color="auto" w:fill="CCEEFF"/>
          </w:tcPr>
          <w:p>
            <w:pPr>
              <w:spacing w:after="0"/>
              <w:rPr>
                <w:sz w:val="19"/>
                <w:szCs w:val="19"/>
                <w:color w:val="auto"/>
              </w:rPr>
            </w:pPr>
          </w:p>
        </w:tc>
      </w:tr>
      <w:tr>
        <w:trPr>
          <w:trHeight w:val="22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Sewickley, Pennsylvania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Oil Gas &amp; Chemical, Storage</w:t>
            </w: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6"/>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Solutions, Industrial</w:t>
            </w:r>
          </w:p>
        </w:tc>
        <w:tc>
          <w:tcPr>
            <w:tcW w:w="1160" w:type="dxa"/>
            <w:vAlign w:val="bottom"/>
          </w:tcPr>
          <w:p>
            <w:pPr>
              <w:spacing w:after="0"/>
              <w:rPr>
                <w:sz w:val="17"/>
                <w:szCs w:val="17"/>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Temperance, Michigan</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 and warehouse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Storage Solutions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Owned</w:t>
            </w:r>
          </w:p>
        </w:tc>
      </w:tr>
      <w:tr>
        <w:trPr>
          <w:trHeight w:val="22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Tucson, Arizona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Industrial, Storage Solutions, Oil</w:t>
            </w: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06"/>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Gas &amp; Chemical</w:t>
            </w:r>
          </w:p>
        </w:tc>
        <w:tc>
          <w:tcPr>
            <w:tcW w:w="1160" w:type="dxa"/>
            <w:vAlign w:val="bottom"/>
          </w:tcPr>
          <w:p>
            <w:pPr>
              <w:spacing w:after="0"/>
              <w:rPr>
                <w:sz w:val="17"/>
                <w:szCs w:val="17"/>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International:</w:t>
            </w:r>
          </w:p>
        </w:tc>
        <w:tc>
          <w:tcPr>
            <w:tcW w:w="3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2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Burlington, Ontario, Canada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Electrical Infrastructure,</w:t>
            </w:r>
          </w:p>
        </w:tc>
        <w:tc>
          <w:tcPr>
            <w:tcW w:w="1160" w:type="dxa"/>
            <w:vAlign w:val="bottom"/>
          </w:tcPr>
          <w:p>
            <w:pPr>
              <w:jc w:val="center"/>
              <w:spacing w:after="0"/>
              <w:rPr>
                <w:sz w:val="20"/>
                <w:szCs w:val="20"/>
                <w:color w:val="auto"/>
              </w:rPr>
            </w:pPr>
            <w:r>
              <w:rPr>
                <w:rFonts w:ascii="Arial" w:cs="Arial" w:eastAsia="Arial" w:hAnsi="Arial"/>
                <w:sz w:val="16"/>
                <w:szCs w:val="16"/>
                <w:color w:val="auto"/>
                <w:w w:val="94"/>
              </w:rPr>
              <w:t>Owned</w:t>
            </w:r>
          </w:p>
        </w:tc>
      </w:tr>
      <w:tr>
        <w:trPr>
          <w:trHeight w:val="206"/>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Industrial, Storage Solutions</w:t>
            </w:r>
          </w:p>
        </w:tc>
        <w:tc>
          <w:tcPr>
            <w:tcW w:w="1160" w:type="dxa"/>
            <w:vAlign w:val="bottom"/>
          </w:tcPr>
          <w:p>
            <w:pPr>
              <w:spacing w:after="0"/>
              <w:rPr>
                <w:sz w:val="17"/>
                <w:szCs w:val="17"/>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Calgary, Alberta, Canada</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Storage Solutions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24"/>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Leduc, Alberta, Canada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Regional office and warehouse</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Storage Solutions</w:t>
            </w: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47"/>
        </w:trPr>
        <w:tc>
          <w:tcPr>
            <w:tcW w:w="3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37"/>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Sarnia, Ontario, Canada</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 and warehouse</w:t>
            </w:r>
          </w:p>
        </w:tc>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Storage Solutions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Owned</w:t>
            </w:r>
          </w:p>
        </w:tc>
      </w:tr>
      <w:tr>
        <w:trPr>
          <w:trHeight w:val="22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Paju-si, Gyeonggi-do, South Korea</w:t>
            </w: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Fabrication facility, regional office and</w:t>
            </w:r>
          </w:p>
        </w:tc>
        <w:tc>
          <w:tcPr>
            <w:tcW w:w="2660" w:type="dxa"/>
            <w:vAlign w:val="bottom"/>
            <w:gridSpan w:val="2"/>
          </w:tcPr>
          <w:p>
            <w:pPr>
              <w:ind w:left="40"/>
              <w:spacing w:after="0"/>
              <w:rPr>
                <w:sz w:val="20"/>
                <w:szCs w:val="20"/>
                <w:color w:val="auto"/>
              </w:rPr>
            </w:pPr>
            <w:r>
              <w:rPr>
                <w:rFonts w:ascii="Arial" w:cs="Arial" w:eastAsia="Arial" w:hAnsi="Arial"/>
                <w:sz w:val="16"/>
                <w:szCs w:val="16"/>
                <w:color w:val="auto"/>
              </w:rPr>
              <w:t>Storage Solutions</w:t>
            </w:r>
          </w:p>
        </w:tc>
        <w:tc>
          <w:tcPr>
            <w:tcW w:w="1160" w:type="dxa"/>
            <w:vAlign w:val="bottom"/>
          </w:tcPr>
          <w:p>
            <w:pPr>
              <w:jc w:val="center"/>
              <w:spacing w:after="0"/>
              <w:rPr>
                <w:sz w:val="20"/>
                <w:szCs w:val="20"/>
                <w:color w:val="auto"/>
              </w:rPr>
            </w:pPr>
            <w:r>
              <w:rPr>
                <w:rFonts w:ascii="Arial" w:cs="Arial" w:eastAsia="Arial" w:hAnsi="Arial"/>
                <w:sz w:val="16"/>
                <w:szCs w:val="16"/>
                <w:color w:val="auto"/>
                <w:w w:val="94"/>
              </w:rPr>
              <w:t>Owned</w:t>
            </w:r>
          </w:p>
        </w:tc>
      </w:tr>
      <w:tr>
        <w:trPr>
          <w:trHeight w:val="206"/>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warehouse</w:t>
            </w:r>
          </w:p>
        </w:tc>
        <w:tc>
          <w:tcPr>
            <w:tcW w:w="2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4"/>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Sydney, New South Wales, Australia</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office</w:t>
            </w:r>
          </w:p>
        </w:tc>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Storage Solutions</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47"/>
        </w:trPr>
        <w:tc>
          <w:tcPr>
            <w:tcW w:w="32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30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2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r>
    </w:tbl>
    <w:p>
      <w:pPr>
        <w:spacing w:after="0" w:line="251" w:lineRule="exact"/>
        <w:rPr>
          <w:sz w:val="20"/>
          <w:szCs w:val="20"/>
          <w:color w:val="auto"/>
        </w:rPr>
      </w:pPr>
    </w:p>
    <w:p>
      <w:pPr>
        <w:ind w:left="540" w:hanging="316"/>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Certain facilities were constructed by the Company on land acquired through ground leases with renewal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660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locations listed above, Matrix has smaller regional locations and temporary office facilities at numerous customer locations throughout the United States and Canada.</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1503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owner of any mines, but as a result of our performing services or construction at mine sites as an independent contractor, we may be considered an "operator" within the meaning of the Mine Act.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annual report under Section 1503(a) of the Dodd-Frank Act and Item 104 of Regulation S-K is included in Exhibit 95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trades on the NASDAQ Global Select Market (“NASDAQ”) under the trading symbol “MTRX”. The following table sets forth the high and low sale prices for our common stock as reported by NASDAQ for the periods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Fiscal Year 2018</w:t>
            </w:r>
          </w:p>
        </w:tc>
        <w:tc>
          <w:tcPr>
            <w:tcW w:w="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Fiscal Year 2017</w:t>
            </w:r>
          </w:p>
        </w:tc>
      </w:tr>
      <w:tr>
        <w:trPr>
          <w:trHeight w:val="264"/>
        </w:trPr>
        <w:tc>
          <w:tcPr>
            <w:tcW w:w="6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2"/>
                <w:szCs w:val="22"/>
                <w:color w:val="auto"/>
              </w:rPr>
            </w:pPr>
          </w:p>
        </w:tc>
        <w:tc>
          <w:tcPr>
            <w:tcW w:w="680" w:type="dxa"/>
            <w:vAlign w:val="bottom"/>
          </w:tcPr>
          <w:p>
            <w:pPr>
              <w:jc w:val="right"/>
              <w:ind w:right="234"/>
              <w:spacing w:after="0"/>
              <w:rPr>
                <w:sz w:val="20"/>
                <w:szCs w:val="20"/>
                <w:color w:val="auto"/>
              </w:rPr>
            </w:pPr>
            <w:r>
              <w:rPr>
                <w:rFonts w:ascii="Arial" w:cs="Arial" w:eastAsia="Arial" w:hAnsi="Arial"/>
                <w:sz w:val="14"/>
                <w:szCs w:val="14"/>
                <w:b w:val="1"/>
                <w:bCs w:val="1"/>
                <w:color w:val="auto"/>
              </w:rPr>
              <w:t>Low</w:t>
            </w: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15.45</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9.05</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19.57</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220" w:type="dxa"/>
            <w:vAlign w:val="bottom"/>
          </w:tcPr>
          <w:p>
            <w:pPr>
              <w:spacing w:after="0"/>
              <w:rPr>
                <w:sz w:val="21"/>
                <w:szCs w:val="21"/>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18.50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12.76</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23.20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16.20</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20.25</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23.45</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220" w:type="dxa"/>
            <w:vAlign w:val="bottom"/>
          </w:tcPr>
          <w:p>
            <w:pPr>
              <w:spacing w:after="0"/>
              <w:rPr>
                <w:sz w:val="21"/>
                <w:szCs w:val="21"/>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19.90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13.15</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17.70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7.80</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Substantially all of our stockholders maintain their shares in "street name" accounts and are not individually stockholders of record. As of July 31, 2018, there were 22 holders of record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never paid cash dividends on our common stock, and the terms of our Credit Agreement (see Item 8. Financial Statements and Supplementary Data, Note 5 - Debt for more information about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Credit Agreement limits the Company's purchases of its equity securities to $30.0 million in any calendar year. The table below sets forth the information with respect to purchases made by the Company of its common stock during the fourth quarter of the fiscal year ended June 30,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Total Number of</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 Number</w:t>
            </w:r>
          </w:p>
        </w:tc>
        <w:tc>
          <w:tcPr>
            <w:tcW w:w="180" w:type="dxa"/>
            <w:vAlign w:val="bottom"/>
          </w:tcPr>
          <w:p>
            <w:pPr>
              <w:spacing w:after="0"/>
              <w:rPr>
                <w:sz w:val="12"/>
                <w:szCs w:val="12"/>
                <w:color w:val="auto"/>
              </w:rPr>
            </w:pPr>
          </w:p>
        </w:tc>
        <w:tc>
          <w:tcPr>
            <w:tcW w:w="15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Average Price</w:t>
            </w:r>
          </w:p>
        </w:tc>
        <w:tc>
          <w:tcPr>
            <w:tcW w:w="1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80" w:type="dxa"/>
            <w:vAlign w:val="bottom"/>
          </w:tcPr>
          <w:p>
            <w:pPr>
              <w:spacing w:after="0"/>
              <w:rPr>
                <w:sz w:val="12"/>
                <w:szCs w:val="12"/>
                <w:color w:val="auto"/>
              </w:rPr>
            </w:pPr>
          </w:p>
        </w:tc>
        <w:tc>
          <w:tcPr>
            <w:tcW w:w="15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Paid</w:t>
            </w:r>
          </w:p>
        </w:tc>
        <w:tc>
          <w:tcPr>
            <w:tcW w:w="1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Purchased</w:t>
            </w:r>
          </w:p>
        </w:tc>
        <w:tc>
          <w:tcPr>
            <w:tcW w:w="180" w:type="dxa"/>
            <w:vAlign w:val="bottom"/>
          </w:tcPr>
          <w:p>
            <w:pPr>
              <w:spacing w:after="0"/>
              <w:rPr>
                <w:sz w:val="16"/>
                <w:szCs w:val="16"/>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Per Share</w:t>
            </w: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or Programs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5"/>
              </w:rPr>
              <w:t>or Programs (C)</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April 1 to April 30, 2018</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Share Repurchase Program </w:t>
            </w:r>
            <w:r>
              <w:rPr>
                <w:rFonts w:ascii="Arial" w:cs="Arial" w:eastAsia="Arial" w:hAnsi="Arial"/>
                <w:sz w:val="25"/>
                <w:szCs w:val="25"/>
                <w:color w:val="auto"/>
                <w:vertAlign w:val="superscript"/>
              </w:rPr>
              <w:t>(A)</w:t>
            </w:r>
          </w:p>
        </w:tc>
        <w:tc>
          <w:tcPr>
            <w:tcW w:w="17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9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1"/>
              <w:spacing w:after="0"/>
              <w:rPr>
                <w:sz w:val="20"/>
                <w:szCs w:val="20"/>
                <w:color w:val="auto"/>
              </w:rPr>
            </w:pPr>
            <w:r>
              <w:rPr>
                <w:rFonts w:ascii="Arial" w:cs="Arial" w:eastAsia="Arial" w:hAnsi="Arial"/>
                <w:sz w:val="18"/>
                <w:szCs w:val="18"/>
                <w:color w:val="auto"/>
              </w:rPr>
              <w:t>1,362,398</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Employee Transactions </w:t>
            </w:r>
            <w:r>
              <w:rPr>
                <w:rFonts w:ascii="Arial" w:cs="Arial" w:eastAsia="Arial" w:hAnsi="Arial"/>
                <w:sz w:val="25"/>
                <w:szCs w:val="25"/>
                <w:color w:val="auto"/>
                <w:vertAlign w:val="superscript"/>
              </w:rPr>
              <w:t>(B)</w:t>
            </w:r>
          </w:p>
        </w:tc>
        <w:tc>
          <w:tcPr>
            <w:tcW w:w="13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39</w:t>
            </w: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15.85</w:t>
            </w:r>
          </w:p>
        </w:tc>
        <w:tc>
          <w:tcPr>
            <w:tcW w:w="34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May 1 to May 31, 2018</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Share Repurchase Program </w:t>
            </w:r>
            <w:r>
              <w:rPr>
                <w:rFonts w:ascii="Arial" w:cs="Arial" w:eastAsia="Arial" w:hAnsi="Arial"/>
                <w:sz w:val="25"/>
                <w:szCs w:val="25"/>
                <w:color w:val="auto"/>
                <w:vertAlign w:val="superscript"/>
              </w:rPr>
              <w:t>(A)</w:t>
            </w:r>
          </w:p>
        </w:tc>
        <w:tc>
          <w:tcPr>
            <w:tcW w:w="17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1,362,398</w:t>
            </w:r>
          </w:p>
        </w:tc>
        <w:tc>
          <w:tcPr>
            <w:tcW w:w="0" w:type="dxa"/>
            <w:vAlign w:val="bottom"/>
          </w:tcPr>
          <w:p>
            <w:pPr>
              <w:spacing w:after="0"/>
              <w:rPr>
                <w:sz w:val="1"/>
                <w:szCs w:val="1"/>
                <w:color w:val="auto"/>
              </w:rPr>
            </w:pPr>
          </w:p>
        </w:tc>
      </w:tr>
      <w:tr>
        <w:trPr>
          <w:trHeight w:val="270"/>
        </w:trPr>
        <w:tc>
          <w:tcPr>
            <w:tcW w:w="42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Employee Transactions </w:t>
            </w:r>
            <w:r>
              <w:rPr>
                <w:rFonts w:ascii="Arial" w:cs="Arial" w:eastAsia="Arial" w:hAnsi="Arial"/>
                <w:sz w:val="25"/>
                <w:szCs w:val="25"/>
                <w:color w:val="auto"/>
                <w:vertAlign w:val="superscript"/>
              </w:rPr>
              <w:t>(B)</w:t>
            </w:r>
          </w:p>
        </w:tc>
        <w:tc>
          <w:tcPr>
            <w:tcW w:w="1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June 1 to June 30, 2018</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Share Repurchase Program </w:t>
            </w:r>
            <w:r>
              <w:rPr>
                <w:rFonts w:ascii="Arial" w:cs="Arial" w:eastAsia="Arial" w:hAnsi="Arial"/>
                <w:sz w:val="25"/>
                <w:szCs w:val="25"/>
                <w:color w:val="auto"/>
                <w:vertAlign w:val="superscript"/>
              </w:rPr>
              <w:t>(A)</w:t>
            </w:r>
          </w:p>
        </w:tc>
        <w:tc>
          <w:tcPr>
            <w:tcW w:w="17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9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1"/>
              <w:spacing w:after="0"/>
              <w:rPr>
                <w:sz w:val="20"/>
                <w:szCs w:val="20"/>
                <w:color w:val="auto"/>
              </w:rPr>
            </w:pPr>
            <w:r>
              <w:rPr>
                <w:rFonts w:ascii="Arial" w:cs="Arial" w:eastAsia="Arial" w:hAnsi="Arial"/>
                <w:sz w:val="18"/>
                <w:szCs w:val="18"/>
                <w:color w:val="auto"/>
              </w:rPr>
              <w:t>1,362,398</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Employee Transactions </w:t>
            </w:r>
            <w:r>
              <w:rPr>
                <w:rFonts w:ascii="Arial" w:cs="Arial" w:eastAsia="Arial" w:hAnsi="Arial"/>
                <w:sz w:val="25"/>
                <w:szCs w:val="25"/>
                <w:color w:val="auto"/>
                <w:vertAlign w:val="superscript"/>
              </w:rPr>
              <w:t>(B)</w:t>
            </w:r>
          </w:p>
        </w:tc>
        <w:tc>
          <w:tcPr>
            <w:tcW w:w="17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40" w:hanging="316"/>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shares purchased under our stock buyback program.</w:t>
      </w:r>
    </w:p>
    <w:p>
      <w:pPr>
        <w:spacing w:after="0" w:line="13" w:lineRule="exact"/>
        <w:rPr>
          <w:rFonts w:ascii="Arial" w:cs="Arial" w:eastAsia="Arial" w:hAnsi="Arial"/>
          <w:sz w:val="14"/>
          <w:szCs w:val="14"/>
          <w:color w:val="auto"/>
        </w:rPr>
      </w:pPr>
    </w:p>
    <w:p>
      <w:pPr>
        <w:ind w:left="540" w:hanging="316"/>
        <w:spacing w:after="0"/>
        <w:tabs>
          <w:tab w:leader="none" w:pos="5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shares withheld to satisfy the employee’s tax withholding obligation that is incurred upon the vesting of deferred shares granted under the Company’s stock incentive plans.</w:t>
      </w:r>
    </w:p>
    <w:p>
      <w:pPr>
        <w:spacing w:after="0" w:line="12" w:lineRule="exact"/>
        <w:rPr>
          <w:rFonts w:ascii="Arial" w:cs="Arial" w:eastAsia="Arial" w:hAnsi="Arial"/>
          <w:sz w:val="13"/>
          <w:szCs w:val="13"/>
          <w:color w:val="auto"/>
        </w:rPr>
      </w:pPr>
    </w:p>
    <w:p>
      <w:pPr>
        <w:ind w:left="540" w:right="20" w:hanging="316"/>
        <w:spacing w:after="0" w:line="268" w:lineRule="auto"/>
        <w:tabs>
          <w:tab w:leader="none" w:pos="5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On December 12, 2016, the Board of Directors approved a new stock buyback program (the "December 2016 Program"). Under the December 2016 Program, the Company may repurchase common stock of the Company in any calendar year commencing with calendar year 2016 and continuing through calendar year 2018, up to a maximum of $25.0 million per calendar year. The Company may repurchase its stock from time to time in the open market at prevailing market prices or in privately negotiated transactions. The December 2016 Program will continue through December 31, 2018 unless and until revoked by the Board of Directors. The amount shown as the maximum number of shares that may yet be purchased was calculated using the closing price of our stock on the last trading day of the fiscal period and the cumulative limit of $25.0 million remaining under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-739775</wp:posOffset>
            </wp:positionV>
            <wp:extent cx="660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percentages and per share data)</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Fiscal Years Ended</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2"/>
        </w:trPr>
        <w:tc>
          <w:tcPr>
            <w:tcW w:w="3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3"/>
                <w:szCs w:val="13"/>
                <w:color w:val="auto"/>
              </w:rPr>
            </w:pPr>
          </w:p>
        </w:tc>
        <w:tc>
          <w:tcPr>
            <w:tcW w:w="12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3"/>
                <w:szCs w:val="13"/>
                <w:color w:val="auto"/>
              </w:rPr>
            </w:pPr>
          </w:p>
        </w:tc>
        <w:tc>
          <w:tcPr>
            <w:tcW w:w="12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3"/>
                <w:szCs w:val="13"/>
                <w:color w:val="auto"/>
              </w:rPr>
            </w:pPr>
          </w:p>
        </w:tc>
        <w:tc>
          <w:tcPr>
            <w:tcW w:w="12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2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37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1,091,553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1,197,509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1,311,917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1,343,135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1,263,089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999,617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1,116,506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1,185,926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1,255,765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1,126,616</w:t>
            </w:r>
          </w:p>
        </w:tc>
        <w:tc>
          <w:tcPr>
            <w:tcW w:w="10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91,936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81,003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125,991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87,370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136,473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84,417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76,144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85,109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78,568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77,866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Selling, general and administrative %</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(10,479)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4,859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40,882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8,802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58,607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Operating income (loss) %</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(11,480)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25,537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36,877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9"/>
        </w:trPr>
        <w:tc>
          <w:tcPr>
            <w:tcW w:w="3740" w:type="dxa"/>
            <w:vAlign w:val="bottom"/>
          </w:tcPr>
          <w:p>
            <w:pPr>
              <w:ind w:left="40"/>
              <w:spacing w:after="0"/>
              <w:rPr>
                <w:sz w:val="20"/>
                <w:szCs w:val="20"/>
                <w:color w:val="auto"/>
              </w:rPr>
            </w:pPr>
            <w:r>
              <w:rPr>
                <w:rFonts w:ascii="Arial" w:cs="Arial" w:eastAsia="Arial" w:hAnsi="Arial"/>
                <w:sz w:val="18"/>
                <w:szCs w:val="18"/>
                <w:color w:val="auto"/>
                <w:w w:val="99"/>
              </w:rPr>
              <w:t>Net income (loss) attributable to noncontrolling</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40" w:type="dxa"/>
            <w:vAlign w:val="bottom"/>
          </w:tcPr>
          <w:p>
            <w:pPr>
              <w:ind w:left="40"/>
              <w:spacing w:after="0"/>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(19,055)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Net income (loss) attributable to Matrix Service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(11,480)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28,863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17,157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35,810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Earnings (loss) per share-basic</w:t>
            </w:r>
          </w:p>
        </w:tc>
        <w:tc>
          <w:tcPr>
            <w:tcW w:w="30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share-diluted</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0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118,581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139,654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129,416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114,209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105,687</w:t>
            </w:r>
          </w:p>
        </w:tc>
        <w:tc>
          <w:tcPr>
            <w:tcW w:w="10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558,033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586,030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564,967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561,689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568,932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44,682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8,804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11,621</w:t>
            </w:r>
          </w:p>
        </w:tc>
        <w:tc>
          <w:tcPr>
            <w:tcW w:w="10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8,711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11,908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13,939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15,773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23,589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Cash flows provided (used) by operations</w:t>
            </w:r>
          </w:p>
        </w:tc>
        <w:tc>
          <w:tcPr>
            <w:tcW w:w="30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74,671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(18,746)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33,587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26,240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76,988</w:t>
            </w:r>
          </w:p>
        </w:tc>
        <w:tc>
          <w:tcPr>
            <w:tcW w:w="10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Backlog</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1,218,596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682,273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868,672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1,420,598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915,826</w:t>
            </w:r>
          </w:p>
        </w:tc>
        <w:tc>
          <w:tcPr>
            <w:tcW w:w="100" w:type="dxa"/>
            <w:vAlign w:val="bottom"/>
            <w:shd w:val="clear" w:color="auto" w:fill="CCEEFF"/>
          </w:tcPr>
          <w:p>
            <w:pPr>
              <w:spacing w:after="0"/>
              <w:rPr>
                <w:sz w:val="21"/>
                <w:szCs w:val="21"/>
                <w:color w:val="auto"/>
              </w:rPr>
            </w:pPr>
          </w:p>
        </w:tc>
      </w:tr>
      <w:tr>
        <w:trPr>
          <w:trHeight w:val="27"/>
        </w:trPr>
        <w:tc>
          <w:tcPr>
            <w:tcW w:w="3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left="540" w:hanging="316"/>
        <w:spacing w:after="0" w:line="273" w:lineRule="auto"/>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See Item 8. Financial Statements and Supplementary Data, Note - 4 Goodwill and Other Intangible Assets for a discussion of intangible asset impairment charges totaling $18.0 million included in the Company's fiscal 2018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975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58" w:lineRule="exact"/>
        <w:rPr>
          <w:sz w:val="20"/>
          <w:szCs w:val="20"/>
          <w:color w:val="auto"/>
        </w:rPr>
      </w:pPr>
    </w:p>
    <w:p>
      <w:pPr>
        <w:jc w:val="both"/>
        <w:ind w:left="60"/>
        <w:spacing w:after="0" w:line="286" w:lineRule="auto"/>
        <w:rPr>
          <w:sz w:val="20"/>
          <w:szCs w:val="20"/>
          <w:color w:val="auto"/>
        </w:rPr>
      </w:pPr>
      <w:r>
        <w:rPr>
          <w:rFonts w:ascii="Arial" w:cs="Arial" w:eastAsia="Arial" w:hAnsi="Arial"/>
          <w:sz w:val="17"/>
          <w:szCs w:val="17"/>
          <w:color w:val="090909"/>
        </w:rPr>
        <w:t>Refer to the Results of Operations section included in Part II, Item 7 of this Annual Report on Form 10-K for a discussion of the impacts of business combinations and contract charges that materially impacted the comparability of information in the Selected Financial Data table above, particularly for the fiscal year ended 2018 in comparison to the fiscal year ended 2017, and the fiscal year ended 2017 in comparison to the fiscal year ended 2016.</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Management’s discussion and analysis of our financial condition and results of operations is based on our consolidated financial statements, which have been prepared in accordance with accounting principles generally accepted in the United States (“GAAP”). GAAP represents a comprehensive set of accounting and disclosure rules and requirements, the application of which requires management judgments and estimates including, in certain circumstances, choices between acceptable GAAP alternatives. The preparation of these consolidated financial statements requires management to make estimates and assumptions that affect the reported amounts of assets and liabilities and disclosure of contingent assets and liabilities, if any, at the date of the financial statements, and the reported amounts of revenues and expenses during the reporting period. We base our estimates on historical experience and various other assumptions that are believed to be reasonable under the circumstances. Actual results could differ from these estimates under different assumptions or conditions. Note 1-Summary of Significant Accounting Policies of the Notes to Consolidated Financial Statements included in Part II, Item 8 - Financial Statements and Supplementary Data in this Annual Report on Form 10-K, contains a comprehensive summary of our significant accounting policies. The following is a discussion of our most critical accounting policies, estimates, judgments and uncertainties that are inherent in our application of GAAP.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Matrix records revenue on fixed-price contracts on a percentage-of-completion basis, primarily based on costs incurred to date compared to the total estimated cost. The Company records revenue on cost-plus and time-and-material contracts on a proportional performance basis as costs are incurred. Contracts in process are valued at cost plus accrued profits less billings on uncompleted contracts. Contracts are generally considered substantially complete when field construction is completed. The elapsed time from award of a contract to completion of performance may be in excess of one year. Matrix includes pass-through revenue and costs on cost-plus contracts, which are customer-reimbursable materials, equipment and subcontractor costs, when Matrix determines that it is responsible for the procurement and management of such cost components.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Matrix has numerous contracts that are in various stages of completion, which require estimates to determine the appropriate cost and revenue recognition. The Company has a history of making reasonably dependable estimates of the extent of progress towards completion, contract revenues and contract costs, and accordingly, does not believe significant fluctuations are likely to materialize. However, current estimates may be revised as additional information becomes available. If estimates of costs to complete fixed-price contracts indicate a loss, a provision is made through a contract write-down for the total loss anticipated. A number of our contracts contain various cost and performance incentives and penalties that impact the earnings we realize from our contracts. Adjustments related to these incentives and penalties are recorded in the period on a percentage of completion basis when estimable and probable.</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Indirect costs, such as salaries and benefits, supplies and tools, equipment costs and insurance costs, are charged to projects based upon direct labor hours and overhead allocation rates per direct labor hour or a percentage of cost incurred. Warranty costs are normally incurred prior to project completion and are charged to project costs as they are incurred. Warranty costs incurred subsequent to project completion were not material for the periods presented. Overhead allocation rates are established annually during the budgeting process and evaluated for accuracy throughout the year based upon actual direct labor hours and actual costs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Orders and Claims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Change orders are modifications of an original contract that effectively change the existing provisions of the contract. Change orders may include changes in specifications or designs, manner of performance, facilities, equipment, materials, sites and period of completion of the work. Matrix or our clients may initiate change orders. The client's agreement to the terms of change orders is, in many cases, reached prior to work commencing; however, sometimes circumstances require that work progress prior to obtaining client agreement. Costs related to change orders are recognized as incurred. Revenues attributable to change orders that are unapproved as to price or scope are recognized to the extent that costs have been incurred if the amounts can be reliably estimated and their realization is probable. Revenues in excess of the costs attributable to change orders that are unapproved as to price or scope are recognized only when realization is assured beyond a reasonable doubt. Change orders that are unapproved as to both price and scope are evaluated as claims.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Claims are amounts in excess of the agreed contract price that we seek to collect from customers or others for delays, errors in specifications and designs, contract terminations, change orders in dispute or unapproved as to both scope and price or other causes of anticipated additional costs incurred by us. Recognition of amounts as additional contract revenue related to claims is appropriate only if it is probable that the claims will result in additional contract revenue and if the amount can be reliably estimated. We must determine if:</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is a legal basis for the claim;</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additional costs were caused by circumstances that were unforeseen by the Company and are not the result of deficiencies in our performance;</w:t>
      </w:r>
    </w:p>
    <w:p>
      <w:pPr>
        <w:spacing w:after="0" w:line="194" w:lineRule="exact"/>
        <w:rPr>
          <w:rFonts w:ascii="Arial" w:cs="Arial" w:eastAsia="Arial" w:hAnsi="Arial"/>
          <w:sz w:val="16"/>
          <w:szCs w:val="16"/>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are identifiable or determinable and are reasonable in view of the work performed;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evidence supporting the claim is objective and verifiable.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all of the these requirements are met, revenue from a claim is recorded only to the extent that we have incurred costs relating to the claim.</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2018 and June 30, 2017, costs and estimated earnings in excess of billings on uncompleted contracts included revenues for unapproved change orders and claims of $15.0 million and $11.0 million, respectively. Historically, our collections for unapproved change orders and claims have approximated the amount of revenue recognized.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Contingencies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Various legal actions, claims, and other contingencies arise in the normal course of our business. Contingencies are recorded in the consolidated financial statements, or are otherwise disclosed, in accordance with Accounting Standard Codification ("ASC") Topic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Legal costs are expensed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 which is a level below our reportable segments.</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perform our annual test during the fourth quarter of each fiscal year and in any other period in which indicators of impairment warrant additional tests.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performed our annual goodwill impairment test as of May 31, 2018. The test indicated that the carrying amount of our Electrical Infrastructure reporting unit exceeded its estimated fair value, resulting in an impairment to goodwill of $17.3 million. The impairment was triggered by lower financial projections as a result of the Company's decision to shift its strategy away from EPC power generation projects to smaller, individual packages that better fit the Company's strategy and risk profile, and the recent trend of sluggish maintenance and capital spending by some key clients in our Northeast and Mid-Atlantic high voltage markets.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carrying values of our reporting units to our market capitalization.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consider the amount of headroom for each reporting unit when determining whether an impairment existed. We define "headroom" as the percentage difference between the fair value of a reporting unit and its carrying value. The amount of headroom varies by reporting unit. Our significant assumptions, including revenue growth rates, gross margins, discount rate and other factors may change in light of changes in the economic and competitive environment in which we operate. Assuming that all other components of our fair value estimate remain unchanged, a change in the following assumptions would have the following effect on headroom:</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Sensitivity Analysis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9"/>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Decline of 100 Basis</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Decline of 100 Basis</w:t>
            </w:r>
          </w:p>
        </w:tc>
        <w:tc>
          <w:tcPr>
            <w:tcW w:w="1700" w:type="dxa"/>
            <w:vAlign w:val="bottom"/>
          </w:tcPr>
          <w:p>
            <w:pPr>
              <w:spacing w:after="0"/>
              <w:rPr>
                <w:sz w:val="18"/>
                <w:szCs w:val="18"/>
                <w:color w:val="auto"/>
              </w:rPr>
            </w:pPr>
          </w:p>
        </w:tc>
      </w:tr>
      <w:tr>
        <w:trPr>
          <w:trHeight w:val="203"/>
        </w:trPr>
        <w:tc>
          <w:tcPr>
            <w:tcW w:w="2420" w:type="dxa"/>
            <w:vAlign w:val="bottom"/>
          </w:tcPr>
          <w:p>
            <w:pPr>
              <w:spacing w:after="0"/>
              <w:rPr>
                <w:sz w:val="17"/>
                <w:szCs w:val="17"/>
                <w:color w:val="auto"/>
              </w:rPr>
            </w:pPr>
          </w:p>
        </w:tc>
        <w:tc>
          <w:tcPr>
            <w:tcW w:w="18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Goodwill as of June 30,</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Points in Revenue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Points in Gross Margin</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Increase of 100 Basis</w:t>
            </w:r>
          </w:p>
        </w:tc>
      </w:tr>
      <w:tr>
        <w:trPr>
          <w:trHeight w:val="210"/>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2018 (in thousands)</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Headroom</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Growth Rate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Percentage</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Points in Discount Rate</w:t>
            </w:r>
          </w:p>
        </w:tc>
      </w:tr>
      <w:tr>
        <w:trPr>
          <w:trHeight w:val="33"/>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24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Reporting Unit 1</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24,900</w:t>
            </w:r>
          </w:p>
        </w:tc>
        <w:tc>
          <w:tcPr>
            <w:tcW w:w="120" w:type="dxa"/>
            <w:vAlign w:val="bottom"/>
            <w:shd w:val="clear" w:color="auto" w:fill="CCEEFF"/>
          </w:tcPr>
          <w:p>
            <w:pPr>
              <w:spacing w:after="0"/>
              <w:rPr>
                <w:sz w:val="22"/>
                <w:szCs w:val="22"/>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-19%</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Reporting Unit 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7,980</w:t>
            </w:r>
          </w:p>
        </w:tc>
        <w:tc>
          <w:tcPr>
            <w:tcW w:w="1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11%</w:t>
            </w:r>
          </w:p>
        </w:tc>
        <w:tc>
          <w:tcPr>
            <w:tcW w:w="10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4%</w:t>
            </w: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Reporting Unit 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6,112</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21%</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All other reporting units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57,170</w:t>
            </w:r>
          </w:p>
        </w:tc>
        <w:tc>
          <w:tcPr>
            <w:tcW w:w="120" w:type="dxa"/>
            <w:vAlign w:val="bottom"/>
          </w:tcPr>
          <w:p>
            <w:pPr>
              <w:spacing w:after="0"/>
              <w:rPr>
                <w:sz w:val="21"/>
                <w:szCs w:val="21"/>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17% to 292%</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11% to 277%</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 to 233%</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6% to 254%</w:t>
            </w:r>
          </w:p>
        </w:tc>
      </w:tr>
    </w:tbl>
    <w:p>
      <w:pPr>
        <w:spacing w:after="0" w:line="319" w:lineRule="exact"/>
        <w:rPr>
          <w:sz w:val="20"/>
          <w:szCs w:val="20"/>
          <w:color w:val="auto"/>
        </w:rPr>
      </w:pPr>
    </w:p>
    <w:p>
      <w:pPr>
        <w:jc w:val="both"/>
        <w:ind w:left="540" w:hanging="316"/>
        <w:spacing w:after="0" w:line="257" w:lineRule="auto"/>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recorded a $17.3 million impairment to this reporting unit, which is described fully in the paragraphs above. As a result, the cushion for this reporting unit is zero since the impairment was the amount by which the carrying amount of the reporting unit exceeded its fair value. Accordingly, an adverse change in one or more of the key assumptions could result in an additional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975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15"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If our market view of project opportunities or gross margins changes for any of the reporting units, we may need to perform an interim impairment analysis, which could result in a material impairment of goodwill. The Company will continue to monitor the operating results of its reporting units each period and perform additional tests as needed.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Revenue from Contracts with Customers (Topic 606)</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ASC. The ASU is effective for annual reporting periods beginning after December 15, 2017, including interim reporting periods within that reporting period.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adopted this standard on July 1, 2018 using the modified retrospective method of application. Under the modified retrospective method, revenue recognized on completed contracts is not restated, however contracts in progress are accounted for as if they were under the new standard at inception. Any difference between historical revenue and revenue under the new standard is recorded as a cumulative effect adjustment to retained earnings as of the date of adoption. The Company has completed the analysis of its contracts in progress and noted that the modified retrospective adjustment was immaterial. The Company does not expect the new standard to have a material impact to its financial statements going forward.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2016-02, Leases (Topic 842) and Accounting Standards Update No. 2018-11, Leases (Topic 842)</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25, 2016, the FASB issued ASU 2016-02. The amendments in this update require, among other things, that lessees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Prior to the issuance of ASU 2018-11, lessees and lessors must apply a modified retrospective transition approach for leases existing at, or entered into after, the beginning of the earliest comparative period presented in the financial statements. The amendments in ASU 2018-11 provide, among other things, an additional (and optional) transition method to adopt the new leases standard. Under this new transition method, the Company may apply the new leases standard at the adoption date and recognize a cumulative-effect adjustment to the opening balance of retained earnings in the period of adoption rather than having to apply the new standard to the earliest comparative period presented in the financial statements.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Both amendments are effective for fiscal years beginning after December 15, 2018, including interim periods within those fiscal years. Early adoption of the amendments is permitted, but we do not plan to do so at this time.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currently evaluating the amendments' expected impact on our financial statements. As of June 30, 2018 the Company had $33.1 million of future minimum lease payments under non-cancelable operating leases, primarily for facilities. See Note 8 - Operating Leases of Item 8. Financial Statements and Supplementary Data for more information about the timing and amount of future operating lease payments, which we believe is indicative of the materiality of adoption of these amendments to our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will change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amendments in this update broaden the information the Company may consider in developing its expected credit loss estimate to include forecasted information. The amendments in this update are effective for the Company on July 1, 2020 and the Company may early adopt on July 1, 2019.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2017-09, Compensation-Stock Compensation (Topic 718): Scope of Modification Accounting</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May 2017, the FASB issued ASU 2017-09 which clarifies when changes to the terms or conditions of a share-based payment award must be accounted for as a modification. Entities should apply the modification accounting guidance if the value, vesting conditions or classification of the award changes. ASU 2017-09 is effective for interim and annual reporting periods beginning after December 15, 2017. Early adoption is permitted and prospective application is required. The adoption of ASU 2017-09 did not have a material impact on our financial position, results of operations or cash flows.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consists of high voltage services provided to investor owned utilities, including construction of new substations, upgrades of existing substations, short-run transmission line installations, distribution upgrades and maintenance, as well as emergency and storm restoration services. We also provide construction and maintenance services to a variety of power generation facilities, such as combined cycle plants, and natural gas fired power stations.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 Gas &amp; Chemical segment serves customers primarily in the downstream and midstream petroleum industries who are engaged in refining crude oil and processing, fractionating, and marketing of natural gas and natural gas liquids. We also perform work in the petrochemical, upstream petroleum, and sulfur extraction, recovery and processing markets. Our services include turnarounds, plant maintenance, engineering and capital construction. We also offer industrial cleaning services including hydro-blasting, hydro-excavating, advanced chemical cleaning and vacuum services.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Storage Solutions segment consists of work related to aboveground storage tanks and terminals. Also included in this segment are cryogenic and other specialty storage tanks and terminals including liquefied natural gas, liquid nitrogen/liquid oxygen, liquid petroleum, other specialty vessels such as spheres as well as marine structures and truck and rail loading/offloading facilities. Our services include engineering, fabrication and construction, maintenance and repair, which includes planned and emergency services of both tanks and full terminals. Finally, we offer AST products, including geodesic domes, aluminum internal floating roofs, floating suction and skimmer systems, roof drain systems and floating roof seals.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Industrial segment consists of work for integrated iron and steel companies, major mining and minerals companies engaged primarily in the extraction of copper, as well as other companies in aerospace and defense, cement, agriculture and grain, food and other industries. Our services include engineering, fabrication and construction, maintenance and repair, which includes planned and emergency services. We also design instrumentation and control systems and offer specialized expertise in the design and construction of bulk material handling systems.</w:t>
      </w:r>
    </w:p>
    <w:p>
      <w:pPr>
        <w:spacing w:after="0" w:line="13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majority of the work for all segments is performed in the United States, with 10.1% of revenues generated internationally during fiscal 2018, 19.7% in fiscal 2017 and 14.0% in fiscal 2016. The percentage of revenues generated internationally decreased in fiscal 2018 compared to fiscal 2017 due to the completion of a significant Canadian power generation project in our Electrical Infrastructure segment in fiscal 2018.</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Significant period to period changes in revenues, gross profits and operating results are discussed below on a consolidated basis and for each segment: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Electrical</w:t>
            </w: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Oil Gas &amp;</w:t>
            </w: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Storage</w:t>
            </w:r>
          </w:p>
        </w:tc>
        <w:tc>
          <w:tcPr>
            <w:tcW w:w="240" w:type="dxa"/>
            <w:vAlign w:val="bottom"/>
          </w:tcPr>
          <w:p>
            <w:pPr>
              <w:spacing w:after="0"/>
              <w:rPr>
                <w:sz w:val="14"/>
                <w:szCs w:val="14"/>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116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Infrastructure</w:t>
            </w:r>
          </w:p>
        </w:tc>
        <w:tc>
          <w:tcPr>
            <w:tcW w:w="22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Chemical</w:t>
            </w:r>
          </w:p>
        </w:tc>
        <w:tc>
          <w:tcPr>
            <w:tcW w:w="26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Solutions</w:t>
            </w: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2018</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Consolidated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255,931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322,772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314,696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198,154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1,091,553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18,300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33,423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25,778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14,435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91,936</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Gross profit %</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17,550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23,908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31,685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11,274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84,417</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(16,531)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8,798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(5,907)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3,161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(10,479)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 %</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Fiscal Year 2017</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373,384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240,523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481,696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101,906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1,197,509</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7,137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12,675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55,651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5,540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81,003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15,446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21,458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32,723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6,517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76,144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(8,309)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(8,783)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22,928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4,859</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Operating income (loss) %</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2016</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Consolidated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349,011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249,795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563,512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149,599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1,311,917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29,301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18,553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67,843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10,294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125,991</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Gross profit %</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18,157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22,056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34,394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10,502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85,109</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11,144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(3,503)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33,449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40,882</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 %</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5"/>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Variances Fiscal Year 2018 to Fiscal Year 2017</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Increase/(Decrease)</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(117,453)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82,249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(167,000)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96,248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(105,956)</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11,163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20,748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(29,873)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8,895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10,933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2,450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4,757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8,273</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(8,222)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17,581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(28,835)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4,138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(15,338)</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Variances Fiscal Year 2017 to Fiscal Year 2016</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Increase/(Decrease)</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Consolidated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24,373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(9,272)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(81,816)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(47,693)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(114,408)</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(22,164)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(5,878)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(12,192)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(44,988)</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(2,711)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(3,985)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(8,965)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(19,453)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(5,280)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(10,521)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(36,023)</w:t>
            </w:r>
          </w:p>
        </w:tc>
        <w:tc>
          <w:tcPr>
            <w:tcW w:w="0" w:type="dxa"/>
            <w:vAlign w:val="bottom"/>
          </w:tcPr>
          <w:p>
            <w:pPr>
              <w:spacing w:after="0"/>
              <w:rPr>
                <w:sz w:val="1"/>
                <w:szCs w:val="1"/>
                <w:color w:val="auto"/>
              </w:rPr>
            </w:pPr>
          </w:p>
        </w:tc>
      </w:tr>
      <w:tr>
        <w:trPr>
          <w:trHeight w:val="27"/>
        </w:trPr>
        <w:tc>
          <w:tcPr>
            <w:tcW w:w="4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Versus Fiscal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Consolidated revenue was $1.092 billion for the fiscal year ended June 30, 2018, compared to $1.198 billion in fiscal 2017. On a segment basis, consolidated revenue decreased in the Storage Solutions and Electrical Infrastructure segments by $167.0 million and $117.5 million, respectively. These decreases were partially offset by increases in consolidated revenue for the Industrial and Oil Gas &amp; Chemical segments of $96.3 million and $82.3 million, respectively.</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gross profit was $91.9 million in fiscal 2018 compared to $81.0 million in fiscal 2017. Gross margin increased to 8.4% in fiscal 2018 compared to 6.8% in fiscal 2017. The increase in gross margin in fiscal 2018 is primarily attributable to the financial impact of a large power generation project in the Electrical Infrastructure segment in fiscal 2017 and better recovery of overhead costs in fiscal 2018.</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SG&amp;A expenses were $84.4 million in fiscal 2018 compared to $76.1 million in fiscal 2017. The increase in fiscal 2018 is primarily attributable to overhead associated with a mid-year fiscal 2017 acquisition (see Note 2 - Acquisitions, Item 8. Financial Statements and Supplementary Data) that expanded the Company's engineering business, as well as higher project pursuit costs.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performed our annual goodwill impairment test as of May 31, 2018. The test indicated that the carrying amount of our Electrical Infrastructure reporting unit exceeded its estimated fair value, resulting in an impairment to goodwill of $17.3 million. The impairment was triggered by lower financial projections as a result of the Company's decision to shift its strategy away from EPC power generation projects to smaller, individual packages that better fit the Company's strategy and risk profile, and the recent trend of sluggish maintenance and capital spending by some key clients in our Northeast and Mid-Atlantic high voltage markets. We also recorded an impairment of $0.7 million associated with the customer relationships of a previous acquisition. This impairment was recorded in the Oil Gas &amp; Chemical segment.</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expense was $2.2 million in fiscal 2018 and $2.1 million in fiscal 2017. Interest expense in both fiscal years is primarily attributable to borrowings used to fund a mid-year fiscal 2017 acquisition, borrowings used to fund working capital requirements for a major project in the Electrical Infrastructure segment, and an increase in the unused senior secured revolving credit facility fee. The Company repaid all of its outstanding debt under its senior secured revolving credit facility in the fourth quarter of fiscal 2018.</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a result of the Tax Cuts and Jobs Act and its transitional application to our June 30 fiscal year end, we expected our effective income tax rate to be approximately 32.0% during fiscal 2018. Our effective tax rate for fiscal 2018 was 5.5% compared to 94.4% in fiscal 2017. The rate for fiscal 2018 was negatively impacted by the impairment of $8.3 million of non-deductible goodwill and by a $0.8 million valuation allowance recorded on a deferred tax asset in connection with stock-based compensation. The fiscal 2017 tax rate was negatively impacted, in part, by the Electrical Infrastructure project discussed above. The loss on this project produced a tax benefit in Canada, which had a lower tax rate than the U.S. during fiscal 2017. At the same time, the Company earned most of its taxable income domestically, which was taxed at a higher rate. A full analysis of the Company's provision for income taxes is included in Item 8. Financial Statements and Supplementary Data, Note 6 - Income Taxes. In fiscal 2019, we expect our effective income tax rate to decrease to 27.0%.</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2018, the Company had a net loss of $11.5 million, or $0.43 per fully diluted share, compared to a net loss of $0.2 million, or $0.01 per fully diluted share, in fiscal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Electrical Infrastructure segment decreased $117.5 million to $255.9 million in fiscal 2018 compared to $373.4 million in fiscal 2017. The decrease is due to the expected reduction in power generation revenue in connection with our strategic decision to exit full EPC power generation work and a reduction in high voltage revenue. The segment gross margin of 7.2% in fiscal 2018 was impacted by under recovery of construction overhead costs, lower than expected direct margins and increased competition. The fiscal 2017 segment gross margin was 1.9%, which was primarily attributable to the financial impact of an increased cost estimate on the power generating facility project mentioned above that was caused by various factors that delayed schedule progress and reduced productivity.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Oil Gas &amp; Chemical segment was $322.8 million in fiscal 2018 compared to $240.5 million in the same period a year earlier. The increase of $82.3 million is primarily attributable to higher turnaround and maintenance and construction volumes. The segment gross margin was 10.4% in fiscal 2018 compared to 5.3% in the same period last year. The segment gross margin for fiscal 2018 was positively impacted by strong project execution and improved recovery of construction overhead costs. Fiscal 2017 gross margin was negatively impacted by project execution and lower volume which led to higher under recovery of construction overhead costs.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Storage Solutions segment was $314.7 million in fiscal 2018 compared to $481.7 million in fiscal 2017, a decrease of $167.0 million. The decrease in segment revenue is primarily the result of delays in project awards during fiscal 2017 and the first half of fiscal 2018, which prevented the Company from replacing higher revenue generated in fiscal 2017 in connection with work on the construction of a significant crude gathering terminals project. The segment gross margin was 8.2% in fiscal 2018 and 11.6% in fiscal 2017. The fiscal 2018 segment gross margin was negatively impacted by lower direct margins and under recovery of construction overhead costs. The fiscal 2017 segment gross margin was supported by strong project execution, partially offset by under recovery of construction overhead costs.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Industrial segment was $198.2 million in fiscal 2018 compared to $101.9 million in fiscal 2017, an increase of $96.3 million. The increase in revenue is primarily attributable to higher business volumes in the iron and steel industry. The segment gross margin was 7.3% in fiscal 2018 compared to 5.4% in fiscal 2017. The fiscal 2018 segment gross margin was positively impacted by higher volumes, which led to improved recovery of construction overhead costs, and a favorable project closeout. The fiscal 2017 segment gross margin was negatively impacted by lower than anticipated volumes, which led to under recovery of construction overhead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Versus Fiscal 2016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1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Consolidated revenue was $1.198 billion in fiscal 2017, a decrease of $114.4 million, or 8.7% from consolidated revenue of $1.312 billion in fiscal 2016. On a segment basis, consolidated revenue decreased in the Storage Solutions, Industrial and Oil Gas &amp; Chemical segments by $81.8 million, $47.7 million, and $9.3 million, respectively, which were partially offset by higher revenue in the Electrical Infrastructure segment of $24.4 million.</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gross profit was $81.0 million in fiscal 2017 compared to $126.0 million in fiscal 2016. Gross margin decreased to 6.8% in fiscal 2017 compared to 9.6% in fiscal 2016. The reduction in gross margin in fiscal 2017 is primarily attributable to lower volumes, which led to increased under recovery of construction overhead costs, and the financial impact of an Electrical Infrastructure project (more fully discussed in Item 8. Financial Statements and Supplementary Data, Note 3 - Uncompleted Contracts).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SG&amp;A expenses were $76.1 million in fiscal 2017 compared to $85.1 million in the prior year. The decrease is primarily related to lower incentive compensation expense in fiscal 2017 and a bad debt charge of $5.2 million from a client bankruptcy in fiscal 2016. Fiscal 2017 SG&amp;A expense included $1.1 million of acquisition and integration costs from the Houston Interests acquisition and fiscal 2016 SG&amp;A expense included $1.2 million of acquisition and integration costs from the Baillie Tank Equipment acquisition (See Item 8. Financial Statements and Supplementary Data, Note 2 - Acquisitions and Disposals).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expense was $2.1 million in fiscal 2017, and $0.7 million in the prior year. The higher interest expense in fiscal 2017 is primarily attributable to the higher average debt balance in fiscal 2017, which is largely attributable to the borrowings used to fund the Houston Interests acquisition, which was completed in the second quarter of fiscal 2017, and borrowings due to the timing of collections and disbursements on the previously announced Electrical Infrastructure project.</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effective tax rate for fiscal 2017 was 94.4% compared to 35.6% in the same period a year earlier. Our effective tax rate for fiscal 2017 was impacted, in part, by the Electrical Infrastructure project discussed above. The loss on this project produced a tax benefit in Canada, which had a lower tax rate than the U.S. At the same time, the Company earned most of its taxable income domestically, which was taxed at a much higher rate. A full analysis of the Company's provision for income taxes is included in Item 8. Financial Statements and Supplementary Data, Note 6 - Income Taxes.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loss attributable to Matrix Service Company and the related fully diluted loss per share were $0.2 million and $0.01, respectively, in fiscal 2017 compared to net income and fully diluted earnings per share of $28.9 million and $1.07, respectively, in fiscal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Electrical Infrastructure segment increased $24.4 million to $373.4 million in fiscal 2017 compared to $349.0 million in fiscal 2016. The increase in revenue was primarily a result of higher volumes on a significant power generation project, partially offset by lower volumes in transmission and distribution work. The fiscal 2017 gross margin was 1.9% compared to 8.4% in fiscal 2016. The lower fiscal 2017 gross margin was primarily attributable to the financial impact of the project referenced in the discussion of consolidated results above (more fully discussed in Item 8. Financial Statements and Supplementary Data, Note 3 - Uncompleted Contracts). Fiscal 2016 gross margin was negatively impacted by charges recorded in connection with an acquired EPC joint venture project.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for the Oil Gas &amp; Chemical segment was $240.5 million in fiscal 2017 compared to $249.8 million in fiscal 2016. The decrease in revenue is related to lower volume across the business as refiners continue to limit spending as the result of continued volatility in commodity prices and market uncertainty, partially offset by incremental revenues associated with Houston Interests, which was acquired in December 2016 (See Item 8. Financial Statements and Supplementary Data, Note 2 - Acquisitions). The gross margin was 5.3% in fiscal 2017 compared to 7.4% in fiscal 2016. The gross margin for fiscal 2017 was affected by lower volume, which led to increased under recovery of overhead costs.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Revenue for the Storage Solutions segment was $481.7 million in fiscal 2017 compared to $563.5 million in the prior year. The decrease is primarily attributable to reduced activity during the second half of fiscal 2017 in connection with work on the construction of a significant crude gathering terminals project and lower volumes in our domestic storage business. Gross margin was 11.6% in fiscal 2017 as a result of strong project execution, partially offset by increased under recovery of overhead costs due to lower volumes. Gross margin in fiscal 2016 was 12.0% as a result of effective project execution.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Industrial segment was $101.9 million in fiscal 2017 compared to $149.6 million in fiscal 2016. The decline in revenue is primarily attributable to lower business volumes in the iron and steel and mining markets as a result of depressed commodity prices, and lower revenue recognized on a large fertilizer project. The gross margin was 5.4% in fiscal 2017 compared to 6.9% in the prior year. The fiscal 2017 gross margin was negatively impacted by the under recovery of construction overhead costs due to reduced volume.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decline in crude oil prices beginning in late 2014 caused a period of uncertainty in the energy industry. Although the price of West Texas Intermediate Crude Oil has increased significantly during fiscal 2018, the level uncertainty that existed prior to fiscal 2018 resulted in the delay of significant project awards during the fiscal years prior to fiscal 2018. These delays in project awards negatively impacted our operating results in fiscal 2018, particularly in the Storage Solutions segment. However, with the increasing price of crude oil, we have seen some significant near-term positive developments in our Storage Solutions segment, especially in the second half of fiscal 2018. For the fiscal year, we received $786.5 million of project awards and achieved a book-to-bill ratio of 2.5.</w:t>
      </w:r>
    </w:p>
    <w:p>
      <w:pPr>
        <w:spacing w:after="0" w:line="13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the Industrial segment, our iron and steel customers have increased maintenance spending and resumed major capital projects in response to improving business conditions led by a stronger U.S. economy and a weaker U.S. Dollar. In the mining and minerals markets, copper prices have increased since fiscal 2017. As a result, we are seeing increased bidding activity, but we have not yet seen a corresponding increase in project awards.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fluctuation in commodity prices to have a significant impact on the Electrical Infrastructure segment.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presented Adjusted EBITDA, which we define as net income (loss) attributable to Matrix Service Company before impairment of goodwill and other intangible assets, interest expense, income taxes, depreciation and amortization, because it is used by the financial community as a method of measuring our performance and of evaluating the market value of companies considered to be in similar businesses. We believe that the line item on our Consolidated Statements of Income entitled “Net income (loss) attributable to Matrix Service Company” is the most directly comparable GAAP measure to Adjusted EBITDA. Since Adjusted EBITDA is not a measure of performance calculated in accordance with GAAP, it should not be considered in isolation of, or as a substitute for, net earnings as an indicator of operating performance. Adjusted EBITDA, as we calculate it, may not be comparable to similarly titled measures employed by other companies. In addition, this measure is not a measure of our ability to fund our cash needs. As Adjusted EBITDA excludes certain financial information compared with net income (loss) attributable to Matrix Service Company, the most directly comparable GAAP financial measure, users of this financial information should consider the type of events and transactions that are excluded. Our non-GAAP performance measure, Adjusted EBITDA, has certain material limitations as follows:</w:t>
      </w:r>
    </w:p>
    <w:p>
      <w:pPr>
        <w:spacing w:after="0" w:line="178" w:lineRule="exact"/>
        <w:rPr>
          <w:sz w:val="20"/>
          <w:szCs w:val="20"/>
          <w:color w:val="auto"/>
        </w:rPr>
      </w:pPr>
    </w:p>
    <w:p>
      <w:pPr>
        <w:ind w:left="980" w:right="340" w:hanging="324"/>
        <w:spacing w:after="0" w:line="259"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does not include impairments to goodwill and other intangible assets. While impairments to intangible assets are non-cash expenses in the period recognized, cash or other consideration was still transferred in exchange for the intangible assets in the period of the acquisition. Any measure that excludes impairments to intangible assets has material limitations since these expenses represent the loss of an asset that was acquired in exchange for cash or other assets.</w:t>
      </w:r>
    </w:p>
    <w:p>
      <w:pPr>
        <w:spacing w:after="0" w:line="186" w:lineRule="exact"/>
        <w:rPr>
          <w:rFonts w:ascii="Arial" w:cs="Arial" w:eastAsia="Arial" w:hAnsi="Arial"/>
          <w:sz w:val="18"/>
          <w:szCs w:val="18"/>
          <w:color w:val="auto"/>
        </w:rPr>
      </w:pPr>
    </w:p>
    <w:p>
      <w:pPr>
        <w:ind w:left="980" w:right="300" w:hanging="324"/>
        <w:spacing w:after="0" w:line="259"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does not include interest expense. Because we have borrowed money to finance our operations and to acquire businesses, pay commitment fees to maintain our senior secured revolving credit facility, and incur fees to issue letters of credit under the senior secured revolving credit facility, interest expense is a necessary and ongoing part of our costs and has assisted us in generating revenue. Therefore, any measure that excludes interest expense has material limitations.</w:t>
      </w:r>
    </w:p>
    <w:p>
      <w:pPr>
        <w:spacing w:after="0" w:line="186"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EBITDA to net income (loss) attributable to Matrix Service Company follows:</w:t>
      </w:r>
    </w:p>
    <w:p>
      <w:pPr>
        <w:spacing w:after="0" w:line="352"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Fiscal Years Ended</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52"/>
        </w:trPr>
        <w:tc>
          <w:tcPr>
            <w:tcW w:w="6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28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080" w:type="dxa"/>
            <w:vAlign w:val="bottom"/>
          </w:tcPr>
          <w:p>
            <w:pPr>
              <w:jc w:val="right"/>
              <w:ind w:right="354"/>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6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r>
      <w:tr>
        <w:trPr>
          <w:trHeight w:val="196"/>
        </w:trPr>
        <w:tc>
          <w:tcPr>
            <w:tcW w:w="6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Matrix Service Company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28,863</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Goodwill and other intangible asset impairment</w:t>
            </w: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17,998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852</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Provision (benefit) for federal, state and foreign income taxes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14,116</w:t>
            </w:r>
          </w:p>
        </w:tc>
      </w:tr>
      <w:tr>
        <w:trPr>
          <w:trHeight w:val="27"/>
        </w:trPr>
        <w:tc>
          <w:tcPr>
            <w:tcW w:w="6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21,602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21,441</w:t>
            </w:r>
          </w:p>
        </w:tc>
      </w:tr>
      <w:tr>
        <w:trPr>
          <w:trHeight w:val="257"/>
        </w:trPr>
        <w:tc>
          <w:tcPr>
            <w:tcW w:w="69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28,797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25,938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65,272</w:t>
            </w: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define liquidity as the ability to pay our liabilities as they become due, fund business operations and meet all contractual and financial obligations. Our primary sources of liquidity in fiscal 2018 were cash on hand, capacity under our senior secured revolving credit facility and cash generated from operations. Cash on hand at June 30, 2018 totaled $64.1 million and availability under the senior secured revolving credit facility totaled $73.2 million, resulting in total liquidity of $137.2 million. The United States Dollar equivalent of Canadian, South Korean and Australian deposits totaled $5.2 million and is included in our consolidated cash balance. We expect to fund our operations for the next twelve months through the use of cash generated from operations, existing cash balances and borrowings under our senior secured revolving credit facility, as necessary. The Company's liquidity continues to be adequate to support its long-term strategic growth plans.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liquidity for the fiscal year ended June 30, 2018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Liquidity as of June 30, 2017</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122,206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Net increase in cash</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20,252</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credit facility capacity constraint</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Net repayments on credit facility</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44,931</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letters of credit outstanding</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(29,248)</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Foreign currency translation of outstanding borrowings</w:t>
            </w: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7"/>
        </w:trPr>
        <w:tc>
          <w:tcPr>
            <w:tcW w:w="9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Liquidity as of June 30, 2018</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137,243</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that may impact our long-term liquidity include, but are not limited to:</w:t>
      </w:r>
    </w:p>
    <w:p>
      <w:pPr>
        <w:spacing w:after="0" w:line="171" w:lineRule="exact"/>
        <w:rPr>
          <w:sz w:val="20"/>
          <w:szCs w:val="20"/>
          <w:color w:val="auto"/>
        </w:rPr>
      </w:pPr>
    </w:p>
    <w:p>
      <w:pPr>
        <w:ind w:left="640" w:right="100" w:hanging="321"/>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16" w:lineRule="exact"/>
        <w:rPr>
          <w:rFonts w:ascii="Arial" w:cs="Arial" w:eastAsia="Arial" w:hAnsi="Arial"/>
          <w:sz w:val="18"/>
          <w:szCs w:val="18"/>
          <w:color w:val="auto"/>
        </w:rPr>
      </w:pPr>
    </w:p>
    <w:p>
      <w:pPr>
        <w:ind w:left="1000" w:right="40" w:hanging="317"/>
        <w:spacing w:after="0" w:line="277"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16" w:lineRule="exact"/>
        <w:rPr>
          <w:rFonts w:ascii="Arial" w:cs="Arial" w:eastAsia="Arial" w:hAnsi="Arial"/>
          <w:sz w:val="18"/>
          <w:szCs w:val="18"/>
          <w:color w:val="auto"/>
        </w:rPr>
      </w:pPr>
    </w:p>
    <w:p>
      <w:pPr>
        <w:ind w:left="1000" w:right="140" w:hanging="317"/>
        <w:spacing w:after="0" w:line="277"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16" w:lineRule="exact"/>
        <w:rPr>
          <w:rFonts w:ascii="Arial" w:cs="Arial" w:eastAsia="Arial" w:hAnsi="Arial"/>
          <w:sz w:val="18"/>
          <w:szCs w:val="18"/>
          <w:color w:val="auto"/>
        </w:rPr>
      </w:pPr>
    </w:p>
    <w:p>
      <w:pPr>
        <w:ind w:left="1000" w:right="680" w:hanging="317"/>
        <w:spacing w:after="0" w:line="277"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significant cash retentions or security in the form of letters of credit. The timing of collection of retentions is often uncertain.</w:t>
      </w:r>
    </w:p>
    <w:p>
      <w:pPr>
        <w:spacing w:after="0" w:line="116"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171" w:lineRule="exact"/>
        <w:rPr>
          <w:sz w:val="20"/>
          <w:szCs w:val="20"/>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Acquisitions and disposals of businesses.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Contract disputes which can be significant.</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Collection issues, including those caused by weak commodity prices or other factors which can lead to credit deterioration of our customers</w:t>
      </w:r>
    </w:p>
    <w:p>
      <w:pPr>
        <w:spacing w:after="0" w:line="182" w:lineRule="exact"/>
        <w:rPr>
          <w:rFonts w:ascii="Arial" w:cs="Arial" w:eastAsia="Arial" w:hAnsi="Arial"/>
          <w:sz w:val="17"/>
          <w:szCs w:val="17"/>
          <w:color w:val="auto"/>
        </w:rPr>
      </w:pPr>
    </w:p>
    <w:p>
      <w:pPr>
        <w:ind w:left="640" w:right="560" w:hanging="321"/>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Capacity constraints under our senior secured revolving credit facility and remaining in compliance with all covenants contained in the Credit Agreement</w:t>
      </w:r>
    </w:p>
    <w:p>
      <w:pPr>
        <w:spacing w:after="0" w:line="116"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on hand outside of the United States that cannot be repatriated without incremental taxation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flows provided by operating activities for the fiscal year ended June 30, 2018 totaled $74.7 million. Major components of cash flows from operating activities for the year ending June 30, 2018 are as follows:</w:t>
      </w:r>
    </w:p>
    <w:p>
      <w:pPr>
        <w:spacing w:after="0" w:line="27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59"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(11,480)</w:t>
            </w:r>
          </w:p>
        </w:tc>
      </w:tr>
      <w:tr>
        <w:trPr>
          <w:trHeight w:val="243"/>
        </w:trPr>
        <w:tc>
          <w:tcPr>
            <w:tcW w:w="8980" w:type="dxa"/>
            <w:vAlign w:val="bottom"/>
          </w:tcPr>
          <w:p>
            <w:pPr>
              <w:ind w:left="40"/>
              <w:spacing w:after="0"/>
              <w:rPr>
                <w:sz w:val="20"/>
                <w:szCs w:val="20"/>
                <w:color w:val="auto"/>
              </w:rPr>
            </w:pPr>
            <w:r>
              <w:rPr>
                <w:rFonts w:ascii="Arial" w:cs="Arial" w:eastAsia="Arial" w:hAnsi="Arial"/>
                <w:sz w:val="18"/>
                <w:szCs w:val="18"/>
                <w:color w:val="auto"/>
              </w:rPr>
              <w:t>Goodwill and other intangible asset impairment</w:t>
            </w:r>
          </w:p>
        </w:tc>
        <w:tc>
          <w:tcPr>
            <w:tcW w:w="8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17,998</w:t>
            </w:r>
          </w:p>
        </w:tc>
      </w:tr>
      <w:tr>
        <w:trPr>
          <w:trHeight w:val="27"/>
        </w:trPr>
        <w:tc>
          <w:tcPr>
            <w:tcW w:w="8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expenses</w:t>
            </w:r>
          </w:p>
        </w:tc>
        <w:tc>
          <w:tcPr>
            <w:tcW w:w="8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28,410</w:t>
            </w:r>
          </w:p>
        </w:tc>
      </w:tr>
      <w:tr>
        <w:trPr>
          <w:trHeight w:val="243"/>
        </w:trPr>
        <w:tc>
          <w:tcPr>
            <w:tcW w:w="8980" w:type="dxa"/>
            <w:vAlign w:val="bottom"/>
          </w:tcPr>
          <w:p>
            <w:pPr>
              <w:ind w:left="40"/>
              <w:spacing w:after="0"/>
              <w:rPr>
                <w:sz w:val="20"/>
                <w:szCs w:val="20"/>
                <w:color w:val="auto"/>
              </w:rPr>
            </w:pPr>
            <w:r>
              <w:rPr>
                <w:rFonts w:ascii="Arial" w:cs="Arial" w:eastAsia="Arial" w:hAnsi="Arial"/>
                <w:sz w:val="18"/>
                <w:szCs w:val="18"/>
                <w:color w:val="auto"/>
              </w:rPr>
              <w:t>Deferred income tax</w:t>
            </w:r>
          </w:p>
        </w:tc>
        <w:tc>
          <w:tcPr>
            <w:tcW w:w="8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(1,186)</w:t>
            </w:r>
          </w:p>
        </w:tc>
      </w:tr>
      <w:tr>
        <w:trPr>
          <w:trHeight w:val="27"/>
        </w:trPr>
        <w:tc>
          <w:tcPr>
            <w:tcW w:w="8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effect of changes in working capital, net of acquisitions</w:t>
            </w:r>
          </w:p>
        </w:tc>
        <w:tc>
          <w:tcPr>
            <w:tcW w:w="8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40,532</w:t>
            </w:r>
          </w:p>
        </w:tc>
      </w:tr>
      <w:tr>
        <w:trPr>
          <w:trHeight w:val="243"/>
        </w:trPr>
        <w:tc>
          <w:tcPr>
            <w:tcW w:w="8980" w:type="dxa"/>
            <w:vAlign w:val="bottom"/>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397</w:t>
            </w:r>
          </w:p>
        </w:tc>
      </w:tr>
      <w:tr>
        <w:trPr>
          <w:trHeight w:val="27"/>
        </w:trPr>
        <w:tc>
          <w:tcPr>
            <w:tcW w:w="89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74,671</w:t>
            </w:r>
          </w:p>
        </w:tc>
      </w:tr>
      <w:tr>
        <w:trPr>
          <w:trHeight w:val="20"/>
        </w:trPr>
        <w:tc>
          <w:tcPr>
            <w:tcW w:w="8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changes, net of effects from acquisitions, at June 30, 2018 in comparison to June 30, 2017 include the following:</w:t>
      </w:r>
    </w:p>
    <w:p>
      <w:pPr>
        <w:spacing w:after="0" w:line="252" w:lineRule="exact"/>
        <w:rPr>
          <w:sz w:val="20"/>
          <w:szCs w:val="20"/>
          <w:color w:val="auto"/>
        </w:rPr>
      </w:pPr>
    </w:p>
    <w:p>
      <w:pPr>
        <w:ind w:left="640" w:right="20" w:hanging="321"/>
        <w:spacing w:after="0" w:line="259"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Accounts receivable, net of bad debt expense recognized during the period and the settlement of $2.0 million of accounts receivable in exchange for backlog (see Item 1. Financial Statements and Supplementary Data, Note 4 - Intangible Assets Including Goodwill), decreased by $5.5 million during fiscal 2018, which increased cash flows from operating activities. The variance is primarily attributable to the timing of billing and collections and a decline in business volumes compared to the prior year.</w:t>
      </w:r>
    </w:p>
    <w:p>
      <w:pPr>
        <w:spacing w:after="0" w:line="132" w:lineRule="exact"/>
        <w:rPr>
          <w:rFonts w:ascii="Arial" w:cs="Arial" w:eastAsia="Arial" w:hAnsi="Arial"/>
          <w:sz w:val="18"/>
          <w:szCs w:val="18"/>
          <w:color w:val="auto"/>
        </w:rPr>
      </w:pPr>
    </w:p>
    <w:p>
      <w:pPr>
        <w:jc w:val="both"/>
        <w:ind w:left="640" w:right="20" w:hanging="321"/>
        <w:spacing w:after="0" w:line="302"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Costs and estimated earnings in excess of billings on uncompleted contracts ("CIE") decreased $14.5 million while billings on uncompleted contracts in excess of costs and estimated earnings ("BIE") increased $45.6 million, both of which increased cash flows from operating activities. The changes were due to the timing of invoice billings and collections. CIE and BIE balances can experience significant day-to-day fluctuations based on contract terms, the timing of when job costs are incurred, the invoicing of those job costs to the customer and subsequent cash collection, and other factors.</w:t>
      </w:r>
    </w:p>
    <w:p>
      <w:pPr>
        <w:spacing w:after="0" w:line="100" w:lineRule="exact"/>
        <w:rPr>
          <w:rFonts w:ascii="Arial" w:cs="Arial" w:eastAsia="Arial" w:hAnsi="Arial"/>
          <w:sz w:val="16"/>
          <w:szCs w:val="16"/>
          <w:color w:val="auto"/>
        </w:rPr>
      </w:pPr>
    </w:p>
    <w:p>
      <w:pPr>
        <w:ind w:left="640" w:right="200" w:hanging="321"/>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Accounts payable decreased by $25.9 million, which reduced cash flows from operating activities. The decrease was primarily due to the timing of payments and lower volumes of work in fiscal 2018 compared to the prior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Investing Activities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Investing activities used $9.3 million of cash during the fiscal year ended June 30, 2018 due to capital expenditures of $8.7 million and a $1.7 million working capital payment in connection with the Houston Interests acquisition, partially offset by proceeds from asset dispositions of $1.1 million. Capital expenditures included $3.2 million for office equipment and software, $2.2 million for the purchase of construction equipment, fabrication equipment and small tools, $1.8 million for transportation equipment, and $1.5 million for land and buildings. The Company expects to spend approximately $28.3 million on capital expenditures in fiscal 2019. The increase in planned capital expenditures in fiscal 2019 is in connection with funding anticipated growth and expanding the Company's project opportunities.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Financing Activities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Financing activities used $45.3 million of cash during the fiscal year ended June 30, 2018 primarily due to net repayments under our senior secured revolving credit facility of $44.9 million, the repurchase of $0.6 million of Company stock for payment of withholding taxes due on equity-based compensation, and the payment of $0.4 million for debt amendment fees, partially offset by $0.3 million of proceeds from the exercise of stock options and $0.3 million of proceeds from the issuance of common stock under the employee stock purchase plan.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Revolving Credit Facility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Agreement provides for a five-year senior secured revolving credit facility of $300.0 million that expires February 8, 2022. The credit facility may be used for working capital, acquisitions, capital expenditures, issuances of letters of credit and other lawful purposes. The Credit Agreement includes the following covenants and borrowing limitations:</w:t>
      </w:r>
    </w:p>
    <w:p>
      <w:pPr>
        <w:spacing w:after="0" w:line="127" w:lineRule="exact"/>
        <w:rPr>
          <w:sz w:val="20"/>
          <w:szCs w:val="20"/>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Leverage Ratio, determined as of the end of each fiscal quarter, may not exceed 3.00 to 1.00.</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are required to maintain a Fixed Charge Coverage Ratio, determined as of the end of each fiscal quarter, greater than or equal to 1.25 to 1.00.</w:t>
      </w:r>
    </w:p>
    <w:p>
      <w:pPr>
        <w:spacing w:after="0" w:line="194" w:lineRule="exact"/>
        <w:rPr>
          <w:rFonts w:ascii="Arial" w:cs="Arial" w:eastAsia="Arial" w:hAnsi="Arial"/>
          <w:sz w:val="16"/>
          <w:szCs w:val="16"/>
          <w:color w:val="auto"/>
        </w:rPr>
      </w:pPr>
    </w:p>
    <w:p>
      <w:pPr>
        <w:ind w:left="640" w:right="520" w:hanging="321"/>
        <w:spacing w:after="0" w:line="342"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70"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The credit facility includes a sub-facility for revolving loans denominated in Australian Dollars, Canadian Dollars, Euros and Pounds Sterling in an aggregate amount not to exceed the U.S. Dollar equivalent of $75.0 million and a $200.0 million sublimit for letters of credit.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Adjusted LIBO Rate, in the case of revolving loans denominated in Pounds Sterling or Australian Dollars; or</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EURIBO Rate, in the case of revolving loans denominated in Euros,</w:t>
      </w:r>
    </w:p>
    <w:p>
      <w:pPr>
        <w:spacing w:after="0" w:line="171"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unused credit facility fee is between 0.25% and 0.45% based on the Leverage Ratio.</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includes a Leverage Ratio covenant, which provides that Consolidated Funded Indebtedness, as of the end of any fiscal quarter, may not exceed 3.0 times Consolidated EBITDA, as defined in the Credit Agreement, over the previous four quarters. For the four quarters ended June 30, 2018, Consolidated EBITDA, as defined in the Credit Agreement, was $36.8 million. Consolidated Funded Indebtedness, as defined in the Credit Agreement, at June 30, 2018 was $37.1 million.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Consolidated EBITDA, as defined in the Credit Agreement, or "Covenant EBITDA," differs from Adjusted EBITDA, as reported under "Results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Operations - Non-GAAP Financial Measure," in Item 7 primarily because it permits the Company to:</w:t>
      </w:r>
    </w:p>
    <w:p>
      <w:pPr>
        <w:spacing w:after="0" w:line="15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exclude non-cash stock-based compensation expense,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 pro forma EBITDA of acquired businesses as if the acquisition occurred at the beginning of the previous four quarters,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exclude certain other extraordinary items, as defined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secured revolving credit facility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jc w:val="right"/>
              <w:ind w:right="754"/>
              <w:spacing w:after="0"/>
              <w:rPr>
                <w:sz w:val="20"/>
                <w:szCs w:val="20"/>
                <w:color w:val="auto"/>
              </w:rPr>
            </w:pPr>
            <w:r>
              <w:rPr>
                <w:rFonts w:ascii="Arial" w:cs="Arial" w:eastAsia="Arial" w:hAnsi="Arial"/>
                <w:sz w:val="14"/>
                <w:szCs w:val="14"/>
                <w:b w:val="1"/>
                <w:bCs w:val="1"/>
                <w:color w:val="auto"/>
              </w:rPr>
              <w:t>June 30,</w:t>
            </w:r>
          </w:p>
        </w:tc>
      </w:tr>
      <w:tr>
        <w:trPr>
          <w:trHeight w:val="192"/>
        </w:trPr>
        <w:tc>
          <w:tcPr>
            <w:tcW w:w="6420" w:type="dxa"/>
            <w:vAlign w:val="bottom"/>
          </w:tcPr>
          <w:p>
            <w:pPr>
              <w:spacing w:after="0"/>
              <w:rPr>
                <w:sz w:val="16"/>
                <w:szCs w:val="16"/>
                <w:color w:val="auto"/>
              </w:rPr>
            </w:pP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2017</w:t>
            </w:r>
          </w:p>
        </w:tc>
      </w:tr>
      <w:tr>
        <w:trPr>
          <w:trHeight w:val="250"/>
        </w:trPr>
        <w:tc>
          <w:tcPr>
            <w:tcW w:w="6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0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21"/>
                <w:szCs w:val="21"/>
                <w:color w:val="auto"/>
              </w:rPr>
            </w:pPr>
          </w:p>
        </w:tc>
      </w:tr>
      <w:tr>
        <w:trPr>
          <w:trHeight w:val="256"/>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w:t>
            </w:r>
          </w:p>
        </w:tc>
        <w:tc>
          <w:tcPr>
            <w:tcW w:w="1420" w:type="dxa"/>
            <w:vAlign w:val="bottom"/>
            <w:tcBorders>
              <w:bottom w:val="single" w:sz="8" w:color="CCEEFF"/>
            </w:tcBorders>
            <w:shd w:val="clear" w:color="auto" w:fill="CCEEFF"/>
          </w:tcPr>
          <w:p>
            <w:pPr>
              <w:jc w:val="right"/>
              <w:ind w:right="121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Capacity constraint due to the Leverage Ratio</w:t>
            </w:r>
          </w:p>
        </w:tc>
        <w:tc>
          <w:tcPr>
            <w:tcW w:w="14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w w:val="98"/>
              </w:rPr>
              <w:t>189,741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169,092</w:t>
            </w:r>
          </w:p>
        </w:tc>
      </w:tr>
      <w:tr>
        <w:trPr>
          <w:trHeight w:val="27"/>
        </w:trPr>
        <w:tc>
          <w:tcPr>
            <w:tcW w:w="64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senior secured revolving credit facility</w:t>
            </w:r>
          </w:p>
        </w:tc>
        <w:tc>
          <w:tcPr>
            <w:tcW w:w="1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8"/>
              </w:rPr>
              <w:t>110,259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130,908</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14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44,682</w:t>
            </w:r>
          </w:p>
        </w:tc>
      </w:tr>
      <w:tr>
        <w:trPr>
          <w:trHeight w:val="27"/>
        </w:trPr>
        <w:tc>
          <w:tcPr>
            <w:tcW w:w="6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1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37,073</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7,825</w:t>
            </w: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color w:val="auto"/>
              </w:rPr>
              <w:t>Availability under the senior secured revolving credit facility</w:t>
            </w:r>
          </w:p>
        </w:tc>
        <w:tc>
          <w:tcPr>
            <w:tcW w:w="1420" w:type="dxa"/>
            <w:vAlign w:val="bottom"/>
            <w:tcBorders>
              <w:top w:val="single" w:sz="8" w:color="auto"/>
            </w:tcBorders>
          </w:tcPr>
          <w:p>
            <w:pPr>
              <w:jc w:val="right"/>
              <w:ind w:right="1219"/>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73,186</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78,401</w:t>
            </w:r>
          </w:p>
        </w:tc>
      </w:tr>
      <w:tr>
        <w:trPr>
          <w:trHeight w:val="27"/>
        </w:trPr>
        <w:tc>
          <w:tcPr>
            <w:tcW w:w="64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other affirmative, negative, and financial covenants under the Credit Agreement.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2018, the Company was at the lowest margin tier for all categories of loans and the unused revolving credit facility fee under the Credit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December 12, 2016, the Board of Directors approved a new stock buyback program (the "December 2016 Program"), which replaced the previous program that had been in place since November 2014. Under the December 2016 Program, the Company may repurchase common stock of the Company in any calendar year commencing with calendar year 2016 and continuing through calendar year 2018, up to a maximum of $25.0 million per calendar year.</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may repurchase its stock from time to time in the open market at prevailing market prices or in privately negotiated transactions. The December 2016 Program will continue through December 31, 2018 unless and until it is modified or revoked by the Board of Directors. No shares have been repurchased under the December 2016 Program as of June 30, 2018.</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stock buyback program, the Company may withhold shares of common stock to satisfy the tax withholding obligations upon vesting of an employee’s deferred shares. Matrix withheld 52,950 and 134,535 shares of common stock during fiscal 2018 and 2017, respectively, to satisfy these obligations. These shares were returned to the Company’s pool of treasury shares. The Company has 1,034,394 treasury shares as of June 30, 2018 and intends to utilize these treasury shares in connection with equity awards under the Company’s stock incentive plans and for sales to the Employee Stock Purchase Plan.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the following off-balance sheet arrangements were in place to support our ordinary course obligations: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Expiration Period</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Less than 1</w:t>
            </w:r>
          </w:p>
        </w:tc>
        <w:tc>
          <w:tcPr>
            <w:tcW w:w="26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1–3 Years</w:t>
            </w:r>
          </w:p>
        </w:tc>
        <w:tc>
          <w:tcPr>
            <w:tcW w:w="12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3–5 Years</w:t>
            </w:r>
          </w:p>
        </w:tc>
        <w:tc>
          <w:tcPr>
            <w:tcW w:w="20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More than 5</w:t>
            </w:r>
          </w:p>
        </w:tc>
        <w:tc>
          <w:tcPr>
            <w:tcW w:w="320" w:type="dxa"/>
            <w:vAlign w:val="bottom"/>
          </w:tcPr>
          <w:p>
            <w:pPr>
              <w:spacing w:after="0"/>
              <w:rPr>
                <w:sz w:val="13"/>
                <w:szCs w:val="13"/>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Year</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Years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Letters of credit</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28,474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15,734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44,208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Surety bonds</w:t>
            </w:r>
          </w:p>
        </w:tc>
        <w:tc>
          <w:tcPr>
            <w:tcW w:w="24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268,384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18,190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288,112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296,858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332,320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both"/>
        <w:ind w:left="540" w:hanging="316"/>
        <w:spacing w:after="0" w:line="252" w:lineRule="auto"/>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All letters of credit issued under our senior secured revolving credit facility are in support of our workers’ compensation insurance programs or certain construction contracts. The letters of credit that support our workers’ compensation programs are expected to renew annually through the term of our senior secured revolving credit facility. The letters of credit that support construction contracts will expire within a year. Our Credit Agreement allows exclusion of letters of credit that support our workers' compensation programs when calculating availability under the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975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at June 30, 2018 are summarized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94"/>
              </w:rPr>
              <w:t>Contractual Obligations by Expiration Period</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Less than 1</w:t>
            </w:r>
          </w:p>
        </w:tc>
        <w:tc>
          <w:tcPr>
            <w:tcW w:w="22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3-5 Years</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9"/>
              </w:rPr>
              <w:t>More than 5</w:t>
            </w: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7,541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12,143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6,201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33,103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3,470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9,036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14,118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6,201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36,573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interest rate risk results primarily from our variable rate indebtedness under our Credit Agreement, which is influenced by movements in short-term rates.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our $300.0 million senior secured revolving credit facility bear interest at a rate per annum equal to:</w:t>
      </w:r>
    </w:p>
    <w:p>
      <w:pPr>
        <w:spacing w:after="0" w:line="157" w:lineRule="exact"/>
        <w:rPr>
          <w:sz w:val="20"/>
          <w:szCs w:val="20"/>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Adjusted LIBO Rate, in the case of revolving loans denominated in Pounds Sterling or Australian Dollars; or</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EURIBO Rate, in the case of revolving loans denominated in Euros,</w:t>
      </w:r>
    </w:p>
    <w:p>
      <w:pPr>
        <w:spacing w:after="0" w:line="171"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financial instruments with interest rate risk at June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Matrix Service Company has subsidiaries with operations in Canada and South Korea, which use the Canadian Dollar and South Korean Won, respectively, as their functional currencies. The Company also has a subsidiary with operations in Australia, but its functional currency is the U.S. Dollar since its sales are primarily denominated in U.S. Dollars. The Company's operations in South Korea and Australia were acquired in the Baillie Tank Equipment, Ltd. acquisition, which is disclosed in detail in Note 2 of the Notes to Consolidated Financial Statements included in Part II, Item 8 of this Annual Report on Form 10-K.</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Historically, movements in the Canadian Dollar to U.S. Dollar exchange rate have not significantly impacted the Company's results. Also, the Company does not expect exchange rate fluctuations in its South Korean and Australian operations to materially impact its financial results since these operations represent an insignificant portion of the Company's consolidated revenues and expenses. However, further growth in its Canadian, South Korean and/or Australian operations and/or significant fluctuations in the Canadian Dollar, South Korean Won and/or Australian Dollar to U.S. Dollar exchange rates could impact the Company’s financial results in the future.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has not entered into derivative instruments to hedge foreign currency risk, but periodically evaluates the materiality of our foreign currency exposure. To mitigate our risk, on occasion we borrow Canadian Dollars under our senior secured revolving credit facility to settle U.S. Dollar account balances. A 10% unfavorable change in the Canadian Dollar against the U.S. Dollar would not have had a material impact on the financial results of the Company for the fiscal year ended June 30, 2018.</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no direct commodity exposure, but we do have exposure to materials derived from certain commodities including steel plate, steel pipe, and copper which are key materials used by the Company. Supplies of these materials are available throughout the United States and worldwide. We anticipate that adequate amounts of these materials will be available in the foreseeable future. However, the price, quantity, and delivery schedules of these materials could change rapidly due to various factors, including producer capacity, the level of foreign imports, worldwide demand, the imposition or removal of tariffs on imported steel and other market conditions. We mitigate these risks primarily by procuring materials upon contract execution to ensure that our purchase price approximates the costs included in the project estimate, and also by negotiating contract escalation clauses to cover unexpected costs due to fluctuations in materials derived from certain commodities.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1122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912"/>
        </w:trPr>
        <w:tc>
          <w:tcPr>
            <w:tcW w:w="11220" w:type="dxa"/>
            <w:vAlign w:val="bottom"/>
            <w:gridSpan w:val="1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24"/>
                <w:szCs w:val="24"/>
                <w:color w:val="auto"/>
              </w:rPr>
            </w:pPr>
          </w:p>
        </w:tc>
      </w:tr>
      <w:tr>
        <w:trPr>
          <w:trHeight w:val="567"/>
        </w:trPr>
        <w:tc>
          <w:tcPr>
            <w:tcW w:w="40" w:type="dxa"/>
            <w:vAlign w:val="bottom"/>
          </w:tcPr>
          <w:p>
            <w:pPr>
              <w:spacing w:after="0"/>
              <w:rPr>
                <w:sz w:val="24"/>
                <w:szCs w:val="24"/>
                <w:color w:val="auto"/>
              </w:rPr>
            </w:pPr>
          </w:p>
        </w:tc>
        <w:tc>
          <w:tcPr>
            <w:tcW w:w="11180" w:type="dxa"/>
            <w:vAlign w:val="bottom"/>
            <w:gridSpan w:val="16"/>
          </w:tcPr>
          <w:p>
            <w:pPr>
              <w:spacing w:after="0"/>
              <w:rPr>
                <w:sz w:val="20"/>
                <w:szCs w:val="20"/>
                <w:color w:val="auto"/>
              </w:rPr>
            </w:pPr>
            <w:r>
              <w:rPr>
                <w:rFonts w:ascii="Arial" w:cs="Arial" w:eastAsia="Arial" w:hAnsi="Arial"/>
                <w:sz w:val="18"/>
                <w:szCs w:val="18"/>
                <w:color w:val="auto"/>
              </w:rPr>
              <w:t>Financial Statements of the Company</w:t>
            </w:r>
          </w:p>
        </w:tc>
        <w:tc>
          <w:tcPr>
            <w:tcW w:w="180" w:type="dxa"/>
            <w:vAlign w:val="bottom"/>
          </w:tcPr>
          <w:p>
            <w:pPr>
              <w:spacing w:after="0"/>
              <w:rPr>
                <w:sz w:val="24"/>
                <w:szCs w:val="24"/>
                <w:color w:val="auto"/>
              </w:rPr>
            </w:pPr>
          </w:p>
        </w:tc>
      </w:tr>
      <w:tr>
        <w:trPr>
          <w:trHeight w:val="446"/>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1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Management’s Report on Internal Control Over Financial Reporting</w:t>
              </w:r>
            </w:hyperlink>
          </w:p>
        </w:tc>
        <w:tc>
          <w:tcPr>
            <w:tcW w:w="180" w:type="dxa"/>
            <w:vAlign w:val="bottom"/>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41</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0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91"/>
              </w:rPr>
              <w:t>Reports of Independent Registered Public Accounting Firm</w:t>
            </w:r>
          </w:p>
        </w:tc>
        <w:tc>
          <w:tcPr>
            <w:tcW w:w="600" w:type="dxa"/>
            <w:vAlign w:val="bottom"/>
            <w:tcBorders>
              <w:top w:val="single" w:sz="8" w:color="0000EE"/>
            </w:tcBorders>
          </w:tcPr>
          <w:p>
            <w:pPr>
              <w:spacing w:after="0"/>
              <w:rPr>
                <w:sz w:val="24"/>
                <w:szCs w:val="24"/>
                <w:color w:val="auto"/>
              </w:rPr>
            </w:pPr>
          </w:p>
        </w:tc>
        <w:tc>
          <w:tcPr>
            <w:tcW w:w="594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42</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1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Consolidated Statements of Income for the Fiscal Years Ended June 30, 2018, June 30, 2017, and June 30, 2016</w:t>
              </w:r>
            </w:hyperlink>
          </w:p>
        </w:tc>
        <w:tc>
          <w:tcPr>
            <w:tcW w:w="180" w:type="dxa"/>
            <w:vAlign w:val="bottom"/>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44</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Comprehensive Income for the Fiscal Years Ended June 30, 2018, June 30, 2017, and</w:t>
              </w:r>
            </w:hyperlink>
          </w:p>
        </w:tc>
        <w:tc>
          <w:tcPr>
            <w:tcW w:w="232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46">
              <w:r>
                <w:rPr>
                  <w:rFonts w:ascii="Arial" w:cs="Arial" w:eastAsia="Arial" w:hAnsi="Arial"/>
                  <w:sz w:val="18"/>
                  <w:szCs w:val="18"/>
                  <w:color w:val="0000EE"/>
                  <w:w w:val="85"/>
                </w:rPr>
                <w:t>June 30, 2016</w:t>
              </w:r>
            </w:hyperlink>
          </w:p>
        </w:tc>
        <w:tc>
          <w:tcPr>
            <w:tcW w:w="9500" w:type="dxa"/>
            <w:vAlign w:val="bottom"/>
            <w:gridSpan w:val="12"/>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Consolidated Balance Sheets as of June 30, 2018 and June 30, 2017</w:t>
              </w:r>
            </w:hyperlink>
          </w:p>
        </w:tc>
        <w:tc>
          <w:tcPr>
            <w:tcW w:w="5620" w:type="dxa"/>
            <w:vAlign w:val="bottom"/>
            <w:gridSpan w:val="5"/>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46</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Consolidated Statements of Cash Flows for the Fiscal Years Ended June 30, 2018, June 30, 2017, and June 30, 2016</w:t>
              </w:r>
            </w:hyperlink>
          </w:p>
        </w:tc>
        <w:tc>
          <w:tcPr>
            <w:tcW w:w="214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48</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1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Statements of Changes in Stockholders’ Equity for the Fiscal Years Ended June 30, 2018, June 30, 2017,</w:t>
              </w:r>
            </w:hyperlink>
          </w:p>
        </w:tc>
        <w:tc>
          <w:tcPr>
            <w:tcW w:w="18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5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and June 30, 2016</w:t>
              </w:r>
            </w:hyperlink>
          </w:p>
        </w:tc>
        <w:tc>
          <w:tcPr>
            <w:tcW w:w="1980" w:type="dxa"/>
            <w:vAlign w:val="bottom"/>
          </w:tcPr>
          <w:p>
            <w:pPr>
              <w:spacing w:after="0"/>
              <w:rPr>
                <w:sz w:val="17"/>
                <w:szCs w:val="17"/>
                <w:color w:val="auto"/>
              </w:rPr>
            </w:pPr>
          </w:p>
        </w:tc>
        <w:tc>
          <w:tcPr>
            <w:tcW w:w="180" w:type="dxa"/>
            <w:vAlign w:val="bottom"/>
          </w:tcPr>
          <w:p>
            <w:pPr>
              <w:jc w:val="right"/>
              <w:spacing w:after="0" w:line="196"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50</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360" w:type="dxa"/>
            <w:vAlign w:val="bottom"/>
            <w:gridSpan w:val="8"/>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Notes to Consolidated Financial Statements</w:t>
              </w:r>
            </w:hyperlink>
          </w:p>
        </w:tc>
        <w:tc>
          <w:tcPr>
            <w:tcW w:w="7360" w:type="dxa"/>
            <w:vAlign w:val="bottom"/>
            <w:gridSpan w:val="8"/>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51</w:t>
              </w:r>
            </w:hyperlink>
          </w:p>
        </w:tc>
      </w:tr>
      <w:tr>
        <w:trPr>
          <w:trHeight w:val="372"/>
        </w:trPr>
        <w:tc>
          <w:tcPr>
            <w:tcW w:w="40" w:type="dxa"/>
            <w:vAlign w:val="bottom"/>
          </w:tcPr>
          <w:p>
            <w:pPr>
              <w:spacing w:after="0"/>
              <w:rPr>
                <w:sz w:val="24"/>
                <w:szCs w:val="24"/>
                <w:color w:val="auto"/>
              </w:rPr>
            </w:pPr>
          </w:p>
        </w:tc>
        <w:tc>
          <w:tcPr>
            <w:tcW w:w="27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Quarterly Financial Data (Unaudited)</w:t>
              </w:r>
            </w:hyperlink>
          </w:p>
        </w:tc>
        <w:tc>
          <w:tcPr>
            <w:tcW w:w="8480" w:type="dxa"/>
            <w:vAlign w:val="bottom"/>
            <w:gridSpan w:val="10"/>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77</w:t>
              </w:r>
            </w:hyperlink>
          </w:p>
        </w:tc>
      </w:tr>
      <w:tr>
        <w:trPr>
          <w:trHeight w:val="372"/>
        </w:trPr>
        <w:tc>
          <w:tcPr>
            <w:tcW w:w="40" w:type="dxa"/>
            <w:vAlign w:val="bottom"/>
          </w:tcPr>
          <w:p>
            <w:pPr>
              <w:spacing w:after="0"/>
              <w:rPr>
                <w:sz w:val="24"/>
                <w:szCs w:val="24"/>
                <w:color w:val="auto"/>
              </w:rPr>
            </w:pPr>
          </w:p>
        </w:tc>
        <w:tc>
          <w:tcPr>
            <w:tcW w:w="11180" w:type="dxa"/>
            <w:vAlign w:val="bottom"/>
            <w:gridSpan w:val="16"/>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Schedule II—Valuation and Qualifying Accounts</w:t>
              </w:r>
            </w:hyperlink>
          </w:p>
        </w:tc>
        <w:tc>
          <w:tcPr>
            <w:tcW w:w="180" w:type="dxa"/>
            <w:vAlign w:val="bottom"/>
          </w:tcPr>
          <w:p>
            <w:pPr>
              <w:jc w:val="right"/>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78</w:t>
              </w:r>
            </w:hyperlink>
          </w:p>
        </w:tc>
      </w:tr>
      <w:tr>
        <w:trPr>
          <w:trHeight w:val="20"/>
        </w:trPr>
        <w:tc>
          <w:tcPr>
            <w:tcW w:w="40" w:type="dxa"/>
            <w:vAlign w:val="bottom"/>
          </w:tcPr>
          <w:p>
            <w:pPr>
              <w:spacing w:after="0" w:line="20" w:lineRule="exact"/>
              <w:rPr>
                <w:sz w:val="1"/>
                <w:szCs w:val="1"/>
                <w:color w:val="auto"/>
              </w:rPr>
            </w:pPr>
          </w:p>
        </w:tc>
        <w:tc>
          <w:tcPr>
            <w:tcW w:w="3540" w:type="dxa"/>
            <w:vAlign w:val="bottom"/>
            <w:gridSpan w:val="7"/>
            <w:shd w:val="clear" w:color="auto" w:fill="0000EE"/>
          </w:tcPr>
          <w:p>
            <w:pPr>
              <w:spacing w:after="0" w:line="20" w:lineRule="exact"/>
              <w:rPr>
                <w:sz w:val="1"/>
                <w:szCs w:val="1"/>
                <w:color w:val="auto"/>
              </w:rPr>
            </w:pPr>
          </w:p>
        </w:tc>
        <w:tc>
          <w:tcPr>
            <w:tcW w:w="7640" w:type="dxa"/>
            <w:vAlign w:val="bottom"/>
            <w:gridSpan w:val="9"/>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26"/>
        </w:trPr>
        <w:tc>
          <w:tcPr>
            <w:tcW w:w="11220" w:type="dxa"/>
            <w:vAlign w:val="bottom"/>
            <w:gridSpan w:val="17"/>
          </w:tcPr>
          <w:p>
            <w:pPr>
              <w:spacing w:after="0"/>
              <w:rPr>
                <w:sz w:val="20"/>
                <w:szCs w:val="20"/>
                <w:color w:val="auto"/>
              </w:rPr>
            </w:pPr>
            <w:r>
              <w:rPr>
                <w:rFonts w:ascii="Arial" w:cs="Arial" w:eastAsia="Arial" w:hAnsi="Arial"/>
                <w:sz w:val="18"/>
                <w:szCs w:val="18"/>
                <w:b w:val="1"/>
                <w:bCs w:val="1"/>
                <w:color w:val="auto"/>
              </w:rPr>
              <w:t>Financial Statement Schedules</w:t>
            </w:r>
          </w:p>
        </w:tc>
        <w:tc>
          <w:tcPr>
            <w:tcW w:w="180" w:type="dxa"/>
            <w:vAlign w:val="bottom"/>
          </w:tcPr>
          <w:p>
            <w:pPr>
              <w:spacing w:after="0"/>
              <w:rPr>
                <w:sz w:val="24"/>
                <w:szCs w:val="24"/>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 schedule is filed as a part of this report under Schedule II – Valuation and Qualifying Accounts for the three fiscal years ended June 30, 2018, June 30, 2017 and June 30, 2016 immediately following Quarterly Financial Data (Unaudited). All other schedules are omitted because they are not applicable or the required information is shown in the financial statements, or notes thereto, included herein.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08"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management of Matrix Service Company (the “Company”) and its wholly-owned subsidiaries are responsible for establishing and maintaining 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Internal control over financial reporting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3" w:lineRule="exact"/>
        <w:rPr>
          <w:sz w:val="20"/>
          <w:szCs w:val="20"/>
          <w:color w:val="auto"/>
        </w:rPr>
      </w:pPr>
    </w:p>
    <w:p>
      <w:pPr>
        <w:ind w:firstLine="8"/>
        <w:spacing w:after="0" w:line="261" w:lineRule="auto"/>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and cannot provide absolute assurance that all objectives will be met. Internal control over financial reporting is a process that involves diligence and is subject to lapses in judgment and human error. Internal control over financial reporting can also be circumvented by collusion or management override of controls. Because of these limitations, there is a risk that material misstatements may not be prevented or detected on a timely basis.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June 30, 2018. In making this assessment, the Company’s management used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set forth by the Committee of Sponsoring Organizations of the Treadway Commission (“COSO”) in Internal Control-Integrated Framework.</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Management’s assessment included an evaluation of such elements as the design and operating effectiveness of key financial reporting controls, process documentation, accounting policies, overall control environment and information systems control environment. Based on this assessment, the Company’s management has concluded that the Company’s internal control over financial reporting as of June 30, 2018 was effective.</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Deloitte &amp; Touche LLP, an independent registered public accounting firm, has issued an attestation report on the effectiveness of the Company’s internal control over financial reporting as of June 30, 2018. Deloitte &amp; Touche LLP’s report on the Company’s internal control over financial reporting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91"/>
              </w:rPr>
              <w:t>/S/ John R. Hewitt</w:t>
            </w:r>
          </w:p>
        </w:tc>
        <w:tc>
          <w:tcPr>
            <w:tcW w:w="2500" w:type="dxa"/>
            <w:vAlign w:val="bottom"/>
          </w:tcPr>
          <w:p>
            <w:pPr>
              <w:spacing w:after="0"/>
              <w:rPr>
                <w:sz w:val="20"/>
                <w:szCs w:val="20"/>
                <w:color w:val="auto"/>
              </w:rPr>
            </w:pPr>
          </w:p>
        </w:tc>
        <w:tc>
          <w:tcPr>
            <w:tcW w:w="4680" w:type="dxa"/>
            <w:vAlign w:val="bottom"/>
          </w:tcPr>
          <w:p>
            <w:pPr>
              <w:jc w:val="center"/>
              <w:ind w:left="262"/>
              <w:spacing w:after="0"/>
              <w:rPr>
                <w:sz w:val="20"/>
                <w:szCs w:val="20"/>
                <w:color w:val="auto"/>
              </w:rPr>
            </w:pPr>
            <w:r>
              <w:rPr>
                <w:rFonts w:ascii="Arial" w:cs="Arial" w:eastAsia="Arial" w:hAnsi="Arial"/>
                <w:sz w:val="18"/>
                <w:szCs w:val="18"/>
                <w:color w:val="auto"/>
                <w:w w:val="89"/>
              </w:rPr>
              <w:t>/S/ Kevin S. Cavanah</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40" w:type="dxa"/>
            <w:vAlign w:val="bottom"/>
          </w:tcPr>
          <w:p>
            <w:pPr>
              <w:jc w:val="center"/>
              <w:spacing w:after="0"/>
              <w:rPr>
                <w:sz w:val="20"/>
                <w:szCs w:val="20"/>
                <w:color w:val="auto"/>
              </w:rPr>
            </w:pPr>
            <w:r>
              <w:rPr>
                <w:rFonts w:ascii="Arial" w:cs="Arial" w:eastAsia="Arial" w:hAnsi="Arial"/>
                <w:sz w:val="14"/>
                <w:szCs w:val="14"/>
                <w:b w:val="1"/>
                <w:bCs w:val="1"/>
                <w:color w:val="auto"/>
                <w:w w:val="94"/>
              </w:rPr>
              <w:t>John R. Hewitt</w:t>
            </w:r>
          </w:p>
        </w:tc>
        <w:tc>
          <w:tcPr>
            <w:tcW w:w="2500" w:type="dxa"/>
            <w:vAlign w:val="bottom"/>
          </w:tcPr>
          <w:p>
            <w:pPr>
              <w:spacing w:after="0"/>
              <w:rPr>
                <w:sz w:val="16"/>
                <w:szCs w:val="16"/>
                <w:color w:val="auto"/>
              </w:rPr>
            </w:pPr>
          </w:p>
        </w:tc>
        <w:tc>
          <w:tcPr>
            <w:tcW w:w="4680" w:type="dxa"/>
            <w:vAlign w:val="bottom"/>
            <w:vMerge w:val="restart"/>
          </w:tcPr>
          <w:p>
            <w:pPr>
              <w:jc w:val="center"/>
              <w:ind w:left="262"/>
              <w:spacing w:after="0"/>
              <w:rPr>
                <w:sz w:val="20"/>
                <w:szCs w:val="20"/>
                <w:color w:val="auto"/>
              </w:rPr>
            </w:pPr>
            <w:r>
              <w:rPr>
                <w:rFonts w:ascii="Arial" w:cs="Arial" w:eastAsia="Arial" w:hAnsi="Arial"/>
                <w:sz w:val="14"/>
                <w:szCs w:val="14"/>
                <w:b w:val="1"/>
                <w:bCs w:val="1"/>
                <w:color w:val="auto"/>
                <w:w w:val="93"/>
              </w:rPr>
              <w:t>Kevin S. Cavanah</w:t>
            </w: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4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40" w:type="dxa"/>
            <w:vAlign w:val="bottom"/>
          </w:tcPr>
          <w:p>
            <w:pPr>
              <w:jc w:val="center"/>
              <w:spacing w:after="0"/>
              <w:rPr>
                <w:sz w:val="20"/>
                <w:szCs w:val="20"/>
                <w:color w:val="auto"/>
              </w:rPr>
            </w:pPr>
            <w:r>
              <w:rPr>
                <w:rFonts w:ascii="Arial" w:cs="Arial" w:eastAsia="Arial" w:hAnsi="Arial"/>
                <w:sz w:val="14"/>
                <w:szCs w:val="14"/>
                <w:b w:val="1"/>
                <w:bCs w:val="1"/>
                <w:color w:val="auto"/>
                <w:w w:val="92"/>
              </w:rPr>
              <w:t>President and Chief Executive Officer</w:t>
            </w:r>
          </w:p>
        </w:tc>
        <w:tc>
          <w:tcPr>
            <w:tcW w:w="2500" w:type="dxa"/>
            <w:vAlign w:val="bottom"/>
          </w:tcPr>
          <w:p>
            <w:pPr>
              <w:spacing w:after="0"/>
              <w:rPr>
                <w:sz w:val="17"/>
                <w:szCs w:val="17"/>
                <w:color w:val="auto"/>
              </w:rPr>
            </w:pPr>
          </w:p>
        </w:tc>
        <w:tc>
          <w:tcPr>
            <w:tcW w:w="4680" w:type="dxa"/>
            <w:vAlign w:val="bottom"/>
            <w:vMerge w:val="restart"/>
          </w:tcPr>
          <w:p>
            <w:pPr>
              <w:jc w:val="center"/>
              <w:ind w:left="262"/>
              <w:spacing w:after="0"/>
              <w:rPr>
                <w:sz w:val="20"/>
                <w:szCs w:val="20"/>
                <w:color w:val="auto"/>
              </w:rPr>
            </w:pPr>
            <w:r>
              <w:rPr>
                <w:rFonts w:ascii="Arial" w:cs="Arial" w:eastAsia="Arial" w:hAnsi="Arial"/>
                <w:sz w:val="14"/>
                <w:szCs w:val="14"/>
                <w:b w:val="1"/>
                <w:bCs w:val="1"/>
                <w:color w:val="auto"/>
                <w:w w:val="94"/>
              </w:rPr>
              <w:t>Vice President and Chief Financial Officer</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4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0"/>
        </w:trPr>
        <w:tc>
          <w:tcPr>
            <w:tcW w:w="4240" w:type="dxa"/>
            <w:vAlign w:val="bottom"/>
          </w:tcPr>
          <w:p>
            <w:pPr>
              <w:spacing w:after="0"/>
              <w:rPr>
                <w:sz w:val="20"/>
                <w:szCs w:val="20"/>
                <w:color w:val="auto"/>
              </w:rPr>
            </w:pPr>
            <w:r>
              <w:rPr>
                <w:rFonts w:ascii="Arial" w:cs="Arial" w:eastAsia="Arial" w:hAnsi="Arial"/>
                <w:sz w:val="18"/>
                <w:szCs w:val="18"/>
                <w:color w:val="auto"/>
              </w:rPr>
              <w:t>September 12, 2018</w:t>
            </w:r>
          </w:p>
        </w:tc>
        <w:tc>
          <w:tcPr>
            <w:tcW w:w="25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4240" w:type="dxa"/>
            <w:vAlign w:val="bottom"/>
          </w:tcPr>
          <w:p>
            <w:pPr>
              <w:spacing w:after="0"/>
              <w:rPr>
                <w:sz w:val="24"/>
                <w:szCs w:val="24"/>
                <w:color w:val="auto"/>
              </w:rPr>
            </w:pPr>
          </w:p>
        </w:tc>
        <w:tc>
          <w:tcPr>
            <w:tcW w:w="2500" w:type="dxa"/>
            <w:vAlign w:val="bottom"/>
          </w:tcPr>
          <w:p>
            <w:pPr>
              <w:jc w:val="right"/>
              <w:ind w:right="850"/>
              <w:spacing w:after="0"/>
              <w:rPr>
                <w:sz w:val="20"/>
                <w:szCs w:val="20"/>
                <w:color w:val="auto"/>
              </w:rPr>
            </w:pPr>
            <w:r>
              <w:rPr>
                <w:rFonts w:ascii="Arial" w:cs="Arial" w:eastAsia="Arial" w:hAnsi="Arial"/>
                <w:sz w:val="18"/>
                <w:szCs w:val="18"/>
                <w:color w:val="auto"/>
              </w:rPr>
              <w:t>41</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Company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internal control over financial reporting of Matrix Service Company and subsidiaries (the “Company”) as of June 30, 2018, based on the criteria established in Internal Control - Integrated Framework (2013) issued by the Committee of Sponsoring Organizations of the Treadway Commission. In our opinion, the Company maintained, in all material respects, effective internal control over financial reporting as of June 30, 2018 based on criteria established in Internal Control - Integrated Framework (2013) issued by COSO.</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fiscal year ended June 30, 2018 of the Company and our report dated August 30, 2018, expressed an unqualified opinion on those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Opinion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12, 2018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Matrix Service Company and subsidiaries (the “Company”) as of June 30, 2018 and 2017, and the related Consolidated Statements of Income, Comprehensive Income, Cash Flows and Changes in Stockholders’ Equity for each of the three years in the period ended June 30, 2018 and the related notes and schedules listed in the Index at Item 8 (collectively referred to as the "financial statements"). In our opinion, the financial statements present fairly, in all material respects, the financial position of the Company as of June 30, 2018 and 2017, and the results of its operations and its cash flows for each of the three years in the period ended June 30, 2018, in conformity with accounting principles generally accepted in the United States of America.</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June 30, 2018, based on criteria established in Internal Control - Integrated Framework (2013) issued by the Committee of Sponsoring Organizations of the Treadway Commission and our report dated August 30, 2018 expressed an unqualified opinion on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Opinion</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12,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 auditor since 2006.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54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2"/>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1,091,553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1,197,509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1,311,917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999,617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1,116,506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1,185,926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91,936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81,003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125,991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84,417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76,144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85,109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 impairment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17,998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4,859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40,882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 expense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39,653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Provision (benefit) for federal, state and foreign income taxes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14,116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25,537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Less: Net income (loss) attributable to noncontrolling interest</w:t>
            </w: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Matrix Service Company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28,863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(loss)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(loss) per common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26,533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26,597</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26,769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26,533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27,100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44</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Fiscal Years Ended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52"/>
        </w:trPr>
        <w:tc>
          <w:tcPr>
            <w:tcW w:w="7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10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7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25,537</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71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Foreign currency translation loss (net of tax expense (benefit) of ($24), $180 and $236 for</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7"/>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 fiscal years ended June 30, 2018, 2017 and 2016,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24,618</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income (loss) attributable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Matrix Service Company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(11,567)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27,944</w:t>
            </w:r>
          </w:p>
        </w:tc>
      </w:tr>
      <w:tr>
        <w:trPr>
          <w:trHeight w:val="27"/>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1440" w:type="dxa"/>
            <w:vAlign w:val="bottom"/>
          </w:tcPr>
          <w:p>
            <w:pPr>
              <w:jc w:val="right"/>
              <w:ind w:right="59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6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2017</w:t>
            </w:r>
          </w:p>
        </w:tc>
      </w:tr>
      <w:tr>
        <w:trPr>
          <w:trHeight w:val="250"/>
        </w:trPr>
        <w:tc>
          <w:tcPr>
            <w:tcW w:w="7660" w:type="dxa"/>
            <w:vAlign w:val="bottom"/>
            <w:tcBorders>
              <w:bottom w:val="single" w:sz="8" w:color="CCEEFF"/>
            </w:tcBorders>
            <w:shd w:val="clear" w:color="auto" w:fill="CCEEFF"/>
          </w:tcPr>
          <w:p>
            <w:pPr>
              <w:ind w:left="35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43,805</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Accounts receivable, less allowances (2018 - $6,327; 2017 - $9,887)</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203,388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210,953</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76,632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91,180</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5,152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3,737</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4,458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4,913</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357,046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358,630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 and buildings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38,916</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Construction equipment</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89,036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94,298</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48,574</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Office equipment and software</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41,236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36,556</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5,952</w:t>
            </w: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Total property, plant and equipment - at cost</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220,388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224,296</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(147,743)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(144,022)</w:t>
            </w: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Property, plant and equipment - net</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72,645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80,274</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96,162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113,501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22,814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26,296</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4,518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3,944</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558,033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586,030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1440" w:type="dxa"/>
            <w:vAlign w:val="bottom"/>
          </w:tcPr>
          <w:p>
            <w:pPr>
              <w:jc w:val="right"/>
              <w:ind w:right="59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6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2017</w:t>
            </w:r>
          </w:p>
        </w:tc>
      </w:tr>
      <w:tr>
        <w:trPr>
          <w:trHeight w:val="250"/>
        </w:trPr>
        <w:tc>
          <w:tcPr>
            <w:tcW w:w="7660" w:type="dxa"/>
            <w:vAlign w:val="bottom"/>
            <w:tcBorders>
              <w:bottom w:val="single" w:sz="8" w:color="CCEEFF"/>
            </w:tcBorders>
            <w:shd w:val="clear" w:color="auto" w:fill="CCEEFF"/>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79,439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105,649</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120,740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75,127</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20,992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9,080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9,340</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 accrued expenses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4,824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7,699</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238,465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218,976</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128</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senior secured revolving credit facility</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44,682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435</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239,190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264,221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5"/>
              </w:rPr>
              <w:t>Common stock—$.01 par value; 60,000,000 shares authorized; 27,888,217 shares issued as of</w:t>
            </w: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w w:val="93"/>
              </w:rPr>
              <w:t>June 30, 2018 and June 30, 2017; 26,853,823 and 26,600,562 shares outstanding as of June 30,</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2018 and June 30, 2017</w:t>
            </w:r>
          </w:p>
        </w:tc>
        <w:tc>
          <w:tcPr>
            <w:tcW w:w="380" w:type="dxa"/>
            <w:vAlign w:val="bottom"/>
          </w:tcPr>
          <w:p>
            <w:pPr>
              <w:spacing w:after="0"/>
              <w:rPr>
                <w:sz w:val="20"/>
                <w:szCs w:val="20"/>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279</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132,198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128,419</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211,494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222,974</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(7,324)</w:t>
            </w:r>
          </w:p>
        </w:tc>
      </w:tr>
      <w:tr>
        <w:trPr>
          <w:trHeight w:val="237"/>
        </w:trPr>
        <w:tc>
          <w:tcPr>
            <w:tcW w:w="76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336,560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344,348</w:t>
            </w:r>
          </w:p>
        </w:tc>
      </w:tr>
      <w:tr>
        <w:trPr>
          <w:trHeight w:val="27"/>
        </w:trPr>
        <w:tc>
          <w:tcPr>
            <w:tcW w:w="7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Less treasury stock, at cost — 1,034,394 and 1,287,655 shares as of June 30, 2018 and June 30, 2017</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(22,539)</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318,843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321,809</w:t>
            </w:r>
          </w:p>
        </w:tc>
      </w:tr>
      <w:tr>
        <w:trPr>
          <w:trHeight w:val="27"/>
        </w:trPr>
        <w:tc>
          <w:tcPr>
            <w:tcW w:w="7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558,033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586,030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52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2"/>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6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(11,480)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25,537</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(used) by operating</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 net of effects of acquisitions: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20,347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21,602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21,441</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Goodwill and other intangible asset impairment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Deferred income tax</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1,871</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Gain on sale of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Provision for uncollectible accounts</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6,034</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6,317</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240</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Changes in operating assets and liabilities increasing (decreasing) cash, net of effects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from acquisitions: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5,504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4,152</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6"/>
              </w:rPr>
              <w:t>Costs and estimated earnings in excess of billings on uncompleted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(17,930)</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606</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7,380</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(25,883)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(37,047)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14,698</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6"/>
              </w:rPr>
              <w:t>Billings on uncompleted contracts in excess of costs and estimated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(38,377)</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1,657</w:t>
            </w:r>
          </w:p>
        </w:tc>
      </w:tr>
      <w:tr>
        <w:trPr>
          <w:trHeight w:val="27"/>
        </w:trPr>
        <w:tc>
          <w:tcPr>
            <w:tcW w:w="6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(used)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74,671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33,587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Acquisitions, net of cash acquired (Note 2)</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Acquisition of property, plant and equipment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asset sales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used by investing activities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15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(40,819)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(13,049)</w:t>
            </w:r>
          </w:p>
        </w:tc>
      </w:tr>
      <w:tr>
        <w:trPr>
          <w:trHeight w:val="270"/>
        </w:trPr>
        <w:tc>
          <w:tcPr>
            <w:tcW w:w="5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(8,711)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(11,908)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(13,939)</w:t>
            </w:r>
          </w:p>
        </w:tc>
      </w:tr>
      <w:tr>
        <w:trPr>
          <w:trHeight w:val="270"/>
        </w:trPr>
        <w:tc>
          <w:tcPr>
            <w:tcW w:w="58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422</w:t>
            </w:r>
          </w:p>
        </w:tc>
      </w:tr>
      <w:tr>
        <w:trPr>
          <w:trHeight w:val="27"/>
        </w:trPr>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(9,336)</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(51,419)</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(26,566)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-334010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4" w:lineRule="exact"/>
        <w:rPr>
          <w:sz w:val="20"/>
          <w:szCs w:val="20"/>
          <w:color w:val="auto"/>
        </w:rPr>
      </w:pPr>
    </w:p>
    <w:p>
      <w:pPr>
        <w:jc w:val="center"/>
        <w:ind w:right="4820"/>
        <w:spacing w:after="0"/>
        <w:rPr>
          <w:sz w:val="20"/>
          <w:szCs w:val="20"/>
          <w:color w:val="auto"/>
        </w:rPr>
      </w:pPr>
      <w:r>
        <w:rPr>
          <w:rFonts w:ascii="Arial" w:cs="Arial" w:eastAsia="Arial" w:hAnsi="Arial"/>
          <w:sz w:val="15"/>
          <w:szCs w:val="15"/>
          <w:i w:val="1"/>
          <w:iCs w:val="1"/>
          <w:color w:val="auto"/>
        </w:rPr>
        <w:t>See accompanying notes</w:t>
      </w:r>
    </w:p>
    <w:p>
      <w:pPr>
        <w:spacing w:after="0" w:line="152" w:lineRule="exact"/>
        <w:rPr>
          <w:sz w:val="20"/>
          <w:szCs w:val="20"/>
          <w:color w:val="auto"/>
        </w:rPr>
      </w:pPr>
    </w:p>
    <w:p>
      <w:pPr>
        <w:jc w:val="center"/>
        <w:ind w:right="4820"/>
        <w:spacing w:after="0"/>
        <w:rPr>
          <w:sz w:val="20"/>
          <w:szCs w:val="20"/>
          <w:color w:val="auto"/>
        </w:rPr>
      </w:pPr>
      <w:r>
        <w:rPr>
          <w:rFonts w:ascii="Arial" w:cs="Arial" w:eastAsia="Arial" w:hAnsi="Arial"/>
          <w:sz w:val="18"/>
          <w:szCs w:val="18"/>
          <w:i w:val="1"/>
          <w:iCs w:val="1"/>
          <w:color w:val="auto"/>
        </w:rPr>
        <w:t>48</w:t>
      </w:r>
    </w:p>
    <w:p>
      <w:pPr>
        <w:sectPr>
          <w:pgSz w:w="11900" w:h="16838" w:orient="portrait"/>
          <w:cols w:equalWidth="0" w:num="2">
            <w:col w:w="4100" w:space="720"/>
            <w:col w:w="660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52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2"/>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Advances under senior secured revolving credit facility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85,317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126,933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10,213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advances under senior secured 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Payment of debt amendment fees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market purchase of treasury shares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Issuances of common stock</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9"/>
        </w:trPr>
        <w:tc>
          <w:tcPr>
            <w:tcW w:w="6400" w:type="dxa"/>
            <w:vAlign w:val="bottom"/>
          </w:tcPr>
          <w:p>
            <w:pPr>
              <w:ind w:left="40"/>
              <w:spacing w:after="0"/>
              <w:rPr>
                <w:sz w:val="20"/>
                <w:szCs w:val="20"/>
                <w:color w:val="auto"/>
              </w:rPr>
            </w:pPr>
            <w:r>
              <w:rPr>
                <w:rFonts w:ascii="Arial" w:cs="Arial" w:eastAsia="Arial" w:hAnsi="Arial"/>
                <w:sz w:val="18"/>
                <w:szCs w:val="18"/>
                <w:color w:val="auto"/>
                <w:w w:val="97"/>
              </w:rPr>
              <w:t>Repurchase of common stock for payment of statutory taxes due on equity-based</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contributions from noncontrolling interest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10,892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Repayment of acquired long-term debt</w:t>
            </w:r>
          </w:p>
        </w:tc>
        <w:tc>
          <w:tcPr>
            <w:tcW w:w="3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(used)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42,732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43,805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71,656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79,239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71,656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11,968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9,365</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Interest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acquisition working capital adjustment (Note 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Purchases of property, plant and equipment on account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Assumption of debt from acquisition (Note 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5"/>
                <w:szCs w:val="5"/>
                <w:color w:val="auto"/>
              </w:rPr>
            </w:pPr>
          </w:p>
        </w:tc>
        <w:tc>
          <w:tcPr>
            <w:tcW w:w="112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5"/>
                <w:szCs w:val="5"/>
                <w:color w:val="auto"/>
              </w:rPr>
            </w:pPr>
          </w:p>
        </w:tc>
        <w:tc>
          <w:tcPr>
            <w:tcW w:w="90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5"/>
                <w:szCs w:val="5"/>
                <w:color w:val="auto"/>
              </w:rPr>
            </w:pPr>
          </w:p>
        </w:tc>
        <w:tc>
          <w:tcPr>
            <w:tcW w:w="9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5"/>
                <w:szCs w:val="5"/>
                <w:color w:val="auto"/>
              </w:rPr>
            </w:pPr>
          </w:p>
        </w:tc>
        <w:tc>
          <w:tcPr>
            <w:tcW w:w="13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Controlling</w:t>
            </w:r>
          </w:p>
        </w:tc>
        <w:tc>
          <w:tcPr>
            <w:tcW w:w="780" w:type="dxa"/>
            <w:vAlign w:val="bottom"/>
            <w:vMerge w:val="restart"/>
          </w:tcPr>
          <w:p>
            <w:pPr>
              <w:jc w:val="right"/>
              <w:ind w:right="168"/>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3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128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5"/>
                <w:szCs w:val="5"/>
                <w:color w:val="auto"/>
              </w:rPr>
            </w:pPr>
          </w:p>
        </w:tc>
        <w:tc>
          <w:tcPr>
            <w:tcW w:w="90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5"/>
                <w:szCs w:val="5"/>
                <w:color w:val="auto"/>
              </w:rPr>
            </w:pPr>
          </w:p>
        </w:tc>
        <w:tc>
          <w:tcPr>
            <w:tcW w:w="9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5"/>
                <w:szCs w:val="5"/>
                <w:color w:val="auto"/>
              </w:rPr>
            </w:pPr>
          </w:p>
        </w:tc>
        <w:tc>
          <w:tcPr>
            <w:tcW w:w="13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3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Income(Loss)</w:t>
            </w: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July 1, 2015</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123,038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194,394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  284,554</w:t>
            </w:r>
          </w:p>
        </w:tc>
        <w:tc>
          <w:tcPr>
            <w:tcW w:w="0" w:type="dxa"/>
            <w:vAlign w:val="bottom"/>
          </w:tcPr>
          <w:p>
            <w:pPr>
              <w:spacing w:after="0"/>
              <w:rPr>
                <w:sz w:val="1"/>
                <w:szCs w:val="1"/>
                <w:color w:val="auto"/>
              </w:rPr>
            </w:pPr>
          </w:p>
        </w:tc>
      </w:tr>
      <w:tr>
        <w:trPr>
          <w:trHeight w:val="218"/>
        </w:trPr>
        <w:tc>
          <w:tcPr>
            <w:tcW w:w="3560" w:type="dxa"/>
            <w:vAlign w:val="bottom"/>
          </w:tcPr>
          <w:p>
            <w:pPr>
              <w:ind w:left="380"/>
              <w:spacing w:after="0"/>
              <w:rPr>
                <w:sz w:val="20"/>
                <w:szCs w:val="20"/>
                <w:color w:val="auto"/>
              </w:rPr>
            </w:pPr>
            <w:r>
              <w:rPr>
                <w:rFonts w:ascii="Arial" w:cs="Arial" w:eastAsia="Arial" w:hAnsi="Arial"/>
                <w:sz w:val="14"/>
                <w:szCs w:val="14"/>
                <w:color w:val="auto"/>
              </w:rPr>
              <w:t>Capital contributions from noncontrolling interest</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10,892</w:t>
            </w:r>
          </w:p>
        </w:tc>
        <w:tc>
          <w:tcPr>
            <w:tcW w:w="1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10,892</w:t>
            </w:r>
          </w:p>
        </w:tc>
        <w:tc>
          <w:tcPr>
            <w:tcW w:w="0" w:type="dxa"/>
            <w:vAlign w:val="bottom"/>
          </w:tcPr>
          <w:p>
            <w:pPr>
              <w:spacing w:after="0"/>
              <w:rPr>
                <w:sz w:val="1"/>
                <w:szCs w:val="1"/>
                <w:color w:val="auto"/>
              </w:rPr>
            </w:pPr>
          </w:p>
        </w:tc>
      </w:tr>
      <w:tr>
        <w:trPr>
          <w:trHeight w:val="53"/>
        </w:trPr>
        <w:tc>
          <w:tcPr>
            <w:tcW w:w="3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28,863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25,537</w:t>
            </w:r>
          </w:p>
        </w:tc>
        <w:tc>
          <w:tcPr>
            <w:tcW w:w="0" w:type="dxa"/>
            <w:vAlign w:val="bottom"/>
          </w:tcPr>
          <w:p>
            <w:pPr>
              <w:spacing w:after="0"/>
              <w:rPr>
                <w:sz w:val="1"/>
                <w:szCs w:val="1"/>
                <w:color w:val="auto"/>
              </w:rPr>
            </w:pPr>
          </w:p>
        </w:tc>
      </w:tr>
      <w:tr>
        <w:trPr>
          <w:trHeight w:val="218"/>
        </w:trPr>
        <w:tc>
          <w:tcPr>
            <w:tcW w:w="3560" w:type="dxa"/>
            <w:vAlign w:val="bottom"/>
          </w:tcPr>
          <w:p>
            <w:pPr>
              <w:ind w:left="380"/>
              <w:spacing w:after="0"/>
              <w:rPr>
                <w:sz w:val="20"/>
                <w:szCs w:val="20"/>
                <w:color w:val="auto"/>
              </w:rPr>
            </w:pPr>
            <w:r>
              <w:rPr>
                <w:rFonts w:ascii="Arial" w:cs="Arial" w:eastAsia="Arial" w:hAnsi="Arial"/>
                <w:sz w:val="14"/>
                <w:szCs w:val="14"/>
                <w:color w:val="auto"/>
              </w:rPr>
              <w:t>Other comprehensive loss</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53"/>
        </w:trPr>
        <w:tc>
          <w:tcPr>
            <w:tcW w:w="3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5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w w:val="99"/>
              </w:rPr>
              <w:t>Treasury Shares sold to Employee Stock Purchase</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01"/>
        </w:trPr>
        <w:tc>
          <w:tcPr>
            <w:tcW w:w="3560" w:type="dxa"/>
            <w:vAlign w:val="bottom"/>
            <w:vMerge w:val="restart"/>
            <w:shd w:val="clear" w:color="auto" w:fill="CCEEFF"/>
          </w:tcPr>
          <w:p>
            <w:pPr>
              <w:ind w:left="380"/>
              <w:spacing w:after="0"/>
              <w:rPr>
                <w:sz w:val="20"/>
                <w:szCs w:val="20"/>
                <w:color w:val="auto"/>
              </w:rPr>
            </w:pPr>
            <w:r>
              <w:rPr>
                <w:rFonts w:ascii="Arial" w:cs="Arial" w:eastAsia="Arial" w:hAnsi="Arial"/>
                <w:sz w:val="14"/>
                <w:szCs w:val="14"/>
                <w:color w:val="auto"/>
              </w:rPr>
              <w:t>Plan (17,304 shares)</w:t>
            </w:r>
          </w:p>
        </w:tc>
        <w:tc>
          <w:tcPr>
            <w:tcW w:w="14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56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420"/>
          </w:cols>
          <w:pgMar w:left="240" w:top="125" w:right="239" w:bottom="1440" w:gutter="0" w:footer="0" w:header="0"/>
        </w:sectPr>
      </w:pPr>
    </w:p>
    <w:p>
      <w:pPr>
        <w:ind w:left="380"/>
        <w:spacing w:after="0"/>
        <w:rPr>
          <w:sz w:val="20"/>
          <w:szCs w:val="20"/>
          <w:color w:val="auto"/>
        </w:rPr>
      </w:pPr>
      <w:r>
        <w:rPr>
          <w:rFonts w:ascii="Arial" w:cs="Arial" w:eastAsia="Arial" w:hAnsi="Arial"/>
          <w:sz w:val="13"/>
          <w:szCs w:val="13"/>
          <w:color w:val="auto"/>
        </w:rPr>
        <w:t>Exercise of stock options (68,037 shares)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2"/>
          <w:szCs w:val="12"/>
          <w:color w:val="auto"/>
        </w:rPr>
        <w:t>Issuance of deferred shares (631,443 shares)</w:t>
      </w:r>
    </w:p>
    <w:p>
      <w:pPr>
        <w:spacing w:after="0" w:line="132" w:lineRule="exact"/>
        <w:rPr>
          <w:sz w:val="20"/>
          <w:szCs w:val="20"/>
          <w:color w:val="auto"/>
        </w:rPr>
      </w:pPr>
    </w:p>
    <w:p>
      <w:pPr>
        <w:jc w:val="both"/>
        <w:ind w:left="380" w:right="700"/>
        <w:spacing w:after="0" w:line="305" w:lineRule="auto"/>
        <w:rPr>
          <w:sz w:val="20"/>
          <w:szCs w:val="20"/>
          <w:color w:val="auto"/>
        </w:rPr>
      </w:pPr>
      <w:r>
        <w:rPr>
          <w:rFonts w:ascii="Arial" w:cs="Arial" w:eastAsia="Arial" w:hAnsi="Arial"/>
          <w:sz w:val="12"/>
          <w:szCs w:val="12"/>
          <w:color w:val="auto"/>
        </w:rPr>
        <w:t>Treasury shares repurchased to satisfy tax withholding obligations (205,504 shares)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00" w:type="dxa"/>
            <w:vAlign w:val="bottom"/>
          </w:tcPr>
          <w:p>
            <w:pPr>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08"/>
              <w:spacing w:after="0"/>
              <w:rPr>
                <w:sz w:val="20"/>
                <w:szCs w:val="20"/>
                <w:color w:val="auto"/>
              </w:rPr>
            </w:pPr>
            <w:r>
              <w:rPr>
                <w:rFonts w:ascii="Arial" w:cs="Arial" w:eastAsia="Arial" w:hAnsi="Arial"/>
                <w:sz w:val="14"/>
                <w:szCs w:val="14"/>
                <w:color w:val="auto"/>
              </w:rPr>
              <w:t>14</w:t>
            </w:r>
          </w:p>
        </w:tc>
        <w:tc>
          <w:tcPr>
            <w:tcW w:w="940" w:type="dxa"/>
            <w:vAlign w:val="bottom"/>
          </w:tcPr>
          <w:p>
            <w:pPr>
              <w:ind w:left="42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608"/>
              <w:spacing w:after="0"/>
              <w:rPr>
                <w:sz w:val="20"/>
                <w:szCs w:val="20"/>
                <w:color w:val="auto"/>
              </w:rPr>
            </w:pPr>
            <w:r>
              <w:rPr>
                <w:rFonts w:ascii="Arial" w:cs="Arial" w:eastAsia="Arial" w:hAnsi="Arial"/>
                <w:sz w:val="14"/>
                <w:szCs w:val="14"/>
                <w:color w:val="auto"/>
              </w:rPr>
              <w:t>624</w:t>
            </w:r>
          </w:p>
        </w:tc>
        <w:tc>
          <w:tcPr>
            <w:tcW w:w="1260" w:type="dxa"/>
            <w:vAlign w:val="bottom"/>
          </w:tcPr>
          <w:p>
            <w:pPr>
              <w:ind w:left="640"/>
              <w:spacing w:after="0"/>
              <w:rPr>
                <w:sz w:val="20"/>
                <w:szCs w:val="20"/>
                <w:color w:val="auto"/>
              </w:rPr>
            </w:pPr>
            <w:r>
              <w:rPr>
                <w:rFonts w:ascii="Arial" w:cs="Arial" w:eastAsia="Arial" w:hAnsi="Arial"/>
                <w:sz w:val="14"/>
                <w:szCs w:val="14"/>
                <w:color w:val="auto"/>
              </w:rPr>
              <w:t>—</w:t>
            </w:r>
          </w:p>
        </w:tc>
        <w:tc>
          <w:tcPr>
            <w:tcW w:w="900" w:type="dxa"/>
            <w:vAlign w:val="bottom"/>
          </w:tcPr>
          <w:p>
            <w:pPr>
              <w:ind w:left="5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638</w:t>
            </w:r>
          </w:p>
        </w:tc>
      </w:tr>
      <w:tr>
        <w:trPr>
          <w:trHeight w:val="270"/>
        </w:trPr>
        <w:tc>
          <w:tcPr>
            <w:tcW w:w="600" w:type="dxa"/>
            <w:vAlign w:val="bottom"/>
          </w:tcPr>
          <w:p>
            <w:pPr>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68"/>
              <w:spacing w:after="0"/>
              <w:rPr>
                <w:sz w:val="20"/>
                <w:szCs w:val="20"/>
                <w:color w:val="auto"/>
              </w:rPr>
            </w:pPr>
            <w:r>
              <w:rPr>
                <w:rFonts w:ascii="Arial" w:cs="Arial" w:eastAsia="Arial" w:hAnsi="Arial"/>
                <w:sz w:val="14"/>
                <w:szCs w:val="14"/>
                <w:color w:val="auto"/>
              </w:rPr>
              <w:t>(5,849)</w:t>
            </w:r>
          </w:p>
        </w:tc>
        <w:tc>
          <w:tcPr>
            <w:tcW w:w="940" w:type="dxa"/>
            <w:vAlign w:val="bottom"/>
          </w:tcPr>
          <w:p>
            <w:pPr>
              <w:ind w:left="42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608"/>
              <w:spacing w:after="0"/>
              <w:rPr>
                <w:sz w:val="20"/>
                <w:szCs w:val="20"/>
                <w:color w:val="auto"/>
              </w:rPr>
            </w:pPr>
            <w:r>
              <w:rPr>
                <w:rFonts w:ascii="Arial" w:cs="Arial" w:eastAsia="Arial" w:hAnsi="Arial"/>
                <w:sz w:val="14"/>
                <w:szCs w:val="14"/>
                <w:color w:val="auto"/>
              </w:rPr>
              <w:t>5,849</w:t>
            </w:r>
          </w:p>
        </w:tc>
        <w:tc>
          <w:tcPr>
            <w:tcW w:w="1260" w:type="dxa"/>
            <w:vAlign w:val="bottom"/>
          </w:tcPr>
          <w:p>
            <w:pPr>
              <w:ind w:left="640"/>
              <w:spacing w:after="0"/>
              <w:rPr>
                <w:sz w:val="20"/>
                <w:szCs w:val="20"/>
                <w:color w:val="auto"/>
              </w:rPr>
            </w:pPr>
            <w:r>
              <w:rPr>
                <w:rFonts w:ascii="Arial" w:cs="Arial" w:eastAsia="Arial" w:hAnsi="Arial"/>
                <w:sz w:val="14"/>
                <w:szCs w:val="14"/>
                <w:color w:val="auto"/>
              </w:rPr>
              <w:t>—</w:t>
            </w:r>
          </w:p>
        </w:tc>
        <w:tc>
          <w:tcPr>
            <w:tcW w:w="900" w:type="dxa"/>
            <w:vAlign w:val="bottom"/>
          </w:tcPr>
          <w:p>
            <w:pPr>
              <w:ind w:left="5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11"/>
        </w:trPr>
        <w:tc>
          <w:tcPr>
            <w:tcW w:w="600" w:type="dxa"/>
            <w:vAlign w:val="bottom"/>
          </w:tcPr>
          <w:p>
            <w:pPr>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Pr>
          <w:p>
            <w:pPr>
              <w:ind w:left="42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568"/>
              <w:spacing w:after="0"/>
              <w:rPr>
                <w:sz w:val="20"/>
                <w:szCs w:val="20"/>
                <w:color w:val="auto"/>
              </w:rPr>
            </w:pPr>
            <w:r>
              <w:rPr>
                <w:rFonts w:ascii="Arial" w:cs="Arial" w:eastAsia="Arial" w:hAnsi="Arial"/>
                <w:sz w:val="14"/>
                <w:szCs w:val="14"/>
                <w:color w:val="auto"/>
              </w:rPr>
              <w:t>(4,588)</w:t>
            </w:r>
          </w:p>
        </w:tc>
        <w:tc>
          <w:tcPr>
            <w:tcW w:w="1260" w:type="dxa"/>
            <w:vAlign w:val="bottom"/>
          </w:tcPr>
          <w:p>
            <w:pPr>
              <w:ind w:left="640"/>
              <w:spacing w:after="0"/>
              <w:rPr>
                <w:sz w:val="20"/>
                <w:szCs w:val="20"/>
                <w:color w:val="auto"/>
              </w:rPr>
            </w:pPr>
            <w:r>
              <w:rPr>
                <w:rFonts w:ascii="Arial" w:cs="Arial" w:eastAsia="Arial" w:hAnsi="Arial"/>
                <w:sz w:val="14"/>
                <w:szCs w:val="14"/>
                <w:color w:val="auto"/>
              </w:rPr>
              <w:t>—</w:t>
            </w:r>
          </w:p>
        </w:tc>
        <w:tc>
          <w:tcPr>
            <w:tcW w:w="900" w:type="dxa"/>
            <w:vAlign w:val="bottom"/>
          </w:tcPr>
          <w:p>
            <w:pPr>
              <w:ind w:left="5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(4,588)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-334645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3500" w:space="720"/>
            <w:col w:w="72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35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99"/>
              </w:rPr>
              <w:t>Tax effect of exercised stock options and vesting of</w:t>
            </w: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3,261</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3,261</w:t>
            </w:r>
          </w:p>
        </w:tc>
        <w:tc>
          <w:tcPr>
            <w:tcW w:w="0" w:type="dxa"/>
            <w:vAlign w:val="bottom"/>
          </w:tcPr>
          <w:p>
            <w:pPr>
              <w:spacing w:after="0"/>
              <w:rPr>
                <w:sz w:val="1"/>
                <w:szCs w:val="1"/>
                <w:color w:val="auto"/>
              </w:rPr>
            </w:pPr>
          </w:p>
        </w:tc>
      </w:tr>
      <w:tr>
        <w:trPr>
          <w:trHeight w:val="101"/>
        </w:trPr>
        <w:tc>
          <w:tcPr>
            <w:tcW w:w="3560" w:type="dxa"/>
            <w:vAlign w:val="bottom"/>
            <w:vMerge w:val="restart"/>
            <w:shd w:val="clear" w:color="auto" w:fill="CCEEFF"/>
          </w:tcPr>
          <w:p>
            <w:pPr>
              <w:ind w:left="380"/>
              <w:spacing w:after="0"/>
              <w:rPr>
                <w:sz w:val="20"/>
                <w:szCs w:val="20"/>
                <w:color w:val="auto"/>
              </w:rPr>
            </w:pPr>
            <w:r>
              <w:rPr>
                <w:rFonts w:ascii="Arial" w:cs="Arial" w:eastAsia="Arial" w:hAnsi="Arial"/>
                <w:sz w:val="14"/>
                <w:szCs w:val="14"/>
                <w:color w:val="auto"/>
              </w:rPr>
              <w:t>deferred shares</w:t>
            </w:r>
          </w:p>
        </w:tc>
        <w:tc>
          <w:tcPr>
            <w:tcW w:w="1060" w:type="dxa"/>
            <w:vAlign w:val="bottom"/>
            <w:gridSpan w:val="2"/>
            <w:vMerge w:val="continue"/>
            <w:shd w:val="clear" w:color="auto" w:fill="CCEEFF"/>
          </w:tcPr>
          <w:p>
            <w:pPr>
              <w:spacing w:after="0"/>
              <w:rPr>
                <w:sz w:val="8"/>
                <w:szCs w:val="8"/>
                <w:color w:val="auto"/>
              </w:rPr>
            </w:pPr>
          </w:p>
        </w:tc>
        <w:tc>
          <w:tcPr>
            <w:tcW w:w="11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460" w:type="dxa"/>
            <w:vAlign w:val="bottom"/>
            <w:gridSpan w:val="2"/>
            <w:vMerge w:val="continue"/>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560" w:type="dxa"/>
            <w:vAlign w:val="bottom"/>
            <w:vMerge w:val="continue"/>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3560" w:type="dxa"/>
            <w:vAlign w:val="bottom"/>
          </w:tcPr>
          <w:p>
            <w:pPr>
              <w:ind w:left="380"/>
              <w:spacing w:after="0" w:line="157" w:lineRule="exact"/>
              <w:rPr>
                <w:sz w:val="20"/>
                <w:szCs w:val="20"/>
                <w:color w:val="auto"/>
              </w:rPr>
            </w:pPr>
            <w:r>
              <w:rPr>
                <w:rFonts w:ascii="Arial" w:cs="Arial" w:eastAsia="Arial" w:hAnsi="Arial"/>
                <w:sz w:val="14"/>
                <w:szCs w:val="14"/>
                <w:color w:val="auto"/>
                <w:w w:val="97"/>
              </w:rPr>
              <w:t>Open market purchases of treasury shares (654,958</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(10,461)</w:t>
            </w:r>
          </w:p>
        </w:tc>
        <w:tc>
          <w:tcPr>
            <w:tcW w:w="120" w:type="dxa"/>
            <w:vAlign w:val="bottom"/>
          </w:tcPr>
          <w:p>
            <w:pPr>
              <w:spacing w:after="0"/>
              <w:rPr>
                <w:sz w:val="13"/>
                <w:szCs w:val="13"/>
                <w:color w:val="auto"/>
              </w:rPr>
            </w:pPr>
          </w:p>
        </w:tc>
        <w:tc>
          <w:tcPr>
            <w:tcW w:w="14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(10,461)</w:t>
            </w:r>
          </w:p>
        </w:tc>
        <w:tc>
          <w:tcPr>
            <w:tcW w:w="0" w:type="dxa"/>
            <w:vAlign w:val="bottom"/>
          </w:tcPr>
          <w:p>
            <w:pPr>
              <w:spacing w:after="0"/>
              <w:rPr>
                <w:sz w:val="1"/>
                <w:szCs w:val="1"/>
                <w:color w:val="auto"/>
              </w:rPr>
            </w:pPr>
          </w:p>
        </w:tc>
      </w:tr>
      <w:tr>
        <w:trPr>
          <w:trHeight w:val="101"/>
        </w:trPr>
        <w:tc>
          <w:tcPr>
            <w:tcW w:w="3560" w:type="dxa"/>
            <w:vAlign w:val="bottom"/>
            <w:vMerge w:val="restart"/>
          </w:tcPr>
          <w:p>
            <w:pPr>
              <w:ind w:left="380"/>
              <w:spacing w:after="0"/>
              <w:rPr>
                <w:sz w:val="20"/>
                <w:szCs w:val="20"/>
                <w:color w:val="auto"/>
              </w:rPr>
            </w:pPr>
            <w:r>
              <w:rPr>
                <w:rFonts w:ascii="Arial" w:cs="Arial" w:eastAsia="Arial" w:hAnsi="Arial"/>
                <w:sz w:val="14"/>
                <w:szCs w:val="14"/>
                <w:color w:val="auto"/>
              </w:rPr>
              <w:t>shares)</w:t>
            </w:r>
          </w:p>
        </w:tc>
        <w:tc>
          <w:tcPr>
            <w:tcW w:w="1060" w:type="dxa"/>
            <w:vAlign w:val="bottom"/>
            <w:gridSpan w:val="2"/>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5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Stock-based compensation expense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6,317</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6,317</w:t>
            </w:r>
          </w:p>
        </w:tc>
        <w:tc>
          <w:tcPr>
            <w:tcW w:w="0" w:type="dxa"/>
            <w:vAlign w:val="bottom"/>
          </w:tcPr>
          <w:p>
            <w:pPr>
              <w:spacing w:after="0"/>
              <w:rPr>
                <w:sz w:val="1"/>
                <w:szCs w:val="1"/>
                <w:color w:val="auto"/>
              </w:rPr>
            </w:pPr>
          </w:p>
        </w:tc>
      </w:tr>
      <w:tr>
        <w:trPr>
          <w:trHeight w:val="211"/>
        </w:trPr>
        <w:tc>
          <w:tcPr>
            <w:tcW w:w="3560" w:type="dxa"/>
            <w:vAlign w:val="bottom"/>
          </w:tcPr>
          <w:p>
            <w:pPr>
              <w:ind w:left="40"/>
              <w:spacing w:after="0"/>
              <w:rPr>
                <w:sz w:val="20"/>
                <w:szCs w:val="20"/>
                <w:color w:val="auto"/>
              </w:rPr>
            </w:pPr>
            <w:r>
              <w:rPr>
                <w:rFonts w:ascii="Arial" w:cs="Arial" w:eastAsia="Arial" w:hAnsi="Arial"/>
                <w:sz w:val="14"/>
                <w:szCs w:val="14"/>
                <w:color w:val="auto"/>
              </w:rPr>
              <w:t>Balances, June 30, 2016</w:t>
            </w: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126,958</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223,257</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(26,907)</w:t>
            </w:r>
          </w:p>
        </w:tc>
        <w:tc>
          <w:tcPr>
            <w:tcW w:w="12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(6,845)</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(1,176)</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315,566</w:t>
            </w:r>
          </w:p>
        </w:tc>
        <w:tc>
          <w:tcPr>
            <w:tcW w:w="0" w:type="dxa"/>
            <w:vAlign w:val="bottom"/>
          </w:tcPr>
          <w:p>
            <w:pPr>
              <w:spacing w:after="0"/>
              <w:rPr>
                <w:sz w:val="1"/>
                <w:szCs w:val="1"/>
                <w:color w:val="auto"/>
              </w:rPr>
            </w:pPr>
          </w:p>
        </w:tc>
      </w:tr>
      <w:tr>
        <w:trPr>
          <w:trHeight w:val="39"/>
        </w:trPr>
        <w:tc>
          <w:tcPr>
            <w:tcW w:w="3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35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Retrospective adjustment for change in accounting</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for stock-based compensation forfeitures upon</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5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adoption of ASU 2016-09</w:t>
            </w:r>
          </w:p>
        </w:tc>
        <w:tc>
          <w:tcPr>
            <w:tcW w:w="9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560" w:type="dxa"/>
            <w:vAlign w:val="bottom"/>
          </w:tcPr>
          <w:p>
            <w:pPr>
              <w:ind w:left="40"/>
              <w:spacing w:after="0"/>
              <w:rPr>
                <w:sz w:val="20"/>
                <w:szCs w:val="20"/>
                <w:color w:val="auto"/>
              </w:rPr>
            </w:pPr>
            <w:r>
              <w:rPr>
                <w:rFonts w:ascii="Arial" w:cs="Arial" w:eastAsia="Arial" w:hAnsi="Arial"/>
                <w:sz w:val="14"/>
                <w:szCs w:val="14"/>
                <w:color w:val="auto"/>
              </w:rPr>
              <w:t>Balances, July 1, 2016, as adjusted</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127,058</w:t>
            </w:r>
          </w:p>
        </w:tc>
        <w:tc>
          <w:tcPr>
            <w:tcW w:w="12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223,157</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(26,907)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(6,845)</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(1,176)</w:t>
            </w:r>
          </w:p>
        </w:tc>
        <w:tc>
          <w:tcPr>
            <w:tcW w:w="1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315,566</w:t>
            </w:r>
          </w:p>
        </w:tc>
        <w:tc>
          <w:tcPr>
            <w:tcW w:w="0" w:type="dxa"/>
            <w:vAlign w:val="bottom"/>
          </w:tcPr>
          <w:p>
            <w:pPr>
              <w:spacing w:after="0"/>
              <w:rPr>
                <w:sz w:val="1"/>
                <w:szCs w:val="1"/>
                <w:color w:val="auto"/>
              </w:rPr>
            </w:pPr>
          </w:p>
        </w:tc>
      </w:tr>
      <w:tr>
        <w:trPr>
          <w:trHeight w:val="39"/>
        </w:trPr>
        <w:tc>
          <w:tcPr>
            <w:tcW w:w="35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5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Capital contributions from noncontrolling interest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855</w:t>
            </w:r>
          </w:p>
        </w:tc>
        <w:tc>
          <w:tcPr>
            <w:tcW w:w="0" w:type="dxa"/>
            <w:vAlign w:val="bottom"/>
          </w:tcPr>
          <w:p>
            <w:pPr>
              <w:spacing w:after="0"/>
              <w:rPr>
                <w:sz w:val="1"/>
                <w:szCs w:val="1"/>
                <w:color w:val="auto"/>
              </w:rPr>
            </w:pPr>
          </w:p>
        </w:tc>
      </w:tr>
      <w:tr>
        <w:trPr>
          <w:trHeight w:val="39"/>
        </w:trPr>
        <w:tc>
          <w:tcPr>
            <w:tcW w:w="35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ind w:left="38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380" w:right="220"/>
        <w:spacing w:after="0" w:line="253" w:lineRule="auto"/>
        <w:rPr>
          <w:sz w:val="20"/>
          <w:szCs w:val="20"/>
          <w:color w:val="auto"/>
        </w:rPr>
      </w:pPr>
      <w:r>
        <w:rPr>
          <w:rFonts w:ascii="Arial" w:cs="Arial" w:eastAsia="Arial" w:hAnsi="Arial"/>
          <w:sz w:val="14"/>
          <w:szCs w:val="14"/>
          <w:color w:val="auto"/>
        </w:rPr>
        <w:t>Treasury Shares sold to Employee Stock Purchase Plan (16,609 shares)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48"/>
              <w:spacing w:after="0"/>
              <w:rPr>
                <w:sz w:val="20"/>
                <w:szCs w:val="20"/>
                <w:color w:val="auto"/>
              </w:rPr>
            </w:pPr>
            <w:r>
              <w:rPr>
                <w:rFonts w:ascii="Arial" w:cs="Arial" w:eastAsia="Arial" w:hAnsi="Arial"/>
                <w:sz w:val="14"/>
                <w:szCs w:val="14"/>
                <w:color w:val="auto"/>
              </w:rPr>
              <w:t>(183)</w:t>
            </w:r>
          </w:p>
        </w:tc>
        <w:tc>
          <w:tcPr>
            <w:tcW w:w="126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321</w:t>
            </w:r>
          </w:p>
        </w:tc>
        <w:tc>
          <w:tcPr>
            <w:tcW w:w="620" w:type="dxa"/>
            <w:vAlign w:val="bottom"/>
          </w:tcPr>
          <w:p>
            <w:pPr>
              <w:jc w:val="right"/>
              <w:spacing w:after="0"/>
              <w:rPr>
                <w:sz w:val="20"/>
                <w:szCs w:val="20"/>
                <w:color w:val="auto"/>
              </w:rPr>
            </w:pPr>
            <w:r>
              <w:rPr>
                <w:rFonts w:ascii="Arial" w:cs="Arial" w:eastAsia="Arial" w:hAnsi="Arial"/>
                <w:sz w:val="14"/>
                <w:szCs w:val="14"/>
                <w:color w:val="auto"/>
              </w:rPr>
              <w:t>138</w:t>
            </w:r>
          </w:p>
        </w:tc>
      </w:tr>
      <w:tr>
        <w:trPr>
          <w:trHeight w:val="270"/>
        </w:trPr>
        <w:tc>
          <w:tcPr>
            <w:tcW w:w="70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368"/>
              <w:spacing w:after="0"/>
              <w:rPr>
                <w:sz w:val="20"/>
                <w:szCs w:val="20"/>
                <w:color w:val="auto"/>
              </w:rPr>
            </w:pPr>
            <w:r>
              <w:rPr>
                <w:rFonts w:ascii="Arial" w:cs="Arial" w:eastAsia="Arial" w:hAnsi="Arial"/>
                <w:sz w:val="14"/>
                <w:szCs w:val="14"/>
                <w:color w:val="auto"/>
              </w:rPr>
              <w:t>(479)</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(479)</w:t>
            </w:r>
          </w:p>
        </w:tc>
      </w:tr>
      <w:tr>
        <w:trPr>
          <w:trHeight w:val="311"/>
        </w:trPr>
        <w:tc>
          <w:tcPr>
            <w:tcW w:w="70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08"/>
              <w:spacing w:after="0"/>
              <w:rPr>
                <w:sz w:val="20"/>
                <w:szCs w:val="20"/>
                <w:color w:val="auto"/>
              </w:rPr>
            </w:pPr>
            <w:r>
              <w:rPr>
                <w:rFonts w:ascii="Arial" w:cs="Arial" w:eastAsia="Arial" w:hAnsi="Arial"/>
                <w:sz w:val="14"/>
                <w:szCs w:val="14"/>
                <w:color w:val="auto"/>
              </w:rPr>
              <w:t>(25)</w:t>
            </w:r>
          </w:p>
        </w:tc>
        <w:tc>
          <w:tcPr>
            <w:tcW w:w="11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28"/>
              <w:spacing w:after="0"/>
              <w:rPr>
                <w:sz w:val="20"/>
                <w:szCs w:val="20"/>
                <w:color w:val="auto"/>
              </w:rPr>
            </w:pPr>
            <w:r>
              <w:rPr>
                <w:rFonts w:ascii="Arial" w:cs="Arial" w:eastAsia="Arial" w:hAnsi="Arial"/>
                <w:sz w:val="14"/>
                <w:szCs w:val="14"/>
                <w:color w:val="auto"/>
              </w:rPr>
              <w:t>330</w:t>
            </w:r>
          </w:p>
        </w:tc>
        <w:tc>
          <w:tcPr>
            <w:tcW w:w="13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-334645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59055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3500" w:space="720"/>
            <w:col w:w="7200"/>
          </w:cols>
          <w:pgMar w:left="240" w:top="125" w:right="239" w:bottom="1440" w:gutter="0" w:footer="0" w:header="0"/>
          <w:type w:val="continuous"/>
        </w:sectPr>
      </w:pPr>
    </w:p>
    <w:p>
      <w:pPr>
        <w:ind w:left="380"/>
        <w:spacing w:after="0"/>
        <w:rPr>
          <w:sz w:val="20"/>
          <w:szCs w:val="20"/>
          <w:color w:val="auto"/>
        </w:rPr>
      </w:pPr>
      <w:r>
        <w:rPr>
          <w:rFonts w:ascii="Arial" w:cs="Arial" w:eastAsia="Arial" w:hAnsi="Arial"/>
          <w:sz w:val="13"/>
          <w:szCs w:val="13"/>
          <w:color w:val="auto"/>
        </w:rPr>
        <w:t>Exercise of stock options (24,813 shares)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2"/>
          <w:szCs w:val="12"/>
          <w:color w:val="auto"/>
        </w:rPr>
        <w:t>Issuance of deferred shares (396,530 shares)</w:t>
      </w:r>
    </w:p>
    <w:p>
      <w:pPr>
        <w:spacing w:after="0" w:line="132" w:lineRule="exact"/>
        <w:rPr>
          <w:sz w:val="20"/>
          <w:szCs w:val="20"/>
          <w:color w:val="auto"/>
        </w:rPr>
      </w:pPr>
    </w:p>
    <w:p>
      <w:pPr>
        <w:jc w:val="both"/>
        <w:ind w:left="380" w:right="700"/>
        <w:spacing w:after="0" w:line="305" w:lineRule="auto"/>
        <w:rPr>
          <w:sz w:val="20"/>
          <w:szCs w:val="20"/>
          <w:color w:val="auto"/>
        </w:rPr>
      </w:pPr>
      <w:r>
        <w:rPr>
          <w:rFonts w:ascii="Arial" w:cs="Arial" w:eastAsia="Arial" w:hAnsi="Arial"/>
          <w:sz w:val="12"/>
          <w:szCs w:val="12"/>
          <w:color w:val="auto"/>
        </w:rPr>
        <w:t>Treasury shares repurchased to satisfy tax withholding obligations (134,535 shares)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00" w:type="dxa"/>
            <w:vAlign w:val="bottom"/>
          </w:tcPr>
          <w:p>
            <w:pPr>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68"/>
              <w:spacing w:after="0"/>
              <w:rPr>
                <w:sz w:val="20"/>
                <w:szCs w:val="20"/>
                <w:color w:val="auto"/>
              </w:rPr>
            </w:pPr>
            <w:r>
              <w:rPr>
                <w:rFonts w:ascii="Arial" w:cs="Arial" w:eastAsia="Arial" w:hAnsi="Arial"/>
                <w:sz w:val="14"/>
                <w:szCs w:val="14"/>
                <w:color w:val="auto"/>
              </w:rPr>
              <w:t>(317)</w:t>
            </w:r>
          </w:p>
        </w:tc>
        <w:tc>
          <w:tcPr>
            <w:tcW w:w="940" w:type="dxa"/>
            <w:vAlign w:val="bottom"/>
          </w:tcPr>
          <w:p>
            <w:pPr>
              <w:ind w:left="42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608"/>
              <w:spacing w:after="0"/>
              <w:rPr>
                <w:sz w:val="20"/>
                <w:szCs w:val="20"/>
                <w:color w:val="auto"/>
              </w:rPr>
            </w:pPr>
            <w:r>
              <w:rPr>
                <w:rFonts w:ascii="Arial" w:cs="Arial" w:eastAsia="Arial" w:hAnsi="Arial"/>
                <w:sz w:val="14"/>
                <w:szCs w:val="14"/>
                <w:color w:val="auto"/>
              </w:rPr>
              <w:t>570</w:t>
            </w:r>
          </w:p>
        </w:tc>
        <w:tc>
          <w:tcPr>
            <w:tcW w:w="1260" w:type="dxa"/>
            <w:vAlign w:val="bottom"/>
          </w:tcPr>
          <w:p>
            <w:pPr>
              <w:ind w:left="640"/>
              <w:spacing w:after="0"/>
              <w:rPr>
                <w:sz w:val="20"/>
                <w:szCs w:val="20"/>
                <w:color w:val="auto"/>
              </w:rPr>
            </w:pPr>
            <w:r>
              <w:rPr>
                <w:rFonts w:ascii="Arial" w:cs="Arial" w:eastAsia="Arial" w:hAnsi="Arial"/>
                <w:sz w:val="14"/>
                <w:szCs w:val="14"/>
                <w:color w:val="auto"/>
              </w:rPr>
              <w:t>—</w:t>
            </w:r>
          </w:p>
        </w:tc>
        <w:tc>
          <w:tcPr>
            <w:tcW w:w="900" w:type="dxa"/>
            <w:vAlign w:val="bottom"/>
          </w:tcPr>
          <w:p>
            <w:pPr>
              <w:ind w:left="5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253</w:t>
            </w:r>
          </w:p>
        </w:tc>
      </w:tr>
      <w:tr>
        <w:trPr>
          <w:trHeight w:val="270"/>
        </w:trPr>
        <w:tc>
          <w:tcPr>
            <w:tcW w:w="600" w:type="dxa"/>
            <w:vAlign w:val="bottom"/>
          </w:tcPr>
          <w:p>
            <w:pPr>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68"/>
              <w:spacing w:after="0"/>
              <w:rPr>
                <w:sz w:val="20"/>
                <w:szCs w:val="20"/>
                <w:color w:val="auto"/>
              </w:rPr>
            </w:pPr>
            <w:r>
              <w:rPr>
                <w:rFonts w:ascii="Arial" w:cs="Arial" w:eastAsia="Arial" w:hAnsi="Arial"/>
                <w:sz w:val="14"/>
                <w:szCs w:val="14"/>
                <w:color w:val="auto"/>
              </w:rPr>
              <w:t>(5,758)</w:t>
            </w:r>
          </w:p>
        </w:tc>
        <w:tc>
          <w:tcPr>
            <w:tcW w:w="940" w:type="dxa"/>
            <w:vAlign w:val="bottom"/>
          </w:tcPr>
          <w:p>
            <w:pPr>
              <w:ind w:left="42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608"/>
              <w:spacing w:after="0"/>
              <w:rPr>
                <w:sz w:val="20"/>
                <w:szCs w:val="20"/>
                <w:color w:val="auto"/>
              </w:rPr>
            </w:pPr>
            <w:r>
              <w:rPr>
                <w:rFonts w:ascii="Arial" w:cs="Arial" w:eastAsia="Arial" w:hAnsi="Arial"/>
                <w:sz w:val="14"/>
                <w:szCs w:val="14"/>
                <w:color w:val="auto"/>
              </w:rPr>
              <w:t>5,758</w:t>
            </w:r>
          </w:p>
        </w:tc>
        <w:tc>
          <w:tcPr>
            <w:tcW w:w="1260" w:type="dxa"/>
            <w:vAlign w:val="bottom"/>
          </w:tcPr>
          <w:p>
            <w:pPr>
              <w:ind w:left="640"/>
              <w:spacing w:after="0"/>
              <w:rPr>
                <w:sz w:val="20"/>
                <w:szCs w:val="20"/>
                <w:color w:val="auto"/>
              </w:rPr>
            </w:pPr>
            <w:r>
              <w:rPr>
                <w:rFonts w:ascii="Arial" w:cs="Arial" w:eastAsia="Arial" w:hAnsi="Arial"/>
                <w:sz w:val="14"/>
                <w:szCs w:val="14"/>
                <w:color w:val="auto"/>
              </w:rPr>
              <w:t>—</w:t>
            </w:r>
          </w:p>
        </w:tc>
        <w:tc>
          <w:tcPr>
            <w:tcW w:w="900" w:type="dxa"/>
            <w:vAlign w:val="bottom"/>
          </w:tcPr>
          <w:p>
            <w:pPr>
              <w:ind w:left="5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11"/>
        </w:trPr>
        <w:tc>
          <w:tcPr>
            <w:tcW w:w="600" w:type="dxa"/>
            <w:vAlign w:val="bottom"/>
          </w:tcPr>
          <w:p>
            <w:pPr>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Pr>
          <w:p>
            <w:pPr>
              <w:ind w:left="42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568"/>
              <w:spacing w:after="0"/>
              <w:rPr>
                <w:sz w:val="20"/>
                <w:szCs w:val="20"/>
                <w:color w:val="auto"/>
              </w:rPr>
            </w:pPr>
            <w:r>
              <w:rPr>
                <w:rFonts w:ascii="Arial" w:cs="Arial" w:eastAsia="Arial" w:hAnsi="Arial"/>
                <w:sz w:val="14"/>
                <w:szCs w:val="14"/>
                <w:color w:val="auto"/>
              </w:rPr>
              <w:t>(2,290)</w:t>
            </w:r>
          </w:p>
        </w:tc>
        <w:tc>
          <w:tcPr>
            <w:tcW w:w="1260" w:type="dxa"/>
            <w:vAlign w:val="bottom"/>
          </w:tcPr>
          <w:p>
            <w:pPr>
              <w:ind w:left="640"/>
              <w:spacing w:after="0"/>
              <w:rPr>
                <w:sz w:val="20"/>
                <w:szCs w:val="20"/>
                <w:color w:val="auto"/>
              </w:rPr>
            </w:pPr>
            <w:r>
              <w:rPr>
                <w:rFonts w:ascii="Arial" w:cs="Arial" w:eastAsia="Arial" w:hAnsi="Arial"/>
                <w:sz w:val="14"/>
                <w:szCs w:val="14"/>
                <w:color w:val="auto"/>
              </w:rPr>
              <w:t>—</w:t>
            </w:r>
          </w:p>
        </w:tc>
        <w:tc>
          <w:tcPr>
            <w:tcW w:w="900" w:type="dxa"/>
            <w:vAlign w:val="bottom"/>
          </w:tcPr>
          <w:p>
            <w:pPr>
              <w:ind w:left="5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-163195</wp:posOffset>
            </wp:positionV>
            <wp:extent cx="72466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3500" w:space="720"/>
            <w:col w:w="7200"/>
          </w:cols>
          <w:pgMar w:left="240" w:top="125" w:right="239" w:bottom="1440" w:gutter="0" w:footer="0" w:header="0"/>
          <w:type w:val="continuous"/>
        </w:sectPr>
      </w:pPr>
    </w:p>
    <w:p>
      <w:pPr>
        <w:ind w:left="38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Balances, June 30, 2017</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380"/>
        <w:spacing w:after="0" w:line="253" w:lineRule="auto"/>
        <w:rPr>
          <w:sz w:val="20"/>
          <w:szCs w:val="20"/>
          <w:color w:val="auto"/>
        </w:rPr>
      </w:pPr>
      <w:r>
        <w:rPr>
          <w:rFonts w:ascii="Arial" w:cs="Arial" w:eastAsia="Arial" w:hAnsi="Arial"/>
          <w:sz w:val="14"/>
          <w:szCs w:val="14"/>
          <w:color w:val="auto"/>
        </w:rPr>
        <w:t>Treasury Shares Sold to Employee Stock Purchase Plan (21,920 shares)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7,461</w:t>
            </w:r>
          </w:p>
        </w:tc>
        <w:tc>
          <w:tcPr>
            <w:tcW w:w="1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7,461</w:t>
            </w:r>
          </w:p>
        </w:tc>
      </w:tr>
      <w:tr>
        <w:trPr>
          <w:trHeight w:val="53"/>
        </w:trPr>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11"/>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128,419</w:t>
            </w:r>
          </w:p>
        </w:tc>
        <w:tc>
          <w:tcPr>
            <w:tcW w:w="12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222,974</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(22,539)</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(7,324)</w:t>
            </w:r>
          </w:p>
        </w:tc>
        <w:tc>
          <w:tcPr>
            <w:tcW w:w="12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321,809</w:t>
            </w:r>
          </w:p>
        </w:tc>
      </w:tr>
      <w:tr>
        <w:trPr>
          <w:trHeight w:val="257"/>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(11,480)</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(11,480)</w:t>
            </w: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3"/>
                <w:szCs w:val="23"/>
                <w:color w:val="auto"/>
              </w:rPr>
            </w:pP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311"/>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24"/>
                <w:szCs w:val="2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-677545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-334645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59055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3300" w:space="260"/>
            <w:col w:w="7860"/>
          </w:cols>
          <w:pgMar w:left="240" w:top="125" w:right="239" w:bottom="1440" w:gutter="0" w:footer="0" w:header="0"/>
          <w:type w:val="continuous"/>
        </w:sectPr>
      </w:pPr>
    </w:p>
    <w:p>
      <w:pPr>
        <w:ind w:left="380"/>
        <w:spacing w:after="0"/>
        <w:rPr>
          <w:sz w:val="20"/>
          <w:szCs w:val="20"/>
          <w:color w:val="auto"/>
        </w:rPr>
      </w:pPr>
      <w:r>
        <w:rPr>
          <w:rFonts w:ascii="Arial" w:cs="Arial" w:eastAsia="Arial" w:hAnsi="Arial"/>
          <w:sz w:val="13"/>
          <w:szCs w:val="13"/>
          <w:color w:val="auto"/>
        </w:rPr>
        <w:t>Exercise of stock options (31,050 shares)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2"/>
          <w:szCs w:val="12"/>
          <w:color w:val="auto"/>
        </w:rPr>
        <w:t>Issuance of deferred shares (253,241 shares)</w:t>
      </w:r>
    </w:p>
    <w:p>
      <w:pPr>
        <w:spacing w:after="0" w:line="132" w:lineRule="exact"/>
        <w:rPr>
          <w:sz w:val="20"/>
          <w:szCs w:val="20"/>
          <w:color w:val="auto"/>
        </w:rPr>
      </w:pPr>
    </w:p>
    <w:p>
      <w:pPr>
        <w:ind w:left="380" w:right="700"/>
        <w:spacing w:after="0" w:line="305" w:lineRule="auto"/>
        <w:rPr>
          <w:sz w:val="20"/>
          <w:szCs w:val="20"/>
          <w:color w:val="auto"/>
        </w:rPr>
      </w:pPr>
      <w:r>
        <w:rPr>
          <w:rFonts w:ascii="Arial" w:cs="Arial" w:eastAsia="Arial" w:hAnsi="Arial"/>
          <w:sz w:val="12"/>
          <w:szCs w:val="12"/>
          <w:color w:val="auto"/>
        </w:rPr>
        <w:t>Treasury shares repurchased to satisfy tax withholding obligations (52,950 shares)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00" w:type="dxa"/>
            <w:vAlign w:val="bottom"/>
          </w:tcPr>
          <w:p>
            <w:pPr>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68"/>
              <w:spacing w:after="0"/>
              <w:rPr>
                <w:sz w:val="20"/>
                <w:szCs w:val="20"/>
                <w:color w:val="auto"/>
              </w:rPr>
            </w:pPr>
            <w:r>
              <w:rPr>
                <w:rFonts w:ascii="Arial" w:cs="Arial" w:eastAsia="Arial" w:hAnsi="Arial"/>
                <w:sz w:val="14"/>
                <w:szCs w:val="14"/>
                <w:color w:val="auto"/>
              </w:rPr>
              <w:t>(240)</w:t>
            </w:r>
          </w:p>
        </w:tc>
        <w:tc>
          <w:tcPr>
            <w:tcW w:w="980" w:type="dxa"/>
            <w:vAlign w:val="bottom"/>
          </w:tcPr>
          <w:p>
            <w:pPr>
              <w:ind w:left="42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08"/>
              <w:spacing w:after="0"/>
              <w:rPr>
                <w:sz w:val="20"/>
                <w:szCs w:val="20"/>
                <w:color w:val="auto"/>
              </w:rPr>
            </w:pPr>
            <w:r>
              <w:rPr>
                <w:rFonts w:ascii="Arial" w:cs="Arial" w:eastAsia="Arial" w:hAnsi="Arial"/>
                <w:sz w:val="14"/>
                <w:szCs w:val="14"/>
                <w:color w:val="auto"/>
              </w:rPr>
              <w:t>557</w:t>
            </w:r>
          </w:p>
        </w:tc>
        <w:tc>
          <w:tcPr>
            <w:tcW w:w="1260" w:type="dxa"/>
            <w:vAlign w:val="bottom"/>
          </w:tcPr>
          <w:p>
            <w:pPr>
              <w:ind w:left="640"/>
              <w:spacing w:after="0"/>
              <w:rPr>
                <w:sz w:val="20"/>
                <w:szCs w:val="20"/>
                <w:color w:val="auto"/>
              </w:rPr>
            </w:pPr>
            <w:r>
              <w:rPr>
                <w:rFonts w:ascii="Arial" w:cs="Arial" w:eastAsia="Arial" w:hAnsi="Arial"/>
                <w:sz w:val="14"/>
                <w:szCs w:val="14"/>
                <w:color w:val="auto"/>
              </w:rPr>
              <w:t>—</w:t>
            </w:r>
          </w:p>
        </w:tc>
        <w:tc>
          <w:tcPr>
            <w:tcW w:w="960" w:type="dxa"/>
            <w:vAlign w:val="bottom"/>
          </w:tcPr>
          <w:p>
            <w:pPr>
              <w:ind w:left="5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317</w:t>
            </w:r>
          </w:p>
        </w:tc>
      </w:tr>
      <w:tr>
        <w:trPr>
          <w:trHeight w:val="270"/>
        </w:trPr>
        <w:tc>
          <w:tcPr>
            <w:tcW w:w="600" w:type="dxa"/>
            <w:vAlign w:val="bottom"/>
          </w:tcPr>
          <w:p>
            <w:pPr>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68"/>
              <w:spacing w:after="0"/>
              <w:rPr>
                <w:sz w:val="20"/>
                <w:szCs w:val="20"/>
                <w:color w:val="auto"/>
              </w:rPr>
            </w:pPr>
            <w:r>
              <w:rPr>
                <w:rFonts w:ascii="Arial" w:cs="Arial" w:eastAsia="Arial" w:hAnsi="Arial"/>
                <w:sz w:val="14"/>
                <w:szCs w:val="14"/>
                <w:color w:val="auto"/>
              </w:rPr>
              <w:t>(4,469)</w:t>
            </w:r>
          </w:p>
        </w:tc>
        <w:tc>
          <w:tcPr>
            <w:tcW w:w="980" w:type="dxa"/>
            <w:vAlign w:val="bottom"/>
          </w:tcPr>
          <w:p>
            <w:pPr>
              <w:ind w:left="42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08"/>
              <w:spacing w:after="0"/>
              <w:rPr>
                <w:sz w:val="20"/>
                <w:szCs w:val="20"/>
                <w:color w:val="auto"/>
              </w:rPr>
            </w:pPr>
            <w:r>
              <w:rPr>
                <w:rFonts w:ascii="Arial" w:cs="Arial" w:eastAsia="Arial" w:hAnsi="Arial"/>
                <w:sz w:val="14"/>
                <w:szCs w:val="14"/>
                <w:color w:val="auto"/>
              </w:rPr>
              <w:t>4,469</w:t>
            </w:r>
          </w:p>
        </w:tc>
        <w:tc>
          <w:tcPr>
            <w:tcW w:w="1260" w:type="dxa"/>
            <w:vAlign w:val="bottom"/>
          </w:tcPr>
          <w:p>
            <w:pPr>
              <w:ind w:left="640"/>
              <w:spacing w:after="0"/>
              <w:rPr>
                <w:sz w:val="20"/>
                <w:szCs w:val="20"/>
                <w:color w:val="auto"/>
              </w:rPr>
            </w:pPr>
            <w:r>
              <w:rPr>
                <w:rFonts w:ascii="Arial" w:cs="Arial" w:eastAsia="Arial" w:hAnsi="Arial"/>
                <w:sz w:val="14"/>
                <w:szCs w:val="14"/>
                <w:color w:val="auto"/>
              </w:rPr>
              <w:t>—</w:t>
            </w:r>
          </w:p>
        </w:tc>
        <w:tc>
          <w:tcPr>
            <w:tcW w:w="960" w:type="dxa"/>
            <w:vAlign w:val="bottom"/>
          </w:tcPr>
          <w:p>
            <w:pPr>
              <w:ind w:left="5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11"/>
        </w:trPr>
        <w:tc>
          <w:tcPr>
            <w:tcW w:w="600" w:type="dxa"/>
            <w:vAlign w:val="bottom"/>
          </w:tcPr>
          <w:p>
            <w:pPr>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tcPr>
          <w:p>
            <w:pPr>
              <w:ind w:left="42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568"/>
              <w:spacing w:after="0"/>
              <w:rPr>
                <w:sz w:val="20"/>
                <w:szCs w:val="20"/>
                <w:color w:val="auto"/>
              </w:rPr>
            </w:pPr>
            <w:r>
              <w:rPr>
                <w:rFonts w:ascii="Arial" w:cs="Arial" w:eastAsia="Arial" w:hAnsi="Arial"/>
                <w:sz w:val="14"/>
                <w:szCs w:val="14"/>
                <w:color w:val="auto"/>
              </w:rPr>
              <w:t>(627)</w:t>
            </w:r>
          </w:p>
        </w:tc>
        <w:tc>
          <w:tcPr>
            <w:tcW w:w="1260" w:type="dxa"/>
            <w:vAlign w:val="bottom"/>
          </w:tcPr>
          <w:p>
            <w:pPr>
              <w:ind w:left="640"/>
              <w:spacing w:after="0"/>
              <w:rPr>
                <w:sz w:val="20"/>
                <w:szCs w:val="20"/>
                <w:color w:val="auto"/>
              </w:rPr>
            </w:pPr>
            <w:r>
              <w:rPr>
                <w:rFonts w:ascii="Arial" w:cs="Arial" w:eastAsia="Arial" w:hAnsi="Arial"/>
                <w:sz w:val="14"/>
                <w:szCs w:val="14"/>
                <w:color w:val="auto"/>
              </w:rPr>
              <w:t>—</w:t>
            </w:r>
          </w:p>
        </w:tc>
        <w:tc>
          <w:tcPr>
            <w:tcW w:w="960" w:type="dxa"/>
            <w:vAlign w:val="bottom"/>
          </w:tcPr>
          <w:p>
            <w:pPr>
              <w:ind w:left="5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-163195</wp:posOffset>
            </wp:positionV>
            <wp:extent cx="724662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3500" w:space="720"/>
            <w:col w:w="72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3560" w:type="dxa"/>
            <w:vAlign w:val="bottom"/>
          </w:tcPr>
          <w:p>
            <w:pPr>
              <w:ind w:left="380"/>
              <w:spacing w:after="0"/>
              <w:rPr>
                <w:sz w:val="20"/>
                <w:szCs w:val="20"/>
                <w:color w:val="auto"/>
              </w:rPr>
            </w:pPr>
            <w:r>
              <w:rPr>
                <w:rFonts w:ascii="Arial" w:cs="Arial" w:eastAsia="Arial" w:hAnsi="Arial"/>
                <w:sz w:val="14"/>
                <w:szCs w:val="14"/>
                <w:color w:val="auto"/>
              </w:rPr>
              <w:t>Stock-based compensation expense</w:t>
            </w:r>
          </w:p>
        </w:tc>
        <w:tc>
          <w:tcPr>
            <w:tcW w:w="34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8,618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8,618</w:t>
            </w:r>
          </w:p>
        </w:tc>
      </w:tr>
      <w:tr>
        <w:trPr>
          <w:trHeight w:val="53"/>
        </w:trPr>
        <w:tc>
          <w:tcPr>
            <w:tcW w:w="35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42"/>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June 30, 2018</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132,198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211,494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(17,717)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(7,411)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  318,843</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50</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Basis of Presentation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and include the accounts of Matrix Service Company (“Matrix” or the “Company”) and its subsidiaries, all of which are wholly owned. Intercompany transactions and balances have been eliminated in consolidation.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operates in the United States, Canada, South Korea and Australia. The Company’s reportable segments are Electrical Infrastructure, Oil Gas &amp; Chemical, Storage Solutions and Industrial.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amounts reported in the financial statements and accompanying notes. We believe the most significant estimates and judgments are associated with revenue recognition, the recoverability tests that must be periodically performed with respect to our goodwill and other intangible assets, valuation reserves on our accounts receivable and deferred tax assets, and the estimation of loss contingencies, including liabilities associated with litigation and with the self-insured retentions on our insurance programs. Actual results could materially differ from those estimates.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Matrix records revenue on fixed-price contracts on a percentage-of-completion basis, primarily based on costs incurred to date compared to the total estimated contract cost. The Company records revenue on reimbursable and time and material contracts on a proportional performance basis as costs are incurred. Contracts in process are valued at cost plus accrued profits less billings on uncompleted contracts. Contracts are generally considered substantially complete when field construction is completed. The elapsed time from award of a contract to completion of performance may be in excess of one year. Matrix includes pass-through revenue and costs on cost-plus contracts, which are customer-reimbursable materials, equipment and subcontractor costs, when Matrix determines that it is responsible for the procurement and management of such cost components.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Matrix has numerous contracts that are in various stages of completion which require estimates to determine the appropriate cost and revenue recognition. The Company has a history of making reasonably dependable estimates of the extent of progress towards completion, contract revenues and contract costs, and accordingly, does not believe significant fluctuations are likely to materialize. However, current estimates may be revised as additional information becomes available. If estimates of costs to complete fixed-price contracts indicate a loss, provision is made through a contract write-down for the total loss anticipated. A number of our contracts contain various cost and performance incentives and penalties that impact the earnings we realize from our contracts, and adjustments related to these incentives and penalties are recorded in the period, on a percentage-of-completion basis, when estimable and probable.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Indirect costs, such as salaries and benefits, supplies and tools, equipment costs and insurance costs, are charged to projects based upon direct labor hours and overhead allocation rates per direct labor hour. Warranty costs are normally incurred prior to project completion and are charged to project costs as they are incurred. Warranty costs incurred subsequent to project completion were not material for the periods presented. Overhead allocation rates are established annually during the budgeting process.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Precontract Costs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Precontract costs are costs incurred in anticipation of obtaining a contract that will result in no future benefit unless the contract is obtained. The Company generally expenses precontract costs to cost of revenue as incurred, but, in certain cases their recognition may be deferred if specific criteria are met. We had no deferred precontract costs at June 30, 2018 or 2017.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Orders and Claims Recognition</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Change orders are modifications of an original contract that effectively change the existing provisions of the contract. Change orders may include changes in specifications or designs, manner of performance, facilities, equipment, materials, sites and period of completion of the work. Matrix or our clients may initiate change orders. The client's agreement to the terms of change orders is, in many cases, reached prior to work commencing; however, sometimes circumstances require that work progress prior to obtaining client agreement. Costs related to change orders are recognized as incurred. Revenues attributable to change orders that are unapproved as to price or scope are recognized to the extent that costs have been incurred if the amounts can be reliably estimated and their realization is probable. Revenues in excess of the costs attributable to change orders that are unapproved as to price or scope are recognized only when realization is assured beyond a reasonable doubt. Change orders that are unapproved as to both price and scope are evaluated as claims.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Claims are amounts in excess of the agreed contract price that we seek to collect from customers or others for delays, errors in specifications and designs, contract terminations, change orders in dispute or unapproved as to both scope and price or other causes of anticipated additional costs incurred by us. Recognition of amounts as additional contract revenue related to claims is appropriate only if it is probable that the claims will result in additional contract revenue and if the amount can be reliably estimated. We must determine if:</w:t>
      </w:r>
    </w:p>
    <w:p>
      <w:pPr>
        <w:spacing w:after="0" w:line="133" w:lineRule="exact"/>
        <w:rPr>
          <w:sz w:val="20"/>
          <w:szCs w:val="20"/>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is a legal basis for the claim;</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additional costs were caused by circumstances that were unforeseen by the Company and are not the result of deficiencies in our performance;</w:t>
      </w:r>
    </w:p>
    <w:p>
      <w:pPr>
        <w:spacing w:after="0" w:line="194" w:lineRule="exact"/>
        <w:rPr>
          <w:rFonts w:ascii="Arial" w:cs="Arial" w:eastAsia="Arial" w:hAnsi="Arial"/>
          <w:sz w:val="16"/>
          <w:szCs w:val="16"/>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are identifiable or determinable and are reasonable in view of the work performed; and</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evidence supporting the claim is objective and verifiable.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all of these requirements are met, revenue from a claim is recorded only to the extent that we have incurred costs relating to the claim. Unapproved change orders and claims are more fully discussed in Note 7—Contingencies.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includes as cash equivalents all investments with original maturities of three months or less which are readily convertible into cash. The Company had approximately $0.3 million of restricted cash related to a customer deposit at June 30, 2018 and 2017. We have cash on deposit at June 30, 2018 with banks in the United States, Canada, South Korea and Australia in excess of Federal Deposit Insurance Corporation ("FDIC"), Canada Deposit Insurance Corporation ("CDIC"), Korea Deposit Insurance Corporation ("KDIC") and Financial Claims Scheme ("FCS") protection limits, respectively. The United States Dollar equivalent of Canadian, South Korean and Australian deposits totaled $5.2 million as of June 30, 2018.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Accounts receivable are carried on a gross basis, less the allowance for uncollectible accounts. The Company’s customers consist primarily of major integrated oil companies, steel companies, independent refiners and marketers, power companies, petrochemical companies, pipeline companies, mining companies, contractors and engineering firms. The Company is exposed to the risk of individual customer defaults or depressed cycles in our customers’ industries. To mitigate this risk many of our contracts require payment as projects progress or advance payment in some circumstances. In addition, in most cases the Company can place liens against the property, plant or equipment constructed or terminate the contract if a material contract default occurs. Management estimates the allowance for uncollectible accounts based on existing economic conditions, the financial condition of its customers and the amount and age of past due accounts. Accounts are written off against the allowance for uncollectible accounts only after all collection attempts have been exhausted.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Retentions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Contract retentions collectible beyond one year are included in Other assets in the Consolidated Balance Sheets. Accounts payable retentions are generally settled within one year.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37"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Various legal actions, claims and other contingencies arise in the normal course of our business. Contingencies are recorded in the consolidated financial statements, or are otherwise disclosed, in accordance with ASC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Legal costs are expensed as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consist primarily of steel plate and pipe and aluminum coil and extrusions. Cost is determined primarily using the average cost method and inventories are stated at the lower of cost or net realizable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Depreciation is computed using the straight-line method over the estimated useful lives of the depreciable assets. Depreciable lives are as follows: buildings —40 years, construction equipment—3 to 15 years, transportation equipment—3 to 5 years, and office equipment and software—3 to 10 years. Leasehold improvements are amortized over the shorter of the useful life of the asset or the lease term.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evaluates long-lived assets for impairment when events or changes in circumstances indicate, in management’s judgment, that the carrying value of such assets used in operations may not be recoverable. The determination of whether an impairment has occurred is based on management’s estimate of undiscounted future cash flows attributable to the assets as compared to the carrying value of the assets. If an impairment has occurred, the amount of the impairment recognized is determined by estimating the fair value of the assets and, to the extent the carrying value exceeds the fair value of the assets, recording a loss provision.</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assets identified to be disposed of in the future, the carrying value of the assets are compared to the estimated fair value less the cost of disposal to determine if an impairment has occurred. Until the assets are disposed of, an estimate of the fair value is redetermined when related events or circumstances change.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 which is a level below our reportable segments.</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perform our annual test during the fourth quarter of each fiscal year and in any other period in which indicators of impairment warrant additional tests.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an impairment charge in the financial statements. As a test for reasonableness, we also consider the combined carrying values of our reporting units to our market capitalization.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37"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Intangible assets that have finite useful lives are amortized by the straight-line method over their useful lives ranging from 4 years to 15 years. A finite intangible asset is considered impaired when its carrying amount is not recoverable and exceeds the asset's fair value. The carrying amount is deemed unrecoverable if it is greater than the sum of undiscounted cash flows expected to result from use and eventual disposition of the asset. An impairment loss is equal to the excess of the carrying amount over the fair value of the asset. If quoted market prices are not available, the fair values of the intangible assets are based on present values of expected future cash flows or royalties avoided using discount rates commensurate with the risks involved.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maintain insurance coverage for various aspects of our operations. However, we retain exposure to potential losses through the use of deductibles, coverage limits and self-insured retentions. We establish reserves for claims using a combination of actuarially determined estimates and case-by-case evaluations of the underlying claim data and update our evaluations as further information becomes known. Judgments and assumptions are inherent in our reserve accruals; as a result, changes in assumptions or claims experience could result in changes to these estimates in the future. If actual results of claim settlements are different than the amounts estimated we may be exposed to future gains and losses that could be material.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issued stock options and nonvested deferred share awards under its long-term incentive compensation plans. The fair value of these awards is calculated at grant date. The fair value of time-based, nonvested deferred shares is the value of the Company’s common stock at the grant date. The fair value of market-based nonvested deferred shares is based on several factors, including the probability that the market condition specified in the grant will be achieved, which is calculated using a Monte Carlo model. The fair value of stock options is determined based on the Black-Scholes option pricing model. For all stock-based awards, expense is recognized over the requisite service period with forfeitures recorded as they occur.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functional currencies of the Company’s operations in Canada, South Korea and Australia are the Canadian Dollar, South Korean Won and U.S. Dollar, respectively. For subsidiaries with operations using a foreign functional currency, assets and liabilities are translated at the year-end exchange rates and the income statement accounts are translated at average exchange rates throughout the year. Translation gains and losses are reported in Accumulated Other Comprehensive Income (Loss) in the Consolidated Statements of Changes in Stockholders’ Equity and in Other Comprehensive Income (Loss) in the Consolidated Statements of Comprehensive Income. Transaction gains and losses are reported as a component of Other income (expense) in the Consolidated Statements of Income.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37"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Revenue from Contracts with Customers (Topic 606)</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 The ASU is effective for annual reporting periods beginning after December 15, 2017, including interim reporting periods within that reporting period.</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adopted this standard on July 1, 2018 using the modified retrospective method of application. Under the modified retrospective method, revenue recognized on completed contracts is not restated, however contracts in progress are accounted for as if they were under the new standard at inception. Any difference between historical revenue and revenue under the new standard is recorded as a cumulative effect adjustment to retained earnings as of the date of adoption. The Company has completed the analysis of its contracts in progress and noted that the modified retrospective adjustment was immaterial. The Company does not expect the new standard to have a material impact to its financial statements going forward.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2016-02, Leases (Topic 842) and Accounting Standards Update No. 2018-11, Leases (Topic 842)</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February 25, 2016, the FASB issued ASU 2016-02 that amends accounting for leases. Under the new guidance, lessees will recognize the following for all leases (with the exception of short-term leases) at the lease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Prior to the issuance of ASU 2018-11 in July 2018, lessees and lessors were required to adopt the new standard using a modified retrospective transition approach for leases existing at, or entered into after, the beginning of the earliest comparative period presented in the financial statements, even though those leases may have expired before the new standard's effective date. The amendments in ASU 2018-11 provide, among other things, an additional (and optional) transition method to adopt the new leases standard. Under this new transition method, the Company may apply the new leases standard at the adoption date and recognize a cumulative-effect adjustment to the opening balance of retained earnings in the period of adoption rather than having to apply the new standard to the earliest comparative period presented in the financial statements.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Both amendments are effective for fiscal years beginning after December 15, 2018, including interim periods within those fiscal years. Early adoption of the amendments is permitted, but we do not plan to do so at this time.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currently assessing the impact of the adoption of the amendments on the Company's results of operations, financial position and cash flows. As of June 30, 2018 the Company had $33.1 million of future minimum lease payments under non-cancelable operating leases, primarily for facilities. See Note 8 - Operating Leases for more information about the timing and amount of future operating lease payments, which we believe is indicative of the materiality of adoption of these amendments to our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will change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3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amendments in this update broaden the information the Company may consider in developing its expected credit loss estimate to include forecasted information. The amendments in this update are effective for the Company on July 1, 2020 and the Company may early adopt on July 1, 2019.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2017-09, Compensation-Stock Compensation (Topic 718): Scope of Modification Accounting</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May 2017, the FASB issued ASU 2017-09 which clarifies when changes to the terms or conditions of a share-based payment award must be accounted for as a modification. Entities should apply the modification accounting guidance if the value, vesting conditions or classification of the award changes. ASU 2017-09 is effective for interim and annual reporting periods beginning after December 15, 2017. Early adoption is permitted and prospective application is required. The adoption of ASU 2017-09 did not have a material impact on our financial position,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2—Acquisitions and Disposals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Process Heating Business - Subsequent Event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2018, the Company sold non-core assets associated with a business that marketed process heating equipment for $3.7 million in cash, subject to customary final post-closing adjustments. The fiscal 2018 revenues and operating results of the business, which were included in the Oil Gas &amp; Chemical segment, are not material.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Houston Interests, LLC</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12, 2016, the Company completed the acquisition of Houston Interests, LLC ("Houston Interests"), a global solutions company that provides consulting, engineering, design, construction services and systems integration. Houston Interests brings expertise to the Company in natural gas processing; sulfur recovery, processing and handling; liquid terminals, silos and other bulk storage; process plant design; power generation environmental controls and material handling; industrial power distribution; electrical, instrumentation and controls; marine structures; and material handling systems and terminals for cement, sulfur, fertilizer, coal and grain facilities. The business has been included in our Matrix PDM Engineering, Inc. subsidiary, and its operating results impact primarily the Oil Gas &amp; Chemical, Storage Solutions and Industrial segments.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purchased all of the equity interests of Houston Interests for $42.5 million, net of working capital adjustments and cash acquired. The consideration paid is as follows (in thousands):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equity interest</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46,000</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Cash paid for working capital</w:t>
            </w:r>
          </w:p>
        </w:tc>
        <w:tc>
          <w:tcPr>
            <w:tcW w:w="7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6,837</w:t>
            </w:r>
          </w:p>
        </w:tc>
      </w:tr>
      <w:tr>
        <w:trPr>
          <w:trHeight w:val="27"/>
        </w:trPr>
        <w:tc>
          <w:tcPr>
            <w:tcW w:w="9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cash acquired</w:t>
            </w:r>
          </w:p>
        </w:tc>
        <w:tc>
          <w:tcPr>
            <w:tcW w:w="7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(10,331)</w:t>
            </w:r>
          </w:p>
        </w:tc>
      </w:tr>
      <w:tr>
        <w:trPr>
          <w:trHeight w:val="257"/>
        </w:trPr>
        <w:tc>
          <w:tcPr>
            <w:tcW w:w="9340" w:type="dxa"/>
            <w:vAlign w:val="bottom"/>
          </w:tcPr>
          <w:p>
            <w:pPr>
              <w:ind w:left="20"/>
              <w:spacing w:after="0"/>
              <w:rPr>
                <w:sz w:val="20"/>
                <w:szCs w:val="20"/>
                <w:color w:val="auto"/>
              </w:rPr>
            </w:pPr>
            <w:r>
              <w:rPr>
                <w:rFonts w:ascii="Arial" w:cs="Arial" w:eastAsia="Arial" w:hAnsi="Arial"/>
                <w:sz w:val="18"/>
                <w:szCs w:val="18"/>
                <w:color w:val="auto"/>
              </w:rPr>
              <w:t>Net purchase price</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42,506</w:t>
            </w:r>
          </w:p>
        </w:tc>
      </w:tr>
      <w:tr>
        <w:trPr>
          <w:trHeight w:val="20"/>
        </w:trPr>
        <w:tc>
          <w:tcPr>
            <w:tcW w:w="9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funded the equity interest portion of the consideration paid from borrowings under the Company's senior secured revolving credit facility (See Note 5). The purchase of working capital was paid with cash on hand. The net purchase price was allocated to the major categories of assets and liabilities based on their estimated fair value at the acquisition date.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37"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The following table summarizes the net purchase price allocation (in thousands):</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35"/>
        </w:trPr>
        <w:tc>
          <w:tcPr>
            <w:tcW w:w="9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10,273</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454</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942</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10,220</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68,112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962</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2,475</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15,085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190</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52,837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Less: cash acquired</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10,331</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 price</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42,506</w:t>
            </w: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goodwill recognized from the acquisition is primarily attributable to the technical expertise of the acquired workforce and the complementary nature of Houston Interests' operations, which the Company believes will enable the combined entity to expand its service offerings and enter new markets. All of the goodwill recognized is deductible for income tax purposes.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agreed to pay the previous owners up to $2.6 million for any unused portion of acquired warranty obligations outstanding as of June 30, 2017. This agreement was settled for $1.7 million, which was paid in July 2017. This settlement was reflected as a decrease to the acquired current liabilities and an increase to the net purchase price.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incurred $0.6 million of expenses related to closing the acquisition during the fiscal year ended June 30, 2017, which were included within selling, general and administrative expenses in the Consolidated Statements of Income.</w:t>
      </w:r>
    </w:p>
    <w:p>
      <w:pPr>
        <w:spacing w:after="0" w:line="11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unaudited financial information in the table below summarizes the combined results of operations of Matrix Service Company and Houston Interests for the fiscal years ended June 30, 2017 and 2016, on a pro forma basis, as though the companies had been combined as of July 1, 2015. The pro forma financial information presented in the table below is for informational purposes only and is not indicative of the results of operations that would have been achieved if the acquisition had taken place at July 1, 2015 nor should it be taken as indicative of future consolidated results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3"/>
          </w:tcPr>
          <w:p>
            <w:pPr>
              <w:jc w:val="right"/>
              <w:ind w:right="1134"/>
              <w:spacing w:after="0"/>
              <w:rPr>
                <w:sz w:val="20"/>
                <w:szCs w:val="20"/>
                <w:color w:val="auto"/>
              </w:rPr>
            </w:pPr>
            <w:r>
              <w:rPr>
                <w:rFonts w:ascii="Arial" w:cs="Arial" w:eastAsia="Arial" w:hAnsi="Arial"/>
                <w:sz w:val="14"/>
                <w:szCs w:val="14"/>
                <w:b w:val="1"/>
                <w:bCs w:val="1"/>
                <w:color w:val="auto"/>
              </w:rPr>
              <w:t>Fiscal Years Ended</w:t>
            </w:r>
          </w:p>
        </w:tc>
      </w:tr>
      <w:tr>
        <w:trPr>
          <w:trHeight w:val="250"/>
        </w:trPr>
        <w:tc>
          <w:tcPr>
            <w:tcW w:w="47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June 30, 2017</w:t>
            </w:r>
          </w:p>
        </w:tc>
        <w:tc>
          <w:tcPr>
            <w:tcW w:w="3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June 30, 2016</w:t>
            </w:r>
          </w:p>
        </w:tc>
      </w:tr>
      <w:tr>
        <w:trPr>
          <w:trHeight w:val="243"/>
        </w:trPr>
        <w:tc>
          <w:tcPr>
            <w:tcW w:w="47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40" w:type="dxa"/>
            <w:vAlign w:val="bottom"/>
            <w:gridSpan w:val="3"/>
          </w:tcPr>
          <w:p>
            <w:pPr>
              <w:jc w:val="right"/>
              <w:ind w:right="414"/>
              <w:spacing w:after="0"/>
              <w:rPr>
                <w:sz w:val="20"/>
                <w:szCs w:val="20"/>
                <w:color w:val="auto"/>
              </w:rPr>
            </w:pPr>
            <w:r>
              <w:rPr>
                <w:rFonts w:ascii="Arial" w:cs="Arial" w:eastAsia="Arial" w:hAnsi="Arial"/>
                <w:sz w:val="18"/>
                <w:szCs w:val="18"/>
                <w:color w:val="auto"/>
                <w:w w:val="94"/>
              </w:rPr>
              <w:t>(In thousands, except per share data)</w:t>
            </w:r>
          </w:p>
        </w:tc>
      </w:tr>
      <w:tr>
        <w:trPr>
          <w:trHeight w:val="27"/>
        </w:trPr>
        <w:tc>
          <w:tcPr>
            <w:tcW w:w="47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1,233,372</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1,427,313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3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7,326</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32,352</w:t>
            </w:r>
          </w:p>
        </w:tc>
      </w:tr>
      <w:tr>
        <w:trPr>
          <w:trHeight w:val="27"/>
        </w:trPr>
        <w:tc>
          <w:tcPr>
            <w:tcW w:w="47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3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3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0.27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1.19</w:t>
            </w:r>
          </w:p>
        </w:tc>
      </w:tr>
      <w:tr>
        <w:trPr>
          <w:trHeight w:val="702"/>
        </w:trPr>
        <w:tc>
          <w:tcPr>
            <w:tcW w:w="4700" w:type="dxa"/>
            <w:vAlign w:val="bottom"/>
          </w:tcPr>
          <w:p>
            <w:pPr>
              <w:spacing w:after="0"/>
              <w:rPr>
                <w:sz w:val="24"/>
                <w:szCs w:val="24"/>
                <w:color w:val="auto"/>
              </w:rPr>
            </w:pPr>
          </w:p>
        </w:tc>
        <w:tc>
          <w:tcPr>
            <w:tcW w:w="3080" w:type="dxa"/>
            <w:vAlign w:val="bottom"/>
          </w:tcPr>
          <w:p>
            <w:pPr>
              <w:jc w:val="right"/>
              <w:ind w:right="1890"/>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pro forma financial information presented in the table above includes the following adjustments to the combined entities' historical financial statements:</w:t>
      </w:r>
    </w:p>
    <w:p>
      <w:pPr>
        <w:spacing w:after="0" w:line="194" w:lineRule="exact"/>
        <w:rPr>
          <w:sz w:val="20"/>
          <w:szCs w:val="20"/>
          <w:color w:val="auto"/>
        </w:rPr>
      </w:pPr>
    </w:p>
    <w:p>
      <w:pPr>
        <w:jc w:val="both"/>
        <w:ind w:left="660" w:hanging="328"/>
        <w:spacing w:after="0" w:line="279"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combined entities recorded approximately $3.3 million of acquisition and integration expenses during the fiscal year ended June 30, 2017, which were transferred in the pro forma earnings to the fiscal year ended June 30, 2016 in order to report them as if they were incurred on July 1, 2015. Pro forma earnings were adjusted to include integration expenses that would have been recognized had the acquisition occurred on July 1, 2015 of $0.8 million and $0.9 million during the fiscal years ended June 30, 2017 and 2016, respectively.</w:t>
      </w:r>
    </w:p>
    <w:p>
      <w:pPr>
        <w:spacing w:after="0" w:line="117"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Interest expense for the combined entities was increased by $0.7 million for the fiscal year ended June 30, 2017 and by $1.4 million during the fiscal year ended June 30, 2016. The increase was attributable to the assumption that the Company's borrowings of $46.0 million used to fund a portion of the acquisition had been outstanding as of July 1, 2015. This increase was partially offset by the assumption that Houston Interests' former debt was extinguished as of July 1, 2015.</w:t>
      </w:r>
    </w:p>
    <w:p>
      <w:pPr>
        <w:spacing w:after="0" w:line="132"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Depreciation and intangible asset amortization expense for the combined entities was reduced by $1.4 million during the fiscal year ended June 30, 2017 and was increased by $1.8 million during the fiscal year ended June 30, 2016. These adjustments are primarily due to the recognition of amortizable intangible assets as part of the acquisition and the effect of fair value adjustments to acquired property, plant and equipment.</w:t>
      </w:r>
    </w:p>
    <w:p>
      <w:pPr>
        <w:spacing w:after="0" w:line="92"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 forma earnings were adjusted to include additional income tax expense of $2.0 million and $2.2 million during the fiscal years ended June 30, 2017 and 2016, respectively. Houston Interests was previously an exempt entity and income taxes were not assessed in its historical financial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Baillie Tank Equipment, Ltd.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 2016, the Company completed the acquisition of all outstanding stock of Baillie Tank Equipment, Ltd. (“BTE”), an internationally-based company with nearly 20 years of experience in the design and manufacture of products for use on aboveground storage tanks. Founded in 1998, BTE is a provider of tank products including geodesic domes, aluminum internal floating roofs, floating suction and skimmer systems, roof drain systems, and seals. BTE is headquartered in Sydney, Australia with a manufacturing facility near Seoul, South Korea. The Company acquired BTE to expand its service offerings of certain technical solutions for aboveground storage tanks. The business is now known as Matrix Applied Technologies, and its operating results are included in the Storage Solutions segment.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The following table summarizes the final purchase price allocation (in thousands):</w:t>
            </w: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35"/>
        </w:trPr>
        <w:tc>
          <w:tcPr>
            <w:tcW w:w="9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4,347</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720</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7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7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17,904</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329</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407</w:t>
            </w:r>
          </w:p>
        </w:tc>
      </w:tr>
      <w:tr>
        <w:trPr>
          <w:trHeight w:val="27"/>
        </w:trPr>
        <w:tc>
          <w:tcPr>
            <w:tcW w:w="9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13,641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Less: cash acquired</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592</w:t>
            </w:r>
          </w:p>
        </w:tc>
      </w:tr>
      <w:tr>
        <w:trPr>
          <w:trHeight w:val="27"/>
        </w:trPr>
        <w:tc>
          <w:tcPr>
            <w:tcW w:w="9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 price</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13,049</w:t>
            </w:r>
          </w:p>
        </w:tc>
      </w:tr>
      <w:tr>
        <w:trPr>
          <w:trHeight w:val="20"/>
        </w:trPr>
        <w:tc>
          <w:tcPr>
            <w:tcW w:w="9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goodwill recognized from the acquisition is attributable to the synergies of combining our operations and the technical expertise of the acquired workforce. None of the goodwill recognized is deductible for income tax purposes. The Company incurred $1.2 million of expenses related to the acquisition for the fiscal year ended June 30, 2016, which are included within Selling, general and administrative expenses in the Consolidated Statements of Income.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37"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3—Uncompleted Contracts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on uncompleted contracts is reported as a current liability. Gross and net amounts on uncompleted contracts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1300" w:type="dxa"/>
            <w:vAlign w:val="bottom"/>
          </w:tcPr>
          <w:p>
            <w:pPr>
              <w:jc w:val="right"/>
              <w:ind w:right="594"/>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7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recognized on uncompleted contracts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2,081,799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1,919,054</w:t>
            </w:r>
          </w:p>
        </w:tc>
        <w:tc>
          <w:tcPr>
            <w:tcW w:w="0" w:type="dxa"/>
            <w:vAlign w:val="bottom"/>
          </w:tcPr>
          <w:p>
            <w:pPr>
              <w:spacing w:after="0"/>
              <w:rPr>
                <w:sz w:val="1"/>
                <w:szCs w:val="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Billings on uncompleted contracts</w:t>
            </w:r>
          </w:p>
        </w:tc>
        <w:tc>
          <w:tcPr>
            <w:tcW w:w="38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2,125,907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1,903,001</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(44,108)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16,053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Shown in balance sheet as: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76,632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91,180</w:t>
            </w:r>
          </w:p>
        </w:tc>
        <w:tc>
          <w:tcPr>
            <w:tcW w:w="0" w:type="dxa"/>
            <w:vAlign w:val="bottom"/>
          </w:tcPr>
          <w:p>
            <w:pPr>
              <w:spacing w:after="0"/>
              <w:rPr>
                <w:sz w:val="1"/>
                <w:szCs w:val="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38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120,740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75,127</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(44,108)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16,053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Progress billings in accounts receivable at June 30, 2018 and June 30, 2017 included retentions to be collected within one year of $25.9 million and $54.3 million, respectively. Contract retentions collectible beyond one year are included in other assets in the Consolidated Balance Sheets and totaled $2.6 million at June 30, 2018 and $1.9 million at June 30,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fiscal 2017 results were negatively impacted by an increased cost estimate related to a large project in the Electrical Infrastructure segment, which resulted in a decrease in gross profit. The change in cost estimate resulted from a deterioration in the financial forecast of the project during the third fiscal quarter and was caused by various factors that delayed schedule progress and reduced productivity. At June 30, 2018, the Company's scope of work is complete and the remaining impact of the project on the Company's future results is expected to be insignificant.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37"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Other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Electrical</w:t>
            </w:r>
          </w:p>
        </w:tc>
        <w:tc>
          <w:tcPr>
            <w:tcW w:w="24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Oil Gas &amp;</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Storage</w:t>
            </w:r>
          </w:p>
        </w:tc>
        <w:tc>
          <w:tcPr>
            <w:tcW w:w="24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Industrial</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Infrastructure</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Chemical</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Solutions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42,374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71,518</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Purchase of BTE (Note 2)</w:t>
            </w:r>
          </w:p>
        </w:tc>
        <w:tc>
          <w:tcPr>
            <w:tcW w:w="2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6,942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6,942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Translation adjustment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Net balance at June 30, 2016</w:t>
            </w: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42,170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14,008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16,681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5,434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78,293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Houston Interests (Note 2)</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35,146</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Acquisition related adjustments</w:t>
            </w:r>
          </w:p>
        </w:tc>
        <w:tc>
          <w:tcPr>
            <w:tcW w:w="2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Translation adjustment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Net balance at June 30, 2017</w:t>
            </w: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42,152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33,604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16,764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20,981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113,501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(17,281)</w:t>
            </w:r>
          </w:p>
        </w:tc>
        <w:tc>
          <w:tcPr>
            <w:tcW w:w="0" w:type="dxa"/>
            <w:vAlign w:val="bottom"/>
          </w:tcPr>
          <w:p>
            <w:pPr>
              <w:spacing w:after="0"/>
              <w:rPr>
                <w:sz w:val="1"/>
                <w:szCs w:val="1"/>
                <w:color w:val="auto"/>
              </w:rPr>
            </w:pPr>
          </w:p>
        </w:tc>
      </w:tr>
      <w:tr>
        <w:trPr>
          <w:trHeight w:val="270"/>
        </w:trPr>
        <w:tc>
          <w:tcPr>
            <w:tcW w:w="390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Translation adjustment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7"/>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2018</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24,826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33,604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16,760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20,972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96,162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40" w:hanging="316"/>
        <w:spacing w:after="0" w:line="273" w:lineRule="auto"/>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-228600</wp:posOffset>
            </wp:positionV>
            <wp:extent cx="7975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0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performed our annual goodwill impairment test as of May 31, 2018. The test indicated that the carrying amount of our Electrical Infrastructure reporting unit exceeded its estimated fair value, resulting in an impairment to goodwill of $17.3 million. The impairment was triggered by lower financial projections as a result of the Company's decision to shift its strategy away from EPC power generation projects to smaller, individual packages that better fit the Company's strategy and risk profile, and the recent trend of sluggish maintenance and capital spending by some key clients in our Northeast and Mid-Atlantic high voltage markets. The estimated fair value of the reporting unit was derived by utilizing a combination of discounted cash flow analysis and market multiples.</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our market view of project opportunities or gross margin changes, the Company may need to perform an interim analysis, which could result in the recognition of an additional material impairment to goodwill. The Company will continue to monitor the operating results of its reporting units each period and perform additional tests as needed.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At June 30, 2018</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9 to 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6 to 15</w:t>
            </w:r>
          </w:p>
        </w:tc>
        <w:tc>
          <w:tcPr>
            <w:tcW w:w="30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38,562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21,799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480" w:type="dxa"/>
            <w:vAlign w:val="bottom"/>
            <w:tcBorders>
              <w:bottom w:val="single" w:sz="8" w:color="CCEEFF"/>
            </w:tcBorders>
            <w:shd w:val="clear" w:color="auto" w:fill="CCEEFF"/>
          </w:tcPr>
          <w:p>
            <w:pPr>
              <w:jc w:val="right"/>
              <w:ind w:right="6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44,224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22,814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735"/>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At June 30, 2017</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9 to 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 to 15</w:t>
            </w:r>
          </w:p>
        </w:tc>
        <w:tc>
          <w:tcPr>
            <w:tcW w:w="30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38,207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24,664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4 to 5</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 to 3</w:t>
            </w:r>
          </w:p>
        </w:tc>
        <w:tc>
          <w:tcPr>
            <w:tcW w:w="30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43,869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26,296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June 2018, the Company recorded a $0.7 million impairment to a customer relationship intangible asset associated with an acquisition that was completed in fiscal 2013. The impairment was triggered by lower than anticipated revenue and operating income. The impairment is included in the Oil Gas &amp; Chemical segment and is presented within the Goodwill and other intangible asset impairment caption in the Consolidated Statements of Income.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2017, the Company settled a portion of an account receivable with a customer in exchange for $50.0 million of backlog, which the Company expects to recognize as revenue over the next six years. The Company has recognized the backlog as a customer-based intangible asset with an estimated fair value of $2.0 million. The value assigned to the backlog approximated the net book value of the account receivable included in the settlement. The amortization expense will be recognized as the work is completed.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totaled $4.8 million, $4.9 million, and $3.6 million in fiscal 2018, 2017, and 2016, respectively. We estimate that future amortization of other intangible assets will be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ind w:left="40"/>
              <w:spacing w:after="0"/>
              <w:rPr>
                <w:sz w:val="20"/>
                <w:szCs w:val="20"/>
                <w:color w:val="auto"/>
              </w:rPr>
            </w:pPr>
            <w:r>
              <w:rPr>
                <w:rFonts w:ascii="Arial" w:cs="Arial" w:eastAsia="Arial" w:hAnsi="Arial"/>
                <w:sz w:val="18"/>
                <w:szCs w:val="18"/>
                <w:b w:val="1"/>
                <w:bCs w:val="1"/>
                <w:color w:val="auto"/>
              </w:rPr>
              <w:t>For year ending:</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2019</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June 30, 2020</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3,688</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2021</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June 30, 2022</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2,821</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2023</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6,568</w:t>
            </w:r>
          </w:p>
        </w:tc>
      </w:tr>
      <w:tr>
        <w:trPr>
          <w:trHeight w:val="27"/>
        </w:trPr>
        <w:tc>
          <w:tcPr>
            <w:tcW w:w="9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estimated amortization expense</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22,814</w:t>
            </w:r>
          </w:p>
        </w:tc>
      </w:tr>
      <w:tr>
        <w:trPr>
          <w:trHeight w:val="20"/>
        </w:trPr>
        <w:tc>
          <w:tcPr>
            <w:tcW w:w="9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provides for a five-year senior secured revolving credit facility of $300.0 million that expires February 8, 2022. The credit facility may be used for working capital, acquisitions, capital expenditures, issuances of letters of credit and other lawful purposes.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37"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Leverage Ratio, determined as of the end of each fiscal quarter, may not exceed 3.00 to 1.00.</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are required to maintain a Fixed Charge Coverage Ratio, determined as of the end of each fiscal quarter, greater than or equal to 1.25 to 1.00.</w:t>
      </w:r>
    </w:p>
    <w:p>
      <w:pPr>
        <w:spacing w:after="0" w:line="194" w:lineRule="exact"/>
        <w:rPr>
          <w:rFonts w:ascii="Arial" w:cs="Arial" w:eastAsia="Arial" w:hAnsi="Arial"/>
          <w:sz w:val="16"/>
          <w:szCs w:val="16"/>
          <w:color w:val="auto"/>
        </w:rPr>
      </w:pPr>
    </w:p>
    <w:p>
      <w:pPr>
        <w:ind w:left="640" w:right="520" w:hanging="321"/>
        <w:spacing w:after="0" w:line="342" w:lineRule="auto"/>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credit facility includes a sub-facility for revolving loans denominated in Australian Dollars, Canadian Dollars, Euros and Pounds Sterling in an aggregate amount not to exceed the U.S. Dollar equivalent of $75.0 million and a $200.0 million sublimit for letters of credit.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Adjusted LIBO Rate, in the case of revolving loans denominated in Pounds Sterling or Australian Dollars; or</w:t>
      </w:r>
    </w:p>
    <w:p>
      <w:pPr>
        <w:spacing w:after="0" w:line="171"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EURIBO Rate, in the case of revolving loans denominated in Euros,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0.25% and 0.45% based on the Leverage Ratio.</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Credit Agreement includes a Leverage Ratio covenant, which provides that Consolidated Funded Indebtedness, as of the end of any fiscal quarter, may not exceed 3.0 times Consolidated EBITDA, as defined in the Credit Agreement, over the previous four quarters. For the four quarters ended June 30, 2018, Consolidated EBITDA was $36.8 million. Consolidated Funded Indebtedness, as defined in the Credit Agreement, at June 30, 2018 was $37.1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secured revolving credit facility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240" w:type="dxa"/>
            <w:vAlign w:val="bottom"/>
          </w:tcPr>
          <w:p>
            <w:pPr>
              <w:jc w:val="right"/>
              <w:ind w:right="534"/>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r>
      <w:tr>
        <w:trPr>
          <w:trHeight w:val="250"/>
        </w:trPr>
        <w:tc>
          <w:tcPr>
            <w:tcW w:w="7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21"/>
                <w:szCs w:val="2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Capacity constraint due to the Leverage Ratio</w:t>
            </w:r>
          </w:p>
        </w:tc>
        <w:tc>
          <w:tcPr>
            <w:tcW w:w="36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189,741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169,092</w:t>
            </w:r>
          </w:p>
        </w:tc>
      </w:tr>
      <w:tr>
        <w:trPr>
          <w:trHeight w:val="27"/>
        </w:trPr>
        <w:tc>
          <w:tcPr>
            <w:tcW w:w="7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senior secured revolving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110,259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130,908</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Letters of credit issued</w:t>
            </w:r>
          </w:p>
        </w:tc>
        <w:tc>
          <w:tcPr>
            <w:tcW w:w="36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37,073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7,825</w:t>
            </w:r>
          </w:p>
        </w:tc>
      </w:tr>
      <w:tr>
        <w:trPr>
          <w:trHeight w:val="27"/>
        </w:trPr>
        <w:tc>
          <w:tcPr>
            <w:tcW w:w="7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44,682</w:t>
            </w:r>
          </w:p>
        </w:tc>
      </w:tr>
      <w:tr>
        <w:trPr>
          <w:trHeight w:val="257"/>
        </w:trPr>
        <w:tc>
          <w:tcPr>
            <w:tcW w:w="7320" w:type="dxa"/>
            <w:vAlign w:val="bottom"/>
          </w:tcPr>
          <w:p>
            <w:pPr>
              <w:ind w:left="40"/>
              <w:spacing w:after="0"/>
              <w:rPr>
                <w:sz w:val="20"/>
                <w:szCs w:val="20"/>
                <w:color w:val="auto"/>
              </w:rPr>
            </w:pPr>
            <w:r>
              <w:rPr>
                <w:rFonts w:ascii="Arial" w:cs="Arial" w:eastAsia="Arial" w:hAnsi="Arial"/>
                <w:sz w:val="18"/>
                <w:szCs w:val="18"/>
                <w:color w:val="auto"/>
              </w:rPr>
              <w:t>Availability under the senior secured revolving credit facility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73,186</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78,401</w:t>
            </w:r>
          </w:p>
        </w:tc>
      </w:tr>
      <w:tr>
        <w:trPr>
          <w:trHeight w:val="20"/>
        </w:trPr>
        <w:tc>
          <w:tcPr>
            <w:tcW w:w="7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in compliance with all other affirmative, negative, and financial covenants under the Credit Agreement. At June 30, 2018, the Company was at the lowest margin tier for all categories of loans and the unused revolving credit facility fee under the Credit Agreement. The carrying value of the senior secured revolving credit facility approximates its fair value at each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3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Cuts and Jobs Act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Tax Cuts and Jobs Act (the "Act") was enacted on December 22, 2017. The Act makes broad and complex changes to the U.S. tax code, which have affected our current results and will affect our future results. The following were significant changes in the tax code that became effective for the Company beginning January 1, 2018:</w:t>
      </w:r>
    </w:p>
    <w:p>
      <w:pPr>
        <w:spacing w:after="0" w:line="127" w:lineRule="exact"/>
        <w:rPr>
          <w:sz w:val="20"/>
          <w:szCs w:val="20"/>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reducing the Company's U.S. federal corporate income tax rate from 35% to a blended rate of 28.06% for fiscal 2018 as stipulated by the Internal Revenue Code for companies using a June 30 fiscal year end and to 21% for fiscal years thereafter;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generally eliminating U.S. federal income tax on dividends from foreign subsidiaries;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requiring current inclusion in U.S. federal taxable income of certain earnings of controlled foreign corporations;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allowing full expensing of certain assets placed in service from September 27, 2017 and before January 1, 2023;</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restricting further deductibility of executive performance compensation in excess of $1.0 million;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disallowing certain entertainment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significant changes in the tax code that are effective for the Company beginning July 1, 2018:</w:t>
      </w:r>
    </w:p>
    <w:p>
      <w:pPr>
        <w:spacing w:after="0" w:line="17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eliminating the deduction for domestic production activity;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limiting the annual deduction for business interest;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taxing global intangible low-tax income;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allowing a deduction for domestically earned foreign intangible income;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establishing a new base erosion and anti-abuse tax on payments between U.S. taxpayers and foreign related parties.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 staff issued SAB 118 which provides guidance on accounting for the tax effects of the Act. SAB 118 provides a measurement period that should not extend beyond one year from the Act’s enactment date for companies to complete the accounting under ASC 740. As of June 30, 2018, we have not completed our accounting for the tax effect of the Act. In accordance with SAB 118 and as discussed below, we have reflected the income tax effects of the those items where the accounting is complete; have recorded a provisional amount with regards for those items where the accounting is not complete but we have made a reasonable estimate; and have continued to account for items based on our existing accounting under ASC 740 in those areas where we have not been able to make a reasonable estimate.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Complete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Taxes Remeasurement</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remeasured our domestic deferred tax assets and liabilities based on the rates at which we expect them to reverse in the future. Section 15 of the Internal Revenue Code stipulates that our fiscal year ending June 30, 2018 will have a blended U.S. federal corporate income tax rate of 28.06%, which is based on the applicable tax rates before and after the Act and the number of days in the tax year. Therefore, domestic deferred taxes reversing prior to July 1, 2018 will be taxed based on the blended rate and reversals occurring thereafter will be taxed at the new 21% tax rate. As of June 30, 2018, we have completed the remeasurement of our domestic deferred tax assets and liabilities which resulted in an income tax benefit of $0.5 million, which is included in Provision (benefit) for federal, state and foreign income taxes in the Consolidated Statements of Income.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37"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p>
      <w:pPr>
        <w:ind w:right="5540"/>
        <w:spacing w:after="0" w:line="440" w:lineRule="auto"/>
        <w:rPr>
          <w:sz w:val="20"/>
          <w:szCs w:val="20"/>
          <w:color w:val="auto"/>
        </w:rPr>
      </w:pPr>
      <w:r>
        <w:rPr>
          <w:rFonts w:ascii="Arial" w:cs="Arial" w:eastAsia="Arial" w:hAnsi="Arial"/>
          <w:sz w:val="18"/>
          <w:szCs w:val="18"/>
          <w:b w:val="1"/>
          <w:bCs w:val="1"/>
          <w:color w:val="auto"/>
        </w:rPr>
        <w:t xml:space="preserve">Accounting not Complete - Provisional Amount Recorded </w:t>
      </w:r>
      <w:r>
        <w:rPr>
          <w:rFonts w:ascii="Arial" w:cs="Arial" w:eastAsia="Arial" w:hAnsi="Arial"/>
          <w:sz w:val="18"/>
          <w:szCs w:val="18"/>
          <w:u w:val="single" w:color="auto"/>
          <w:color w:val="auto"/>
        </w:rPr>
        <w:t>One-time Transition Tax on Unpatriated Earnings of Certain Foreign Subsidiaries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Act includes a one-time transition tax based on our total post-1986 foreign earnings and profits (E&amp;P) which we have previously deferred from U.S. income taxes. We have not completed the calculations surrounding this tax, but based on our preliminary calculations, our foreign subsidiaries have overall negative E&amp;P. Therefore, we do not anticipate incurring tax related to this provision of the Act since any return of assets would be a return of capital, not earnings. Due to the preliminary nature of our calculations, no additional income taxes have been provided for any remaining undistributed foreign earnings not subject to the transition tax and any outside basis difference inherent in these entities as these amounts continue to be indefinitely reinvested in foreign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not Complete - Using Existing Accounting Under ASC 740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Allowances on Foreign Tax Credit Carryforwards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currently assessing and have not completed our analysis of how various aspects of the Act such as deemed repatriation of foreign income, global intangible low taxes income ("GILTI") inclusions, and new categories of foreign tax credits affect our ability to utilize our existing foreign tax credit carryforwards before they expire. Currently we have stated our foreign tax credits at the amount at which we are more likely than not to realize the tax benefit before consideration of the tax law changes under the Act. Our completed analysis may result in an increased valuation allowance against our current foreign tax credit carryforwards.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Indefinite Reinvestment Assertion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Currently we do not provide for outside basis differences under the indefinite reinvestment assertion of ASC 740-30. Our complete analysis of the Act may require us to provide for additional taxes to basis differences or withholding taxes on remitted foreign earnings.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GILTI</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Act creates a new requirement that certain income earned by controlled foreign corporations must be included currently in the gross income of the U.S. shareholder. Because of the complexity of the new GILTI rules, we are continuing to evaluate this provision of the Act and the application of ASC 740. Under US GAAP, we are allowed to make an accounting policy choice of either: 1) treating taxes due on future U.S. inclusions in taxable income related to GILTI as a current-period expense when incurred or 2) factoring such amounts into the measurement of our deferred taxes. Our selection of an accounting policy will depend, in part, on analyzing our global income and the expected GILTI inclusions that, in turn, depend on our estimated future results of global operations. As such, we are not yet able to reasonably estimate the effect of the potential GILTI tax on our financial statements and have not made a policy decision regarding whether to recorded deferred tax on GILTI.</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pretax income (loss)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Fiscal Years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54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7"/>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18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19,763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33,986</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Foreign</w:t>
            </w:r>
          </w:p>
        </w:tc>
        <w:tc>
          <w:tcPr>
            <w:tcW w:w="3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(17,317)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2,446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39,653</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Arial" w:cs="Arial" w:eastAsia="Arial" w:hAnsi="Arial"/>
                <w:sz w:val="18"/>
                <w:szCs w:val="18"/>
                <w:color w:val="auto"/>
              </w:rPr>
              <w:t>64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18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the provision for income tax expense (benefit)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Fiscal Years Ended</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54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right"/>
              <w:ind w:right="473"/>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r>
      <w:tr>
        <w:trPr>
          <w:trHeight w:val="250"/>
        </w:trPr>
        <w:tc>
          <w:tcPr>
            <w:tcW w:w="6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6,522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9,930</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2,570</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12,238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887</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67</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924</w:t>
            </w:r>
          </w:p>
        </w:tc>
      </w:tr>
      <w:tr>
        <w:trPr>
          <w:trHeight w:val="237"/>
        </w:trPr>
        <w:tc>
          <w:tcPr>
            <w:tcW w:w="64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1,878</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14,116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Reconciliation between the expected income tax provision applying the domestic federal statutory tax rate and the reported income tax provision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Fiscal Years Ended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52"/>
        </w:trPr>
        <w:tc>
          <w:tcPr>
            <w:tcW w:w="7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3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100" w:type="dxa"/>
            <w:vAlign w:val="bottom"/>
          </w:tcPr>
          <w:p>
            <w:pPr>
              <w:jc w:val="right"/>
              <w:ind w:right="352"/>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7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7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provision (benefit) for federal income taxes at the statutory rate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13,879</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1,827</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Impairment of non-deductible goodwill</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2,342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Charges without tax benefit</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2,187</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w:t>
            </w:r>
          </w:p>
        </w:tc>
      </w:tr>
      <w:tr>
        <w:trPr>
          <w:trHeight w:val="270"/>
        </w:trPr>
        <w:tc>
          <w:tcPr>
            <w:tcW w:w="7100" w:type="dxa"/>
            <w:vAlign w:val="bottom"/>
          </w:tcPr>
          <w:p>
            <w:pPr>
              <w:ind w:left="40"/>
              <w:spacing w:after="0" w:line="270" w:lineRule="exact"/>
              <w:rPr>
                <w:sz w:val="20"/>
                <w:szCs w:val="20"/>
                <w:color w:val="auto"/>
              </w:rPr>
            </w:pPr>
            <w:r>
              <w:rPr>
                <w:rFonts w:ascii="Arial" w:cs="Arial" w:eastAsia="Arial" w:hAnsi="Arial"/>
                <w:sz w:val="18"/>
                <w:szCs w:val="18"/>
                <w:color w:val="auto"/>
              </w:rPr>
              <w:t>Excess tax expense (benefit) on stock-based compensation</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7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Remeasurement of deferred taxes</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IRC S199 deduction</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(999)</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and other tax credits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Foreign tax differential</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1,164</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Change in uncertain tax positions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to tax accounts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federal, state and foreign income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2,308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14,116</w:t>
            </w: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40" w:hanging="316"/>
        <w:spacing w:after="0" w:line="250" w:lineRule="auto"/>
        <w:tabs>
          <w:tab w:leader="none" w:pos="5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Relates to a $17.3 million impairment of goodwill, which included $8.3 million of non-deductible goodwill. See Note 4 - Goodwill and Other Intangible Assets for more information about the impairment.</w:t>
      </w:r>
    </w:p>
    <w:p>
      <w:pPr>
        <w:jc w:val="both"/>
        <w:ind w:left="540" w:hanging="316"/>
        <w:spacing w:after="0" w:line="241" w:lineRule="auto"/>
        <w:tabs>
          <w:tab w:leader="none" w:pos="5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This represents the amount recognized for excess tax benefits upon the vesting or exercise of nonvested deferred share awards and stock options, respectively, for which the Company expects to receive an income tax deduction. The Company adopted ASU 2016-09 in fiscal 2017, which required that excess tax benefits and tax deficiencies be recognized as part of the provision for income taxes.</w:t>
      </w:r>
    </w:p>
    <w:p>
      <w:pPr>
        <w:spacing w:after="0" w:line="1" w:lineRule="exact"/>
        <w:rPr>
          <w:rFonts w:ascii="Arial" w:cs="Arial" w:eastAsia="Arial" w:hAnsi="Arial"/>
          <w:sz w:val="14"/>
          <w:szCs w:val="14"/>
          <w:color w:val="auto"/>
        </w:rPr>
      </w:pPr>
    </w:p>
    <w:p>
      <w:pPr>
        <w:ind w:left="540" w:hanging="316"/>
        <w:spacing w:after="0"/>
        <w:tabs>
          <w:tab w:leader="none" w:pos="5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This represents the remeasurement of deferred taxes in connection with Tax Cuts and Jobs Act - see Deferred Taxes Remeasurement paragraph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-620395</wp:posOffset>
            </wp:positionV>
            <wp:extent cx="7975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337" w:right="2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components of the Company’s deferred tax assets and liabilities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100" w:type="dxa"/>
            <w:vAlign w:val="bottom"/>
          </w:tcPr>
          <w:p>
            <w:pPr>
              <w:jc w:val="center"/>
              <w:ind w:left="50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center"/>
              <w:ind w:right="453"/>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7880" w:type="dxa"/>
            <w:vAlign w:val="bottom"/>
          </w:tcPr>
          <w:p>
            <w:pPr>
              <w:spacing w:after="0"/>
              <w:rPr>
                <w:sz w:val="16"/>
                <w:szCs w:val="16"/>
                <w:color w:val="auto"/>
              </w:rPr>
            </w:pPr>
          </w:p>
        </w:tc>
        <w:tc>
          <w:tcPr>
            <w:tcW w:w="1100" w:type="dxa"/>
            <w:vAlign w:val="bottom"/>
            <w:tcBorders>
              <w:bottom w:val="single" w:sz="8" w:color="auto"/>
            </w:tcBorders>
          </w:tcPr>
          <w:p>
            <w:pPr>
              <w:jc w:val="center"/>
              <w:ind w:left="520"/>
              <w:spacing w:after="0"/>
              <w:rPr>
                <w:sz w:val="20"/>
                <w:szCs w:val="20"/>
                <w:color w:val="auto"/>
              </w:rPr>
            </w:pPr>
            <w:r>
              <w:rPr>
                <w:rFonts w:ascii="Arial" w:cs="Arial" w:eastAsia="Arial" w:hAnsi="Arial"/>
                <w:sz w:val="14"/>
                <w:szCs w:val="14"/>
                <w:b w:val="1"/>
                <w:bCs w:val="1"/>
                <w:color w:val="auto"/>
                <w:w w:val="96"/>
              </w:rPr>
              <w:t>2018</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13"/>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7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Warranty reserve</w:t>
            </w:r>
          </w:p>
        </w:tc>
        <w:tc>
          <w:tcPr>
            <w:tcW w:w="1100" w:type="dxa"/>
            <w:vAlign w:val="bottom"/>
          </w:tcPr>
          <w:p>
            <w:pPr>
              <w:jc w:val="right"/>
              <w:ind w:right="9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Bad debt reserve</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Paid-time-off accrual</w:t>
            </w:r>
          </w:p>
        </w:tc>
        <w:tc>
          <w:tcPr>
            <w:tcW w:w="11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Insurance reserve</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Legal reserve</w:t>
            </w:r>
          </w:p>
        </w:tc>
        <w:tc>
          <w:tcPr>
            <w:tcW w:w="11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 benefit and credit carryforwards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10,169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9,332</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(1,638)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pension</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Stock compensation expense on nonvested deferred shares</w:t>
            </w:r>
          </w:p>
        </w:tc>
        <w:tc>
          <w:tcPr>
            <w:tcW w:w="11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2,733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3,731</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losses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Foreign currency translation and other</w:t>
            </w:r>
          </w:p>
        </w:tc>
        <w:tc>
          <w:tcPr>
            <w:tcW w:w="11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17,304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21,478</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over book depreciation</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11,446</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Tax over book amortization</w:t>
            </w:r>
          </w:p>
        </w:tc>
        <w:tc>
          <w:tcPr>
            <w:tcW w:w="11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Branch future liability</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Receivable holdbacks and other</w:t>
            </w:r>
          </w:p>
        </w:tc>
        <w:tc>
          <w:tcPr>
            <w:tcW w:w="11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12,885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18,221</w:t>
            </w:r>
          </w:p>
        </w:tc>
        <w:tc>
          <w:tcPr>
            <w:tcW w:w="0" w:type="dxa"/>
            <w:vAlign w:val="bottom"/>
          </w:tcPr>
          <w:p>
            <w:pPr>
              <w:spacing w:after="0"/>
              <w:rPr>
                <w:sz w:val="1"/>
                <w:szCs w:val="1"/>
                <w:color w:val="auto"/>
              </w:rPr>
            </w:pPr>
          </w:p>
        </w:tc>
      </w:tr>
      <w:tr>
        <w:trPr>
          <w:trHeight w:val="237"/>
        </w:trPr>
        <w:tc>
          <w:tcPr>
            <w:tcW w:w="7880" w:type="dxa"/>
            <w:vAlign w:val="bottom"/>
          </w:tcPr>
          <w:p>
            <w:pPr>
              <w:ind w:left="40"/>
              <w:spacing w:after="0"/>
              <w:rPr>
                <w:sz w:val="20"/>
                <w:szCs w:val="20"/>
                <w:color w:val="auto"/>
              </w:rPr>
            </w:pPr>
            <w:r>
              <w:rPr>
                <w:rFonts w:ascii="Arial" w:cs="Arial" w:eastAsia="Arial" w:hAnsi="Arial"/>
                <w:sz w:val="18"/>
                <w:szCs w:val="18"/>
                <w:color w:val="auto"/>
              </w:rPr>
              <w:t>Net deferred tax asset</w:t>
            </w:r>
          </w:p>
        </w:tc>
        <w:tc>
          <w:tcPr>
            <w:tcW w:w="1100" w:type="dxa"/>
            <w:vAlign w:val="bottom"/>
            <w:tcBorders>
              <w:top w:val="single" w:sz="8" w:color="auto"/>
            </w:tcBorders>
          </w:tcPr>
          <w:p>
            <w:pPr>
              <w:jc w:val="right"/>
              <w:ind w:right="90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4,419</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7"/>
        </w:trPr>
        <w:tc>
          <w:tcPr>
            <w:tcW w:w="7880" w:type="dxa"/>
            <w:vAlign w:val="bottom"/>
            <w:vMerge w:val="restart"/>
          </w:tcPr>
          <w:p>
            <w:pPr>
              <w:spacing w:after="0"/>
              <w:rPr>
                <w:sz w:val="20"/>
                <w:szCs w:val="20"/>
                <w:color w:val="auto"/>
              </w:rPr>
            </w:pPr>
            <w:r>
              <w:rPr>
                <w:rFonts w:ascii="Arial" w:cs="Arial" w:eastAsia="Arial" w:hAnsi="Arial"/>
                <w:sz w:val="18"/>
                <w:szCs w:val="18"/>
                <w:color w:val="auto"/>
              </w:rPr>
              <w:t>As reported in the Consolidated Balance Sheets</w:t>
            </w: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80" w:type="dxa"/>
            <w:vAlign w:val="bottom"/>
            <w:vMerge w:val="continue"/>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880" w:type="dxa"/>
            <w:vAlign w:val="bottom"/>
          </w:tcPr>
          <w:p>
            <w:pPr>
              <w:spacing w:after="0"/>
              <w:rPr>
                <w:sz w:val="24"/>
                <w:szCs w:val="24"/>
                <w:color w:val="auto"/>
              </w:rPr>
            </w:pPr>
          </w:p>
        </w:tc>
        <w:tc>
          <w:tcPr>
            <w:tcW w:w="1100" w:type="dxa"/>
            <w:vAlign w:val="bottom"/>
          </w:tcPr>
          <w:p>
            <w:pPr>
              <w:jc w:val="center"/>
              <w:ind w:left="50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jc w:val="center"/>
              <w:ind w:right="453"/>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7880" w:type="dxa"/>
            <w:vAlign w:val="bottom"/>
          </w:tcPr>
          <w:p>
            <w:pPr>
              <w:spacing w:after="0"/>
              <w:rPr>
                <w:sz w:val="16"/>
                <w:szCs w:val="16"/>
                <w:color w:val="auto"/>
              </w:rPr>
            </w:pPr>
          </w:p>
        </w:tc>
        <w:tc>
          <w:tcPr>
            <w:tcW w:w="1100" w:type="dxa"/>
            <w:vAlign w:val="bottom"/>
            <w:tcBorders>
              <w:bottom w:val="single" w:sz="8" w:color="auto"/>
            </w:tcBorders>
          </w:tcPr>
          <w:p>
            <w:pPr>
              <w:jc w:val="center"/>
              <w:ind w:left="520"/>
              <w:spacing w:after="0"/>
              <w:rPr>
                <w:sz w:val="20"/>
                <w:szCs w:val="20"/>
                <w:color w:val="auto"/>
              </w:rPr>
            </w:pPr>
            <w:r>
              <w:rPr>
                <w:rFonts w:ascii="Arial" w:cs="Arial" w:eastAsia="Arial" w:hAnsi="Arial"/>
                <w:sz w:val="14"/>
                <w:szCs w:val="14"/>
                <w:b w:val="1"/>
                <w:bCs w:val="1"/>
                <w:color w:val="auto"/>
                <w:w w:val="96"/>
              </w:rPr>
              <w:t>2018</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13"/>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7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w:t>
            </w:r>
          </w:p>
        </w:tc>
        <w:tc>
          <w:tcPr>
            <w:tcW w:w="1100" w:type="dxa"/>
            <w:vAlign w:val="bottom"/>
            <w:tcBorders>
              <w:bottom w:val="single" w:sz="8" w:color="CCEEFF"/>
            </w:tcBorders>
            <w:shd w:val="clear" w:color="auto" w:fill="CCEEFF"/>
          </w:tcPr>
          <w:p>
            <w:pPr>
              <w:jc w:val="right"/>
              <w:ind w:right="90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 and tax credit carryforwards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state net operating loss carryforwards, state tax credit carryforwards, federal foreign tax credit carryforwards, foreign net operating loss carryforwards and foreign tax credit carryforwards. The valuation allowance at June 30, 2018 and June 30, 2017 reduces the recognized tax benefit of these carryforwards to an amount that is more likely than not to be realized. These carryforwards will generally expire as shown below:</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Operating Loss Carryforwards</w:t>
            </w:r>
          </w:p>
        </w:tc>
        <w:tc>
          <w:tcPr>
            <w:tcW w:w="524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Expiration Period</w:t>
            </w:r>
          </w:p>
        </w:tc>
        <w:tc>
          <w:tcPr>
            <w:tcW w:w="5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Amount (in thousands)</w:t>
            </w: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net operating losses</w:t>
            </w:r>
          </w:p>
        </w:tc>
        <w:tc>
          <w:tcPr>
            <w:tcW w:w="5240" w:type="dxa"/>
            <w:vAlign w:val="bottom"/>
            <w:tcBorders>
              <w:bottom w:val="single" w:sz="8" w:color="CCEEFF"/>
            </w:tcBorders>
            <w:shd w:val="clear" w:color="auto" w:fill="CCEEFF"/>
          </w:tcPr>
          <w:p>
            <w:pPr>
              <w:ind w:left="1900"/>
              <w:spacing w:after="0"/>
              <w:rPr>
                <w:sz w:val="20"/>
                <w:szCs w:val="20"/>
                <w:color w:val="auto"/>
              </w:rPr>
            </w:pPr>
            <w:r>
              <w:rPr>
                <w:rFonts w:ascii="Arial" w:cs="Arial" w:eastAsia="Arial" w:hAnsi="Arial"/>
                <w:sz w:val="18"/>
                <w:szCs w:val="18"/>
                <w:color w:val="auto"/>
              </w:rPr>
              <w:t>June 2023 to June 2038</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22,230</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Foreign net operating losses</w:t>
            </w:r>
          </w:p>
        </w:tc>
        <w:tc>
          <w:tcPr>
            <w:tcW w:w="5240" w:type="dxa"/>
            <w:vAlign w:val="bottom"/>
          </w:tcPr>
          <w:p>
            <w:pPr>
              <w:ind w:left="1900"/>
              <w:spacing w:after="0"/>
              <w:rPr>
                <w:sz w:val="20"/>
                <w:szCs w:val="20"/>
                <w:color w:val="auto"/>
              </w:rPr>
            </w:pPr>
            <w:r>
              <w:rPr>
                <w:rFonts w:ascii="Arial" w:cs="Arial" w:eastAsia="Arial" w:hAnsi="Arial"/>
                <w:sz w:val="18"/>
                <w:szCs w:val="18"/>
                <w:color w:val="auto"/>
              </w:rPr>
              <w:t>December 2029; June 2032 to June 2037</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20,733</w:t>
            </w: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337" w:right="2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Tax Credit Carryforwards</w:t>
            </w:r>
          </w:p>
        </w:tc>
        <w:tc>
          <w:tcPr>
            <w:tcW w:w="468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Expiration Period</w:t>
            </w:r>
          </w:p>
        </w:tc>
        <w:tc>
          <w:tcPr>
            <w:tcW w:w="1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Amount (in thousands)</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tax credits</w:t>
            </w:r>
          </w:p>
        </w:tc>
        <w:tc>
          <w:tcPr>
            <w:tcW w:w="4680" w:type="dxa"/>
            <w:vAlign w:val="bottom"/>
            <w:tcBorders>
              <w:bottom w:val="single" w:sz="8" w:color="CCEEFF"/>
            </w:tcBorders>
            <w:shd w:val="clear" w:color="auto" w:fill="CCEEFF"/>
          </w:tcPr>
          <w:p>
            <w:pPr>
              <w:ind w:left="1960"/>
              <w:spacing w:after="0"/>
              <w:rPr>
                <w:sz w:val="20"/>
                <w:szCs w:val="20"/>
                <w:color w:val="auto"/>
              </w:rPr>
            </w:pPr>
            <w:r>
              <w:rPr>
                <w:rFonts w:ascii="Arial" w:cs="Arial" w:eastAsia="Arial" w:hAnsi="Arial"/>
                <w:sz w:val="18"/>
                <w:szCs w:val="18"/>
                <w:color w:val="auto"/>
              </w:rPr>
              <w:t>June 2018 to June 2033</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Federal foreign tax credits</w:t>
            </w:r>
          </w:p>
        </w:tc>
        <w:tc>
          <w:tcPr>
            <w:tcW w:w="4680" w:type="dxa"/>
            <w:vAlign w:val="bottom"/>
          </w:tcPr>
          <w:p>
            <w:pPr>
              <w:ind w:left="1960"/>
              <w:spacing w:after="0"/>
              <w:rPr>
                <w:sz w:val="20"/>
                <w:szCs w:val="20"/>
                <w:color w:val="auto"/>
              </w:rPr>
            </w:pPr>
            <w:r>
              <w:rPr>
                <w:rFonts w:ascii="Arial" w:cs="Arial" w:eastAsia="Arial" w:hAnsi="Arial"/>
                <w:sz w:val="18"/>
                <w:szCs w:val="18"/>
                <w:color w:val="auto"/>
              </w:rPr>
              <w:t>June 2019 to June 2025</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1,244</w:t>
            </w:r>
          </w:p>
        </w:tc>
      </w:tr>
      <w:tr>
        <w:trPr>
          <w:trHeight w:val="27"/>
        </w:trPr>
        <w:tc>
          <w:tcPr>
            <w:tcW w:w="39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tax credits</w:t>
            </w:r>
          </w:p>
        </w:tc>
        <w:tc>
          <w:tcPr>
            <w:tcW w:w="468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June 2035 to June 2037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668</w:t>
            </w:r>
          </w:p>
        </w:tc>
      </w:tr>
      <w:tr>
        <w:trPr>
          <w:trHeight w:val="27"/>
        </w:trPr>
        <w:tc>
          <w:tcPr>
            <w:tcW w:w="390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files tax returns in multiple domestic and foreign taxing jurisdictions. With a few exceptions, the Company is no longer subject to examination by taxing authorities through fiscal 2013. At June 30, 2018, the Company updated its evaluation of its open tax years in all known jurisdictions. We have recorded a $0.5 million liability as of June 30, 2018 for unrecognized tax positions and the payment of related interest and penalties. We treat the related interest and penalties as income tax expense. Due to the uncertainties related to these tax matters, we are unable to make a reasonably reliable estimate as to when cash settlement with a taxing authority will occur.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2018 and June 30, 2017, costs and estimated earnings in excess of billings on uncompleted contracts included revenues for unapproved change orders and claims of $15.0 million and $11.0 million, respectively. Generally, collection of amounts related to unapproved change orders and claims is expected within twelve months. However, customers may not pay these amounts until final resolution of related claims, and accordingly, collection of these amounts may extend beyond one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8—Operating Leases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the lessee under operating leases covering real estate and office equipment under non-cancelable operating lease agreements that expire at various times. Future minimum lease payments under non-cancelable operating leases that were in effect at June 30, 2018 total $33.1 million and are payable as follows: fiscal 2019—$7.5 million; fiscal 2020—$6.7 million; fiscal 2021—$5.5 million; fiscal 2022—$4.4 million; fiscal 2023—$2.9 million and thereafter—$6.2 million. Operating lease expense was $8.6 million, $7.9 million and $6.6 million for the fiscal years ended June 30, 2018, June 30, 2017 and June 30, 2016,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37"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5.0 million shares of preferred stock authorized, none of which was issued or outstanding at June 30, 2018 or June 30,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December 12, 2016, the Board of Directors approved a stock buyback program (the "December 2016 Program"), which replaced the previous program that had been in place since November 2014. Under the December 2016 Program, the Company may repurchase common stock of the Company in any calendar year commencing with calendar year 2016 and continuing through calendar year 2018, up to a maximum of $25.0 million per calendar year.</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may repurchase its stock from time to time in the open market at prevailing market prices or in privately negotiated transactions. The December 2016 Program will continue through December 31, 2018 unless and until it is modified or revoked by the Board of Directors. No shares have been repurchased under the December 2016 Program as of June 30, 2018.</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stock buyback program, the Company may withhold shares of common stock to satisfy the tax withholding obligations upon vesting of an employee’s deferred shares. Matrix withheld 52,950 and 134,535 shares of common stock during fiscal 2018 and 2017, respectively, to satisfy these obligations. These shares were returned to the Company’s pool of treasury shares. The Company has 1,034,394 treasury shares as of June 30, 2018 and intends to utilize these treasury shares in connection with equity awards under the Company’s stock incentive plans and for sales to the Employee Stock Purchase 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10—Stock-Based Compensation</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Total stock-based compensation expense for the fiscal years ended June 30, 2018, June 30, 2017, and June 30, 2016 was $8.6 million, $7.5 million and $6.3 million, respectively. Measured but unrecognized stock-based compensation expense at June 30, 2018 was $12.9 million, all of which related to nonvested deferred shares which are expected to be recognized as expense over a weighted average period of 1.7 years. The Company recognized excess tax expense of $0.5 million related to stock-based compensation vesting for the fiscal year ended June 30, 2018 and recognized excess tax benefits of $0.5 million and $3.2 million for the fiscal years ended June 30, 2017 and June 30, 2016,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Information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2016, the Company's stockholders approved the Matrix Service Company 2016 Stock and Incentive Compensation Plan (the "2016 Plan"), which provides stock-based and cash-based incentives for officers, directors and other key employees. Stock options, restricted stock, restricted stock units, stock appreciation rights, performance shares and cash-based awards can be issued under this plan. Upon approval of the 2016 Plan, the 2012 Stock and Incentive Compensation Plan ("2012 Plan") was frozen with the exception of normal vesting and other activity associated with awards previously granted under the 2012 Plan. However, shares awarded under the 2012 Plan that are subsequently forfeited or net settled for tax withholding purposes are returned to the treasury share pool and become available for grant under the 2016 Plan. The 2012 Plan was preceded by the 2004 Stock Incentive Plan ("2004 Plan"), which was frozen upon approval of the 2012 Plan with the exception of normal vesting, forfeiture and other activity associated with awards previously granted under the 2004 Plan.</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Awards totaling 1,800,000 shares have been authorized under the 2016 Plan. At June 30, 2018 there were 1,145,949 shares available for grant under the 2016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 options are granted at the market value of the Company’s common stock on the grant date and expire after 10 years. The Company’s policy is to issue shares upon the exercise of stock options from its treasury shares, if available. The Company did not award any new stock options in fiscal years 2018, 2017, or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37"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and related information for the fiscal year ended June 30, 2018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1600" w:type="dxa"/>
            <w:vAlign w:val="bottom"/>
          </w:tcPr>
          <w:p>
            <w:pPr>
              <w:jc w:val="right"/>
              <w:ind w:right="332"/>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200" w:type="dxa"/>
            <w:vAlign w:val="bottom"/>
          </w:tcPr>
          <w:p>
            <w:pPr>
              <w:spacing w:after="0"/>
              <w:rPr>
                <w:sz w:val="17"/>
                <w:szCs w:val="17"/>
                <w:color w:val="auto"/>
              </w:rPr>
            </w:pPr>
          </w:p>
        </w:tc>
        <w:tc>
          <w:tcPr>
            <w:tcW w:w="1400" w:type="dxa"/>
            <w:vAlign w:val="bottom"/>
          </w:tcPr>
          <w:p>
            <w:pPr>
              <w:jc w:val="center"/>
              <w:ind w:right="114"/>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600" w:type="dxa"/>
            <w:vAlign w:val="bottom"/>
          </w:tcPr>
          <w:p>
            <w:pPr>
              <w:jc w:val="right"/>
              <w:ind w:right="432"/>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Exercise Price</w:t>
            </w:r>
          </w:p>
        </w:tc>
        <w:tc>
          <w:tcPr>
            <w:tcW w:w="200" w:type="dxa"/>
            <w:vAlign w:val="bottom"/>
          </w:tcPr>
          <w:p>
            <w:pPr>
              <w:spacing w:after="0"/>
              <w:rPr>
                <w:sz w:val="18"/>
                <w:szCs w:val="18"/>
                <w:color w:val="auto"/>
              </w:rPr>
            </w:pPr>
          </w:p>
        </w:tc>
        <w:tc>
          <w:tcPr>
            <w:tcW w:w="1400" w:type="dxa"/>
            <w:vAlign w:val="bottom"/>
          </w:tcPr>
          <w:p>
            <w:pPr>
              <w:jc w:val="center"/>
              <w:ind w:right="94"/>
              <w:spacing w:after="0"/>
              <w:rPr>
                <w:sz w:val="20"/>
                <w:szCs w:val="20"/>
                <w:color w:val="auto"/>
              </w:rPr>
            </w:pPr>
            <w:r>
              <w:rPr>
                <w:rFonts w:ascii="Arial" w:cs="Arial" w:eastAsia="Arial" w:hAnsi="Arial"/>
                <w:sz w:val="16"/>
                <w:szCs w:val="16"/>
                <w:b w:val="1"/>
                <w:bCs w:val="1"/>
                <w:color w:val="auto"/>
                <w:w w:val="93"/>
              </w:rPr>
              <w:t>Intrinsic Value</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2017</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97,250</w:t>
            </w:r>
          </w:p>
        </w:tc>
        <w:tc>
          <w:tcPr>
            <w:tcW w:w="17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380"/>
              <w:spacing w:after="0"/>
              <w:rPr>
                <w:sz w:val="20"/>
                <w:szCs w:val="20"/>
                <w:color w:val="auto"/>
              </w:rPr>
            </w:pPr>
            <w:r>
              <w:rPr>
                <w:rFonts w:ascii="Arial" w:cs="Arial" w:eastAsia="Arial" w:hAnsi="Arial"/>
                <w:sz w:val="18"/>
                <w:szCs w:val="18"/>
                <w:color w:val="auto"/>
              </w:rPr>
              <w:t>Granted</w:t>
            </w:r>
          </w:p>
        </w:tc>
        <w:tc>
          <w:tcPr>
            <w:tcW w:w="16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2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(31,050)</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380"/>
              <w:spacing w:after="0"/>
              <w:rPr>
                <w:sz w:val="20"/>
                <w:szCs w:val="20"/>
                <w:color w:val="auto"/>
              </w:rPr>
            </w:pPr>
            <w:r>
              <w:rPr>
                <w:rFonts w:ascii="Arial" w:cs="Arial" w:eastAsia="Arial" w:hAnsi="Arial"/>
                <w:sz w:val="18"/>
                <w:szCs w:val="18"/>
                <w:color w:val="auto"/>
              </w:rPr>
              <w:t>Canceled</w:t>
            </w:r>
          </w:p>
        </w:tc>
        <w:tc>
          <w:tcPr>
            <w:tcW w:w="16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2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2018</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66,200</w:t>
            </w:r>
          </w:p>
        </w:tc>
        <w:tc>
          <w:tcPr>
            <w:tcW w:w="17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40"/>
              <w:spacing w:after="0"/>
              <w:rPr>
                <w:sz w:val="20"/>
                <w:szCs w:val="20"/>
                <w:color w:val="auto"/>
              </w:rPr>
            </w:pPr>
            <w:r>
              <w:rPr>
                <w:rFonts w:ascii="Arial" w:cs="Arial" w:eastAsia="Arial" w:hAnsi="Arial"/>
                <w:sz w:val="18"/>
                <w:szCs w:val="18"/>
                <w:color w:val="auto"/>
              </w:rPr>
              <w:t>Vested at June 30, 2018</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20" w:type="dxa"/>
            <w:vAlign w:val="bottom"/>
            <w:tcBorders>
              <w:bottom w:val="single" w:sz="8" w:color="CCEEFF"/>
            </w:tcBorders>
            <w:vMerge w:val="continue"/>
          </w:tcPr>
          <w:p>
            <w:pPr>
              <w:spacing w:after="0"/>
              <w:rPr>
                <w:sz w:val="24"/>
                <w:szCs w:val="24"/>
                <w:color w:val="auto"/>
              </w:rPr>
            </w:pPr>
          </w:p>
        </w:tc>
        <w:tc>
          <w:tcPr>
            <w:tcW w:w="1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66,200</w:t>
            </w:r>
          </w:p>
        </w:tc>
        <w:tc>
          <w:tcPr>
            <w:tcW w:w="172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5"/>
              </w:rPr>
              <w:t>3.4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51"/>
        </w:trPr>
        <w:tc>
          <w:tcPr>
            <w:tcW w:w="48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at June 30, 2018</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66,200</w:t>
            </w:r>
          </w:p>
        </w:tc>
        <w:tc>
          <w:tcPr>
            <w:tcW w:w="17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stock options exercised during fiscal 2017 and 2016 was $0.3 million and $0.7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Nonvested Deferred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issued nonvested deferred shares under the following types of arrangements:</w:t>
      </w:r>
    </w:p>
    <w:p>
      <w:pPr>
        <w:spacing w:after="0" w:line="171" w:lineRule="exact"/>
        <w:rPr>
          <w:sz w:val="20"/>
          <w:szCs w:val="20"/>
          <w:color w:val="auto"/>
        </w:rPr>
      </w:pPr>
    </w:p>
    <w:p>
      <w:pPr>
        <w:ind w:left="640" w:right="60" w:hanging="321"/>
        <w:spacing w:after="0" w:line="277"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Time-based awards—Employee awards generally vest in four equal annual installments beginning one year after the grant date. Director awards vest one year after the grant date.</w:t>
      </w:r>
    </w:p>
    <w:p>
      <w:pPr>
        <w:spacing w:after="0" w:line="116" w:lineRule="exact"/>
        <w:rPr>
          <w:rFonts w:ascii="Arial" w:cs="Arial" w:eastAsia="Arial" w:hAnsi="Arial"/>
          <w:sz w:val="18"/>
          <w:szCs w:val="18"/>
          <w:color w:val="auto"/>
        </w:rPr>
      </w:pPr>
    </w:p>
    <w:p>
      <w:pPr>
        <w:ind w:left="640" w:right="40" w:hanging="321"/>
        <w:spacing w:after="0" w:line="291" w:lineRule="auto"/>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Market-based awards—These awards are in the form of performance units which vest 3 years after the grant date only if the Company’s common stock achieves certain levels of total shareholder return when compared to the total shareholder return of a peer group of companies as selected by the Compensation Committee of the Board of Directors. The payout can range from zero to 200% of the original award depending on the Company's relative total shareholder return during the performance period. These awards are settled in stock. As of June 30, 2018, there are approximately 183,000, and 275,000 performance units that are scheduled to vest in fiscal 2020, and fiscal 2021, respectively, assuming target performance. There were approximately 127,000 performance units that were scheduled to vest in fiscal 2019 at target performance, but total shareholder return during the performance period did not meet the threshold performance and the performance units were forfeited.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All awards vest upon the death or disability of the participant or upon a change of control of the Company.</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grant date fair value of the time-based awards is determined by the market value of the Company's common stock on the grant date. The grant date fair value of stock options is determined based on the Black-Scholes option pricing model. The grant date fair value of the market-based awards is calculated using a Monte Carlo model. For the fiscal 2018 grant, the model estimated the fair value of the award based on approximately 100,000 simulations of the future prices of the Company's common stock compared to the future prices of the common stock of its peer companies based on historical volatilities. The model also took into account the expected dividends of the peer companies over the performance period.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3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Nonvested deferred share activity for the fiscal year ended June 30, 2018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Weighted Average Grant</w:t>
            </w:r>
          </w:p>
        </w:tc>
      </w:tr>
      <w:tr>
        <w:trPr>
          <w:trHeight w:val="210"/>
        </w:trPr>
        <w:tc>
          <w:tcPr>
            <w:tcW w:w="7220" w:type="dxa"/>
            <w:vAlign w:val="bottom"/>
          </w:tcPr>
          <w:p>
            <w:pPr>
              <w:spacing w:after="0"/>
              <w:rPr>
                <w:sz w:val="18"/>
                <w:szCs w:val="18"/>
                <w:color w:val="auto"/>
              </w:rPr>
            </w:pPr>
          </w:p>
        </w:tc>
        <w:tc>
          <w:tcPr>
            <w:tcW w:w="2020" w:type="dxa"/>
            <w:vAlign w:val="bottom"/>
          </w:tcPr>
          <w:p>
            <w:pPr>
              <w:jc w:val="right"/>
              <w:ind w:right="691"/>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Date Fair Value per Share</w:t>
            </w:r>
          </w:p>
        </w:tc>
      </w:tr>
      <w:tr>
        <w:trPr>
          <w:trHeight w:val="33"/>
        </w:trPr>
        <w:tc>
          <w:tcPr>
            <w:tcW w:w="72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June 30, 2017</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995,353</w:t>
            </w:r>
          </w:p>
        </w:tc>
        <w:tc>
          <w:tcPr>
            <w:tcW w:w="860" w:type="dxa"/>
            <w:vAlign w:val="bottom"/>
            <w:tcBorders>
              <w:bottom w:val="single" w:sz="8" w:color="CCEEFF"/>
            </w:tcBorders>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21.65</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Shares granted</w:t>
            </w: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715,539</w:t>
            </w:r>
          </w:p>
        </w:tc>
        <w:tc>
          <w:tcPr>
            <w:tcW w:w="86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13.64</w:t>
            </w:r>
          </w:p>
        </w:tc>
      </w:tr>
      <w:tr>
        <w:trPr>
          <w:trHeight w:val="27"/>
        </w:trPr>
        <w:tc>
          <w:tcPr>
            <w:tcW w:w="7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vested and released</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(253,241)</w:t>
            </w:r>
          </w:p>
        </w:tc>
        <w:tc>
          <w:tcPr>
            <w:tcW w:w="860" w:type="dxa"/>
            <w:vAlign w:val="bottom"/>
            <w:tcBorders>
              <w:bottom w:val="single" w:sz="8" w:color="CCEEFF"/>
            </w:tcBorders>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Shares canceled</w:t>
            </w:r>
          </w:p>
        </w:tc>
        <w:tc>
          <w:tcPr>
            <w:tcW w:w="2020" w:type="dxa"/>
            <w:vAlign w:val="bottom"/>
          </w:tcPr>
          <w:p>
            <w:pPr>
              <w:jc w:val="right"/>
              <w:spacing w:after="0"/>
              <w:rPr>
                <w:sz w:val="20"/>
                <w:szCs w:val="20"/>
                <w:color w:val="auto"/>
              </w:rPr>
            </w:pPr>
            <w:r>
              <w:rPr>
                <w:rFonts w:ascii="Arial" w:cs="Arial" w:eastAsia="Arial" w:hAnsi="Arial"/>
                <w:sz w:val="18"/>
                <w:szCs w:val="18"/>
                <w:color w:val="auto"/>
              </w:rPr>
              <w:t>(91,604)</w:t>
            </w:r>
          </w:p>
        </w:tc>
        <w:tc>
          <w:tcPr>
            <w:tcW w:w="86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31.42</w:t>
            </w:r>
          </w:p>
        </w:tc>
      </w:tr>
      <w:tr>
        <w:trPr>
          <w:trHeight w:val="27"/>
        </w:trPr>
        <w:tc>
          <w:tcPr>
            <w:tcW w:w="72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7"/>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June 30, 2018</w:t>
            </w:r>
          </w:p>
        </w:tc>
        <w:tc>
          <w:tcPr>
            <w:tcW w:w="2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1,366,047</w:t>
            </w:r>
          </w:p>
        </w:tc>
        <w:tc>
          <w:tcPr>
            <w:tcW w:w="860" w:type="dxa"/>
            <w:vAlign w:val="bottom"/>
            <w:tcBorders>
              <w:bottom w:val="single" w:sz="8" w:color="CCEEFF"/>
            </w:tcBorders>
            <w:gridSpan w:val="2"/>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17.18</w:t>
            </w:r>
          </w:p>
        </w:tc>
      </w:tr>
      <w:tr>
        <w:trPr>
          <w:trHeight w:val="20"/>
        </w:trPr>
        <w:tc>
          <w:tcPr>
            <w:tcW w:w="72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516,969 and 370,490 deferred shares granted in fiscal 2017 and 2016 with average grant date fair values of $19.80 and $20.77, respectively. There were 396,530 and 631,443 deferred shares that vested and were released in fiscal 2017 and 2016 with weighted average fair values of $18.24 and $22.34 per share,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11—Earnings per Common Share</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Basic earnings per share (“EPS”) is calculated based on the weighted average shares outstanding during the period. Diluted earnings per share includes the dilutive effect of employee and director stock options and nonvested deferred shares. Stock options are considered dilutive whenever the exercise price is less than the average market price of the stock during the period and antidilutive whenever the exercise price exceeds the average market price of the common stock during the period. Nonvested deferred shares are considered dilutive (antidilutive) whenever the average market value of the shares during the period exceeds (is less than) the sum of the related average unamortized compensation expense during the period plus the related hypothetical estimated excess tax benefit that will be realized when the shares vest. Stock options and nonvested deferred shares are considered antidilutive in the event we report a net loss.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EPS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Fiscal Years Ended</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54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3"/>
                <w:szCs w:val="13"/>
                <w:color w:val="auto"/>
              </w:rPr>
            </w:pPr>
          </w:p>
        </w:tc>
        <w:tc>
          <w:tcPr>
            <w:tcW w:w="122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60" w:type="dxa"/>
            <w:vAlign w:val="bottom"/>
            <w:gridSpan w:val="6"/>
          </w:tcPr>
          <w:p>
            <w:pPr>
              <w:jc w:val="center"/>
              <w:ind w:left="835"/>
              <w:spacing w:after="0"/>
              <w:rPr>
                <w:sz w:val="20"/>
                <w:szCs w:val="20"/>
                <w:color w:val="auto"/>
              </w:rPr>
            </w:pPr>
            <w:r>
              <w:rPr>
                <w:rFonts w:ascii="Arial" w:cs="Arial" w:eastAsia="Arial" w:hAnsi="Arial"/>
                <w:sz w:val="14"/>
                <w:szCs w:val="14"/>
                <w:b w:val="1"/>
                <w:bCs w:val="1"/>
                <w:color w:val="auto"/>
                <w:w w:val="91"/>
              </w:rPr>
              <w:t>(In thousands, except per share data)</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4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Net income (loss) attributable to Matrix Service Company</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(11,480)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28,863</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14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shares outstanding</w:t>
            </w:r>
          </w:p>
        </w:tc>
        <w:tc>
          <w:tcPr>
            <w:tcW w:w="1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26,769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26,533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26,597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(loss) per share</w:t>
            </w:r>
          </w:p>
        </w:tc>
        <w:tc>
          <w:tcPr>
            <w:tcW w:w="1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14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Diluted EPS:</w:t>
            </w:r>
          </w:p>
        </w:tc>
        <w:tc>
          <w:tcPr>
            <w:tcW w:w="14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Weighted average shares outstanding—basic</w:t>
            </w: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26,769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26,533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26,597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stock options</w:t>
            </w:r>
          </w:p>
        </w:tc>
        <w:tc>
          <w:tcPr>
            <w:tcW w:w="1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Dilutive nonvested deferred shares</w:t>
            </w: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4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26,769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26,533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27,100</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(loss) per share</w:t>
            </w:r>
          </w:p>
        </w:tc>
        <w:tc>
          <w:tcPr>
            <w:tcW w:w="1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80" w:type="dxa"/>
            <w:vAlign w:val="bottom"/>
            <w:vMerge w:val="restart"/>
          </w:tcPr>
          <w:p>
            <w:pPr>
              <w:jc w:val="right"/>
              <w:ind w:right="510"/>
              <w:spacing w:after="0"/>
              <w:rPr>
                <w:sz w:val="20"/>
                <w:szCs w:val="20"/>
                <w:color w:val="auto"/>
              </w:rPr>
            </w:pPr>
            <w:r>
              <w:rPr>
                <w:rFonts w:ascii="Arial" w:cs="Arial" w:eastAsia="Arial" w:hAnsi="Arial"/>
                <w:sz w:val="18"/>
                <w:szCs w:val="18"/>
                <w:color w:val="auto"/>
              </w:rPr>
              <w:t>70</w:t>
            </w: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92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securities are considered antidilutive and have been excluded from the calculation of diluted earnings (loss)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Fiscal Years Ended</w:t>
            </w:r>
          </w:p>
        </w:tc>
        <w:tc>
          <w:tcPr>
            <w:tcW w:w="1580" w:type="dxa"/>
            <w:vAlign w:val="bottom"/>
            <w:tcBorders>
              <w:bottom w:val="single" w:sz="8" w:color="auto"/>
            </w:tcBorders>
          </w:tcPr>
          <w:p>
            <w:pPr>
              <w:spacing w:after="0"/>
              <w:rPr>
                <w:sz w:val="16"/>
                <w:szCs w:val="16"/>
                <w:color w:val="auto"/>
              </w:rPr>
            </w:pPr>
          </w:p>
        </w:tc>
      </w:tr>
      <w:tr>
        <w:trPr>
          <w:trHeight w:val="152"/>
        </w:trPr>
        <w:tc>
          <w:tcPr>
            <w:tcW w:w="6620" w:type="dxa"/>
            <w:vAlign w:val="bottom"/>
          </w:tcPr>
          <w:p>
            <w:pPr>
              <w:spacing w:after="0"/>
              <w:rPr>
                <w:sz w:val="13"/>
                <w:szCs w:val="13"/>
                <w:color w:val="auto"/>
              </w:rPr>
            </w:pPr>
          </w:p>
        </w:tc>
        <w:tc>
          <w:tcPr>
            <w:tcW w:w="10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June 30,</w:t>
            </w:r>
          </w:p>
        </w:tc>
        <w:tc>
          <w:tcPr>
            <w:tcW w:w="1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June 30,</w:t>
            </w:r>
          </w:p>
        </w:tc>
      </w:tr>
      <w:tr>
        <w:trPr>
          <w:trHeight w:val="192"/>
        </w:trPr>
        <w:tc>
          <w:tcPr>
            <w:tcW w:w="76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580" w:type="dxa"/>
            <w:vAlign w:val="bottom"/>
          </w:tcPr>
          <w:p>
            <w:pPr>
              <w:jc w:val="right"/>
              <w:ind w:right="577"/>
              <w:spacing w:after="0"/>
              <w:rPr>
                <w:sz w:val="20"/>
                <w:szCs w:val="20"/>
                <w:color w:val="auto"/>
              </w:rPr>
            </w:pPr>
            <w:r>
              <w:rPr>
                <w:rFonts w:ascii="Arial" w:cs="Arial" w:eastAsia="Arial" w:hAnsi="Arial"/>
                <w:sz w:val="14"/>
                <w:szCs w:val="14"/>
                <w:b w:val="1"/>
                <w:bCs w:val="1"/>
                <w:color w:val="auto"/>
              </w:rPr>
              <w:t>2016</w:t>
            </w:r>
          </w:p>
        </w:tc>
      </w:tr>
      <w:tr>
        <w:trPr>
          <w:trHeight w:val="250"/>
        </w:trPr>
        <w:tc>
          <w:tcPr>
            <w:tcW w:w="662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(In thousands of shares)</w:t>
            </w:r>
          </w:p>
        </w:tc>
        <w:tc>
          <w:tcPr>
            <w:tcW w:w="1580" w:type="dxa"/>
            <w:vAlign w:val="bottom"/>
            <w:tcBorders>
              <w:top w:val="single" w:sz="8" w:color="auto"/>
            </w:tcBorders>
          </w:tcPr>
          <w:p>
            <w:pPr>
              <w:spacing w:after="0"/>
              <w:rPr>
                <w:sz w:val="21"/>
                <w:szCs w:val="21"/>
                <w:color w:val="auto"/>
              </w:rPr>
            </w:pPr>
          </w:p>
        </w:tc>
      </w:tr>
      <w:tr>
        <w:trPr>
          <w:trHeight w:val="256"/>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Nonvested deferred shares</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424</w:t>
            </w:r>
          </w:p>
        </w:tc>
        <w:tc>
          <w:tcPr>
            <w:tcW w:w="120" w:type="dxa"/>
            <w:vAlign w:val="bottom"/>
          </w:tcPr>
          <w:p>
            <w:pPr>
              <w:spacing w:after="0"/>
              <w:rPr>
                <w:sz w:val="21"/>
                <w:szCs w:val="21"/>
                <w:color w:val="auto"/>
              </w:rPr>
            </w:pPr>
          </w:p>
        </w:tc>
        <w:tc>
          <w:tcPr>
            <w:tcW w:w="1460" w:type="dxa"/>
            <w:vAlign w:val="bottom"/>
          </w:tcPr>
          <w:p>
            <w:pPr>
              <w:jc w:val="right"/>
              <w:ind w:right="20"/>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1580" w:type="dxa"/>
            <w:vAlign w:val="bottom"/>
          </w:tcPr>
          <w:p>
            <w:pPr>
              <w:ind w:left="1280"/>
              <w:spacing w:after="0"/>
              <w:rPr>
                <w:sz w:val="20"/>
                <w:szCs w:val="20"/>
                <w:color w:val="auto"/>
              </w:rPr>
            </w:pPr>
            <w:r>
              <w:rPr>
                <w:rFonts w:ascii="Arial" w:cs="Arial" w:eastAsia="Arial" w:hAnsi="Arial"/>
                <w:sz w:val="18"/>
                <w:szCs w:val="18"/>
                <w:color w:val="auto"/>
              </w:rPr>
              <w:t>56</w:t>
            </w:r>
          </w:p>
        </w:tc>
      </w:tr>
      <w:tr>
        <w:trPr>
          <w:trHeight w:val="27"/>
        </w:trPr>
        <w:tc>
          <w:tcPr>
            <w:tcW w:w="66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antidilutive securities</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455</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56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12—Employee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sponsors defined contribution savings plans for all eligible employees meeting length of service requirements. Under the primary plan, participants may contribute an amount up to 25% of pretax annual compensation subject to certain limitations. The Company matches 100% of the first 3% of employee contributions and 50% of the next 2% of employee contributions. The Company matching contributions vest immediately.</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matching contributions were $5.8 million, $5.5 million, and $5.0 million for the fiscal years ended June 30, 2018, 2017 and 2016,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contributes to various union sponsored multiemployer benefit plans in the U.S. and Canada. Benefits under these plans are generally based on compensation levels and years of service.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For the Company, the financial risks of participating in multiemployer plans are different from single-employer plans in the following respects:</w:t>
      </w:r>
    </w:p>
    <w:p>
      <w:pPr>
        <w:spacing w:after="0" w:line="171" w:lineRule="exact"/>
        <w:rPr>
          <w:sz w:val="20"/>
          <w:szCs w:val="20"/>
          <w:color w:val="auto"/>
        </w:rPr>
      </w:pPr>
    </w:p>
    <w:p>
      <w:pPr>
        <w:ind w:left="640" w:hanging="321"/>
        <w:spacing w:after="0"/>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Assets contributed to the multiemployer plan by one employer may be used to provide benefits to employees of other participating employers.</w:t>
      </w:r>
    </w:p>
    <w:p>
      <w:pPr>
        <w:spacing w:after="0" w:line="182" w:lineRule="exact"/>
        <w:rPr>
          <w:rFonts w:ascii="Arial" w:cs="Arial" w:eastAsia="Arial" w:hAnsi="Arial"/>
          <w:sz w:val="17"/>
          <w:szCs w:val="17"/>
          <w:color w:val="auto"/>
        </w:rPr>
      </w:pPr>
    </w:p>
    <w:p>
      <w:pPr>
        <w:ind w:left="640" w:right="300" w:hanging="321"/>
        <w:spacing w:after="0" w:line="277"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 participating employer discontinues contributions to a plan, the unfunded obligations of the plan may be borne by the remaining participating employers.</w:t>
      </w:r>
    </w:p>
    <w:p>
      <w:pPr>
        <w:spacing w:after="0" w:line="116" w:lineRule="exact"/>
        <w:rPr>
          <w:rFonts w:ascii="Arial" w:cs="Arial" w:eastAsia="Arial" w:hAnsi="Arial"/>
          <w:sz w:val="18"/>
          <w:szCs w:val="18"/>
          <w:color w:val="auto"/>
        </w:rPr>
      </w:pPr>
    </w:p>
    <w:p>
      <w:pPr>
        <w:ind w:left="640" w:right="60" w:hanging="321"/>
        <w:spacing w:after="0" w:line="277"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 participating employer chooses to stop participating in a plan, a withdrawal liability may be created based on the unfunded vested benefits for all employees in the plan.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federal legislation regarding multiemployer pension plans, in the event of a withdrawal from a plan or plan termination, companies are required to continue funding their proportionate share of such plan’s unfunded vested benefits. We are a participant in multiple union sponsored multiemployer plans, and, as a plan participant, our potential obligation could be significant. The amount of the potential obligation is not currently ascertainable because the information required to determine such amount is not identifiable or readily available.</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participation in significant plans for the fiscal year ended June 30, 2018 is outlined in the table below. The “EIN/Pension Plan Number” column provides the Employer Identification Number (“EIN”) and the three digit plan number. The zone status is based on the latest information that the Company received from the plan and is certified by the plan’s actuary. Plans in the red zone are generally less than 65 percent funded, plans in the yellow zone are generally less than 80 percent funded, and plans in the green zone are generally at least 80 percent funded. The “FIP/RP Status Pending/Implemented” column indicates plans for which a financial improvement plan (“FIP”) or a rehabilitation plan (“RP”) is either pending or has been implemented. The “Surcharge Imposed” column includes plans in a red zone status that require a payment of a surcharge in excess of regular contributions. The last column lists the expiration date of the collective-bargaining agreement to which the plan is subject.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37"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left="595"/>
              <w:spacing w:after="0"/>
              <w:rPr>
                <w:sz w:val="20"/>
                <w:szCs w:val="20"/>
                <w:color w:val="auto"/>
              </w:rPr>
            </w:pPr>
            <w:r>
              <w:rPr>
                <w:rFonts w:ascii="Arial" w:cs="Arial" w:eastAsia="Arial" w:hAnsi="Arial"/>
                <w:sz w:val="14"/>
                <w:szCs w:val="14"/>
                <w:b w:val="1"/>
                <w:bCs w:val="1"/>
                <w:color w:val="auto"/>
                <w:w w:val="88"/>
              </w:rPr>
              <w:t>Pension</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FIP/RP</w:t>
            </w:r>
          </w:p>
        </w:tc>
        <w:tc>
          <w:tcPr>
            <w:tcW w:w="180" w:type="dxa"/>
            <w:vAlign w:val="bottom"/>
          </w:tcPr>
          <w:p>
            <w:pPr>
              <w:spacing w:after="0"/>
              <w:rPr>
                <w:sz w:val="14"/>
                <w:szCs w:val="14"/>
                <w:color w:val="auto"/>
              </w:rPr>
            </w:pPr>
          </w:p>
        </w:tc>
        <w:tc>
          <w:tcPr>
            <w:tcW w:w="2400" w:type="dxa"/>
            <w:vAlign w:val="bottom"/>
            <w:gridSpan w:val="7"/>
            <w:vMerge w:val="restart"/>
          </w:tcPr>
          <w:p>
            <w:pPr>
              <w:jc w:val="center"/>
              <w:ind w:right="76"/>
              <w:spacing w:after="0"/>
              <w:rPr>
                <w:sz w:val="20"/>
                <w:szCs w:val="20"/>
                <w:color w:val="auto"/>
              </w:rPr>
            </w:pPr>
            <w:r>
              <w:rPr>
                <w:rFonts w:ascii="Arial" w:cs="Arial" w:eastAsia="Arial" w:hAnsi="Arial"/>
                <w:sz w:val="14"/>
                <w:szCs w:val="14"/>
                <w:b w:val="1"/>
                <w:bCs w:val="1"/>
                <w:color w:val="auto"/>
                <w:w w:val="94"/>
              </w:rPr>
              <w:t>Company Contributions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Protection Act</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4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 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Zone Status</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Status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Fiscal Year</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Collective-</w:t>
            </w:r>
          </w:p>
        </w:tc>
        <w:tc>
          <w:tcPr>
            <w:tcW w:w="0" w:type="dxa"/>
            <w:vAlign w:val="bottom"/>
          </w:tcPr>
          <w:p>
            <w:pPr>
              <w:spacing w:after="0"/>
              <w:rPr>
                <w:sz w:val="1"/>
                <w:szCs w:val="1"/>
                <w:color w:val="auto"/>
              </w:rPr>
            </w:pPr>
          </w:p>
        </w:tc>
      </w:tr>
      <w:tr>
        <w:trPr>
          <w:trHeight w:val="50"/>
        </w:trPr>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EIN/Pension</w:t>
            </w:r>
          </w:p>
        </w:tc>
        <w:tc>
          <w:tcPr>
            <w:tcW w:w="1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3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Pending or</w:t>
            </w: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Surcharge</w:t>
            </w: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Bargaining</w:t>
            </w:r>
          </w:p>
        </w:tc>
        <w:tc>
          <w:tcPr>
            <w:tcW w:w="0" w:type="dxa"/>
            <w:vAlign w:val="bottom"/>
          </w:tcPr>
          <w:p>
            <w:pPr>
              <w:spacing w:after="0"/>
              <w:rPr>
                <w:sz w:val="1"/>
                <w:szCs w:val="1"/>
                <w:color w:val="auto"/>
              </w:rPr>
            </w:pPr>
          </w:p>
        </w:tc>
      </w:tr>
      <w:tr>
        <w:trPr>
          <w:trHeight w:val="79"/>
        </w:trPr>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Pension Fund</w:t>
            </w:r>
          </w:p>
        </w:tc>
        <w:tc>
          <w:tcPr>
            <w:tcW w:w="1380" w:type="dxa"/>
            <w:vAlign w:val="bottom"/>
            <w:gridSpan w:val="2"/>
            <w:vMerge w:val="continue"/>
          </w:tcPr>
          <w:p>
            <w:pPr>
              <w:spacing w:after="0"/>
              <w:rPr>
                <w:sz w:val="6"/>
                <w:szCs w:val="6"/>
                <w:color w:val="auto"/>
              </w:rPr>
            </w:pPr>
          </w:p>
        </w:tc>
        <w:tc>
          <w:tcPr>
            <w:tcW w:w="118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66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vMerge w:val="continue"/>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740" w:type="dxa"/>
            <w:vAlign w:val="bottom"/>
            <w:gridSpan w:val="2"/>
            <w:vMerge w:val="continue"/>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Plan Number</w:t>
            </w:r>
          </w:p>
        </w:tc>
        <w:tc>
          <w:tcPr>
            <w:tcW w:w="11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Implemented</w:t>
            </w: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Imposed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Agreement</w:t>
            </w:r>
          </w:p>
        </w:tc>
        <w:tc>
          <w:tcPr>
            <w:tcW w:w="0" w:type="dxa"/>
            <w:vAlign w:val="bottom"/>
          </w:tcPr>
          <w:p>
            <w:pPr>
              <w:spacing w:after="0"/>
              <w:rPr>
                <w:sz w:val="1"/>
                <w:szCs w:val="1"/>
                <w:color w:val="auto"/>
              </w:rPr>
            </w:pPr>
          </w:p>
        </w:tc>
      </w:tr>
      <w:tr>
        <w:trPr>
          <w:trHeight w:val="250"/>
        </w:trPr>
        <w:tc>
          <w:tcPr>
            <w:tcW w:w="1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Boilermaker-Blacksmith</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48-6168020/001</w:t>
            </w:r>
          </w:p>
        </w:tc>
        <w:tc>
          <w:tcPr>
            <w:tcW w:w="1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center"/>
              <w:ind w:right="75"/>
              <w:spacing w:after="0"/>
              <w:rPr>
                <w:sz w:val="20"/>
                <w:szCs w:val="20"/>
                <w:color w:val="auto"/>
              </w:rPr>
            </w:pPr>
            <w:r>
              <w:rPr>
                <w:rFonts w:ascii="Arial" w:cs="Arial" w:eastAsia="Arial" w:hAnsi="Arial"/>
                <w:sz w:val="13"/>
                <w:szCs w:val="13"/>
                <w:color w:val="auto"/>
                <w:w w:val="93"/>
              </w:rPr>
              <w:t>Yellow</w:t>
            </w:r>
          </w:p>
        </w:tc>
        <w:tc>
          <w:tcPr>
            <w:tcW w:w="660" w:type="dxa"/>
            <w:vAlign w:val="bottom"/>
            <w:shd w:val="clear" w:color="auto" w:fill="CCEEFF"/>
          </w:tcPr>
          <w:p>
            <w:pPr>
              <w:jc w:val="center"/>
              <w:ind w:right="76"/>
              <w:spacing w:after="0"/>
              <w:rPr>
                <w:sz w:val="20"/>
                <w:szCs w:val="20"/>
                <w:color w:val="auto"/>
              </w:rPr>
            </w:pPr>
            <w:r>
              <w:rPr>
                <w:rFonts w:ascii="Arial" w:cs="Arial" w:eastAsia="Arial" w:hAnsi="Arial"/>
                <w:sz w:val="13"/>
                <w:szCs w:val="13"/>
                <w:color w:val="auto"/>
                <w:w w:val="88"/>
              </w:rPr>
              <w:t>Described</w:t>
            </w:r>
          </w:p>
        </w:tc>
        <w:tc>
          <w:tcPr>
            <w:tcW w:w="12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80"/>
              </w:rPr>
              <w:t>Yes</w:t>
            </w:r>
          </w:p>
        </w:tc>
        <w:tc>
          <w:tcPr>
            <w:tcW w:w="1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8,525</w:t>
            </w:r>
          </w:p>
        </w:tc>
        <w:tc>
          <w:tcPr>
            <w:tcW w:w="2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7,098</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7,658</w:t>
            </w: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96"/>
              </w:rPr>
              <w:t>No</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8"/>
              </w:rPr>
              <w:t>Described below (1)</w:t>
            </w:r>
          </w:p>
        </w:tc>
        <w:tc>
          <w:tcPr>
            <w:tcW w:w="0" w:type="dxa"/>
            <w:vAlign w:val="bottom"/>
          </w:tcPr>
          <w:p>
            <w:pPr>
              <w:spacing w:after="0"/>
              <w:rPr>
                <w:sz w:val="1"/>
                <w:szCs w:val="1"/>
                <w:color w:val="auto"/>
              </w:rPr>
            </w:pPr>
          </w:p>
        </w:tc>
      </w:tr>
      <w:tr>
        <w:trPr>
          <w:trHeight w:val="93"/>
        </w:trPr>
        <w:tc>
          <w:tcPr>
            <w:tcW w:w="17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National Pension Trust</w:t>
            </w:r>
          </w:p>
        </w:tc>
        <w:tc>
          <w:tcPr>
            <w:tcW w:w="12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660" w:type="dxa"/>
            <w:vAlign w:val="bottom"/>
            <w:vMerge w:val="restart"/>
            <w:shd w:val="clear" w:color="auto" w:fill="CCEEFF"/>
          </w:tcPr>
          <w:p>
            <w:pPr>
              <w:jc w:val="center"/>
              <w:ind w:right="76"/>
              <w:spacing w:after="0"/>
              <w:rPr>
                <w:sz w:val="20"/>
                <w:szCs w:val="20"/>
                <w:color w:val="auto"/>
              </w:rPr>
            </w:pPr>
            <w:r>
              <w:rPr>
                <w:rFonts w:ascii="Arial" w:cs="Arial" w:eastAsia="Arial" w:hAnsi="Arial"/>
                <w:sz w:val="13"/>
                <w:szCs w:val="13"/>
                <w:color w:val="auto"/>
                <w:w w:val="89"/>
              </w:rPr>
              <w:t>below (2)</w:t>
            </w:r>
          </w:p>
        </w:tc>
        <w:tc>
          <w:tcPr>
            <w:tcW w:w="120" w:type="dxa"/>
            <w:vAlign w:val="bottom"/>
            <w:shd w:val="clear" w:color="auto" w:fill="CCEEFF"/>
          </w:tcPr>
          <w:p>
            <w:pPr>
              <w:spacing w:after="0"/>
              <w:rPr>
                <w:sz w:val="8"/>
                <w:szCs w:val="8"/>
                <w:color w:val="auto"/>
              </w:rPr>
            </w:pPr>
          </w:p>
        </w:tc>
        <w:tc>
          <w:tcPr>
            <w:tcW w:w="1380" w:type="dxa"/>
            <w:vAlign w:val="bottom"/>
            <w:gridSpan w:val="2"/>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280" w:type="dxa"/>
            <w:vAlign w:val="bottom"/>
            <w:gridSpan w:val="2"/>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740" w:type="dxa"/>
            <w:vAlign w:val="bottom"/>
            <w:gridSpan w:val="2"/>
            <w:vMerge w:val="continue"/>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740" w:type="dxa"/>
            <w:vAlign w:val="bottom"/>
            <w:gridSpan w:val="2"/>
          </w:tcPr>
          <w:p>
            <w:pPr>
              <w:jc w:val="center"/>
              <w:ind w:right="120"/>
              <w:spacing w:after="0" w:line="148" w:lineRule="exact"/>
              <w:rPr>
                <w:sz w:val="20"/>
                <w:szCs w:val="20"/>
                <w:color w:val="auto"/>
              </w:rPr>
            </w:pPr>
            <w:r>
              <w:rPr>
                <w:rFonts w:ascii="Arial" w:cs="Arial" w:eastAsia="Arial" w:hAnsi="Arial"/>
                <w:sz w:val="13"/>
                <w:szCs w:val="13"/>
                <w:color w:val="auto"/>
                <w:w w:val="89"/>
              </w:rPr>
              <w:t>Joint Pension Fund Local</w:t>
            </w:r>
          </w:p>
        </w:tc>
        <w:tc>
          <w:tcPr>
            <w:tcW w:w="1260" w:type="dxa"/>
            <w:vAlign w:val="bottom"/>
            <w:vMerge w:val="restart"/>
          </w:tcPr>
          <w:p>
            <w:pPr>
              <w:jc w:val="right"/>
              <w:spacing w:after="0"/>
              <w:rPr>
                <w:sz w:val="20"/>
                <w:szCs w:val="20"/>
                <w:color w:val="auto"/>
              </w:rPr>
            </w:pPr>
            <w:r>
              <w:rPr>
                <w:rFonts w:ascii="Arial" w:cs="Arial" w:eastAsia="Arial" w:hAnsi="Arial"/>
                <w:sz w:val="13"/>
                <w:szCs w:val="13"/>
                <w:color w:val="auto"/>
              </w:rPr>
              <w:t>22-6031199/001</w:t>
            </w:r>
          </w:p>
        </w:tc>
        <w:tc>
          <w:tcPr>
            <w:tcW w:w="120" w:type="dxa"/>
            <w:vAlign w:val="bottom"/>
          </w:tcPr>
          <w:p>
            <w:pPr>
              <w:spacing w:after="0"/>
              <w:rPr>
                <w:sz w:val="12"/>
                <w:szCs w:val="12"/>
                <w:color w:val="auto"/>
              </w:rPr>
            </w:pPr>
          </w:p>
        </w:tc>
        <w:tc>
          <w:tcPr>
            <w:tcW w:w="1180" w:type="dxa"/>
            <w:vAlign w:val="bottom"/>
            <w:vMerge w:val="restart"/>
          </w:tcPr>
          <w:p>
            <w:pPr>
              <w:jc w:val="center"/>
              <w:ind w:right="75"/>
              <w:spacing w:after="0"/>
              <w:rPr>
                <w:sz w:val="20"/>
                <w:szCs w:val="20"/>
                <w:color w:val="auto"/>
              </w:rPr>
            </w:pPr>
            <w:r>
              <w:rPr>
                <w:rFonts w:ascii="Arial" w:cs="Arial" w:eastAsia="Arial" w:hAnsi="Arial"/>
                <w:sz w:val="13"/>
                <w:szCs w:val="13"/>
                <w:color w:val="auto"/>
                <w:w w:val="93"/>
              </w:rPr>
              <w:t>Yellow</w:t>
            </w:r>
          </w:p>
        </w:tc>
        <w:tc>
          <w:tcPr>
            <w:tcW w:w="660" w:type="dxa"/>
            <w:vAlign w:val="bottom"/>
          </w:tcPr>
          <w:p>
            <w:pPr>
              <w:jc w:val="center"/>
              <w:ind w:right="76"/>
              <w:spacing w:after="0" w:line="148" w:lineRule="exact"/>
              <w:rPr>
                <w:sz w:val="20"/>
                <w:szCs w:val="20"/>
                <w:color w:val="auto"/>
              </w:rPr>
            </w:pPr>
            <w:r>
              <w:rPr>
                <w:rFonts w:ascii="Arial" w:cs="Arial" w:eastAsia="Arial" w:hAnsi="Arial"/>
                <w:sz w:val="13"/>
                <w:szCs w:val="13"/>
                <w:color w:val="auto"/>
                <w:w w:val="88"/>
              </w:rPr>
              <w:t>Described</w:t>
            </w:r>
          </w:p>
        </w:tc>
        <w:tc>
          <w:tcPr>
            <w:tcW w:w="12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0"/>
              </w:rPr>
              <w:t>Yes</w:t>
            </w:r>
          </w:p>
        </w:tc>
        <w:tc>
          <w:tcPr>
            <w:tcW w:w="180" w:type="dxa"/>
            <w:vAlign w:val="bottom"/>
          </w:tcPr>
          <w:p>
            <w:pPr>
              <w:spacing w:after="0"/>
              <w:rPr>
                <w:sz w:val="12"/>
                <w:szCs w:val="12"/>
                <w:color w:val="auto"/>
              </w:rPr>
            </w:pPr>
          </w:p>
        </w:tc>
        <w:tc>
          <w:tcPr>
            <w:tcW w:w="620" w:type="dxa"/>
            <w:vAlign w:val="bottom"/>
            <w:vMerge w:val="restart"/>
          </w:tcPr>
          <w:p>
            <w:pPr>
              <w:jc w:val="right"/>
              <w:ind w:right="36"/>
              <w:spacing w:after="0"/>
              <w:rPr>
                <w:sz w:val="20"/>
                <w:szCs w:val="20"/>
                <w:color w:val="auto"/>
              </w:rPr>
            </w:pPr>
            <w:r>
              <w:rPr>
                <w:rFonts w:ascii="Arial" w:cs="Arial" w:eastAsia="Arial" w:hAnsi="Arial"/>
                <w:sz w:val="13"/>
                <w:szCs w:val="13"/>
                <w:color w:val="auto"/>
              </w:rPr>
              <w:t>2,391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56"/>
              <w:spacing w:after="0"/>
              <w:rPr>
                <w:sz w:val="20"/>
                <w:szCs w:val="20"/>
                <w:color w:val="auto"/>
              </w:rPr>
            </w:pPr>
            <w:r>
              <w:rPr>
                <w:rFonts w:ascii="Arial" w:cs="Arial" w:eastAsia="Arial" w:hAnsi="Arial"/>
                <w:sz w:val="13"/>
                <w:szCs w:val="13"/>
                <w:color w:val="auto"/>
              </w:rPr>
              <w:t>2,709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36"/>
              <w:spacing w:after="0"/>
              <w:rPr>
                <w:sz w:val="20"/>
                <w:szCs w:val="20"/>
                <w:color w:val="auto"/>
              </w:rPr>
            </w:pPr>
            <w:r>
              <w:rPr>
                <w:rFonts w:ascii="Arial" w:cs="Arial" w:eastAsia="Arial" w:hAnsi="Arial"/>
                <w:sz w:val="13"/>
                <w:szCs w:val="13"/>
                <w:color w:val="auto"/>
              </w:rPr>
              <w:t>2,635</w:t>
            </w:r>
          </w:p>
        </w:tc>
        <w:tc>
          <w:tcPr>
            <w:tcW w:w="120" w:type="dxa"/>
            <w:vAlign w:val="bottom"/>
          </w:tcPr>
          <w:p>
            <w:pPr>
              <w:spacing w:after="0"/>
              <w:rPr>
                <w:sz w:val="12"/>
                <w:szCs w:val="12"/>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6"/>
              </w:rPr>
              <w:t>No</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86"/>
              </w:rPr>
              <w:t>5/31/2021</w:t>
            </w:r>
          </w:p>
        </w:tc>
        <w:tc>
          <w:tcPr>
            <w:tcW w:w="0" w:type="dxa"/>
            <w:vAlign w:val="bottom"/>
          </w:tcPr>
          <w:p>
            <w:pPr>
              <w:spacing w:after="0"/>
              <w:rPr>
                <w:sz w:val="1"/>
                <w:szCs w:val="1"/>
                <w:color w:val="auto"/>
              </w:rPr>
            </w:pPr>
          </w:p>
        </w:tc>
      </w:tr>
      <w:tr>
        <w:trPr>
          <w:trHeight w:val="93"/>
        </w:trPr>
        <w:tc>
          <w:tcPr>
            <w:tcW w:w="174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91"/>
              </w:rPr>
              <w:t>Union 164 IBEW</w:t>
            </w:r>
          </w:p>
        </w:tc>
        <w:tc>
          <w:tcPr>
            <w:tcW w:w="12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660" w:type="dxa"/>
            <w:vAlign w:val="bottom"/>
            <w:vMerge w:val="restart"/>
          </w:tcPr>
          <w:p>
            <w:pPr>
              <w:jc w:val="center"/>
              <w:ind w:right="76"/>
              <w:spacing w:after="0"/>
              <w:rPr>
                <w:sz w:val="20"/>
                <w:szCs w:val="20"/>
                <w:color w:val="auto"/>
              </w:rPr>
            </w:pPr>
            <w:r>
              <w:rPr>
                <w:rFonts w:ascii="Arial" w:cs="Arial" w:eastAsia="Arial" w:hAnsi="Arial"/>
                <w:sz w:val="13"/>
                <w:szCs w:val="13"/>
                <w:color w:val="auto"/>
                <w:w w:val="89"/>
              </w:rPr>
              <w:t>below (2)</w:t>
            </w:r>
          </w:p>
        </w:tc>
        <w:tc>
          <w:tcPr>
            <w:tcW w:w="12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74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Joint Pension Fund of Local</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22-1615726/001</w:t>
            </w:r>
          </w:p>
        </w:tc>
        <w:tc>
          <w:tcPr>
            <w:tcW w:w="1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center"/>
              <w:ind w:right="95"/>
              <w:spacing w:after="0"/>
              <w:rPr>
                <w:sz w:val="20"/>
                <w:szCs w:val="20"/>
                <w:color w:val="auto"/>
              </w:rPr>
            </w:pPr>
            <w:r>
              <w:rPr>
                <w:rFonts w:ascii="Arial" w:cs="Arial" w:eastAsia="Arial" w:hAnsi="Arial"/>
                <w:sz w:val="13"/>
                <w:szCs w:val="13"/>
                <w:color w:val="auto"/>
                <w:w w:val="82"/>
              </w:rPr>
              <w:t>Green</w:t>
            </w:r>
          </w:p>
        </w:tc>
        <w:tc>
          <w:tcPr>
            <w:tcW w:w="660" w:type="dxa"/>
            <w:vAlign w:val="bottom"/>
            <w:vMerge w:val="restart"/>
            <w:shd w:val="clear" w:color="auto" w:fill="CCEEFF"/>
          </w:tcPr>
          <w:p>
            <w:pPr>
              <w:jc w:val="center"/>
              <w:ind w:right="76"/>
              <w:spacing w:after="0"/>
              <w:rPr>
                <w:sz w:val="20"/>
                <w:szCs w:val="20"/>
                <w:color w:val="auto"/>
              </w:rPr>
            </w:pPr>
            <w:r>
              <w:rPr>
                <w:rFonts w:ascii="Arial" w:cs="Arial" w:eastAsia="Arial" w:hAnsi="Arial"/>
                <w:sz w:val="13"/>
                <w:szCs w:val="13"/>
                <w:color w:val="auto"/>
                <w:w w:val="88"/>
              </w:rPr>
              <w:t>Green</w:t>
            </w:r>
          </w:p>
        </w:tc>
        <w:tc>
          <w:tcPr>
            <w:tcW w:w="12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rPr>
              <w:t>N/A</w:t>
            </w: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2,489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2,392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3,063</w:t>
            </w: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96"/>
              </w:rPr>
              <w:t>No</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5/31/2019</w:t>
            </w:r>
          </w:p>
        </w:tc>
        <w:tc>
          <w:tcPr>
            <w:tcW w:w="0" w:type="dxa"/>
            <w:vAlign w:val="bottom"/>
          </w:tcPr>
          <w:p>
            <w:pPr>
              <w:spacing w:after="0"/>
              <w:rPr>
                <w:sz w:val="1"/>
                <w:szCs w:val="1"/>
                <w:color w:val="auto"/>
              </w:rPr>
            </w:pPr>
          </w:p>
        </w:tc>
      </w:tr>
      <w:tr>
        <w:trPr>
          <w:trHeight w:val="93"/>
        </w:trPr>
        <w:tc>
          <w:tcPr>
            <w:tcW w:w="17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0"/>
              </w:rPr>
              <w:t>Union No 102</w:t>
            </w:r>
          </w:p>
        </w:tc>
        <w:tc>
          <w:tcPr>
            <w:tcW w:w="12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740" w:type="dxa"/>
            <w:vAlign w:val="bottom"/>
            <w:gridSpan w:val="2"/>
            <w:vMerge w:val="continue"/>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174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IBEW Local 456 Pension Plan</w:t>
            </w:r>
          </w:p>
        </w:tc>
        <w:tc>
          <w:tcPr>
            <w:tcW w:w="1260" w:type="dxa"/>
            <w:vAlign w:val="bottom"/>
          </w:tcPr>
          <w:p>
            <w:pPr>
              <w:jc w:val="right"/>
              <w:spacing w:after="0"/>
              <w:rPr>
                <w:sz w:val="20"/>
                <w:szCs w:val="20"/>
                <w:color w:val="auto"/>
              </w:rPr>
            </w:pPr>
            <w:r>
              <w:rPr>
                <w:rFonts w:ascii="Arial" w:cs="Arial" w:eastAsia="Arial" w:hAnsi="Arial"/>
                <w:sz w:val="13"/>
                <w:szCs w:val="13"/>
                <w:color w:val="auto"/>
              </w:rPr>
              <w:t>22-6238995/001</w:t>
            </w:r>
          </w:p>
        </w:tc>
        <w:tc>
          <w:tcPr>
            <w:tcW w:w="120" w:type="dxa"/>
            <w:vAlign w:val="bottom"/>
          </w:tcPr>
          <w:p>
            <w:pPr>
              <w:spacing w:after="0"/>
              <w:rPr>
                <w:sz w:val="18"/>
                <w:szCs w:val="18"/>
                <w:color w:val="auto"/>
              </w:rPr>
            </w:pPr>
          </w:p>
        </w:tc>
        <w:tc>
          <w:tcPr>
            <w:tcW w:w="1180" w:type="dxa"/>
            <w:vAlign w:val="bottom"/>
          </w:tcPr>
          <w:p>
            <w:pPr>
              <w:jc w:val="center"/>
              <w:ind w:right="95"/>
              <w:spacing w:after="0"/>
              <w:rPr>
                <w:sz w:val="20"/>
                <w:szCs w:val="20"/>
                <w:color w:val="auto"/>
              </w:rPr>
            </w:pPr>
            <w:r>
              <w:rPr>
                <w:rFonts w:ascii="Arial" w:cs="Arial" w:eastAsia="Arial" w:hAnsi="Arial"/>
                <w:sz w:val="13"/>
                <w:szCs w:val="13"/>
                <w:color w:val="auto"/>
                <w:w w:val="82"/>
              </w:rPr>
              <w:t>Green</w:t>
            </w:r>
          </w:p>
        </w:tc>
        <w:tc>
          <w:tcPr>
            <w:tcW w:w="660" w:type="dxa"/>
            <w:vAlign w:val="bottom"/>
          </w:tcPr>
          <w:p>
            <w:pPr>
              <w:jc w:val="center"/>
              <w:ind w:right="76"/>
              <w:spacing w:after="0"/>
              <w:rPr>
                <w:sz w:val="20"/>
                <w:szCs w:val="20"/>
                <w:color w:val="auto"/>
              </w:rPr>
            </w:pPr>
            <w:r>
              <w:rPr>
                <w:rFonts w:ascii="Arial" w:cs="Arial" w:eastAsia="Arial" w:hAnsi="Arial"/>
                <w:sz w:val="13"/>
                <w:szCs w:val="13"/>
                <w:color w:val="auto"/>
                <w:w w:val="88"/>
              </w:rPr>
              <w:t>Green</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color w:val="auto"/>
              </w:rPr>
              <w:t>N/A</w:t>
            </w:r>
          </w:p>
        </w:tc>
        <w:tc>
          <w:tcPr>
            <w:tcW w:w="180" w:type="dxa"/>
            <w:vAlign w:val="bottom"/>
          </w:tcPr>
          <w:p>
            <w:pPr>
              <w:spacing w:after="0"/>
              <w:rPr>
                <w:sz w:val="18"/>
                <w:szCs w:val="18"/>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6,005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color w:val="auto"/>
              </w:rPr>
              <w:t>2,777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1,168</w:t>
            </w: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No</w:t>
            </w:r>
          </w:p>
        </w:tc>
        <w:tc>
          <w:tcPr>
            <w:tcW w:w="1140" w:type="dxa"/>
            <w:vAlign w:val="bottom"/>
          </w:tcPr>
          <w:p>
            <w:pPr>
              <w:jc w:val="center"/>
              <w:spacing w:after="0"/>
              <w:rPr>
                <w:sz w:val="20"/>
                <w:szCs w:val="20"/>
                <w:color w:val="auto"/>
              </w:rPr>
            </w:pPr>
            <w:r>
              <w:rPr>
                <w:rFonts w:ascii="Arial" w:cs="Arial" w:eastAsia="Arial" w:hAnsi="Arial"/>
                <w:sz w:val="13"/>
                <w:szCs w:val="13"/>
                <w:color w:val="auto"/>
                <w:w w:val="86"/>
              </w:rPr>
              <w:t>5/31/2021</w:t>
            </w:r>
          </w:p>
        </w:tc>
        <w:tc>
          <w:tcPr>
            <w:tcW w:w="0" w:type="dxa"/>
            <w:vAlign w:val="bottom"/>
          </w:tcPr>
          <w:p>
            <w:pPr>
              <w:spacing w:after="0"/>
              <w:rPr>
                <w:sz w:val="1"/>
                <w:szCs w:val="1"/>
                <w:color w:val="auto"/>
              </w:rPr>
            </w:pPr>
          </w:p>
        </w:tc>
      </w:tr>
      <w:tr>
        <w:trPr>
          <w:trHeight w:val="57"/>
        </w:trPr>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740" w:type="dxa"/>
            <w:vAlign w:val="bottom"/>
            <w:gridSpan w:val="2"/>
            <w:shd w:val="clear" w:color="auto" w:fill="CCEEFF"/>
          </w:tcPr>
          <w:p>
            <w:pPr>
              <w:jc w:val="center"/>
              <w:ind w:right="120"/>
              <w:spacing w:after="0" w:line="148" w:lineRule="exact"/>
              <w:rPr>
                <w:sz w:val="20"/>
                <w:szCs w:val="20"/>
                <w:color w:val="auto"/>
              </w:rPr>
            </w:pPr>
            <w:r>
              <w:rPr>
                <w:rFonts w:ascii="Arial" w:cs="Arial" w:eastAsia="Arial" w:hAnsi="Arial"/>
                <w:sz w:val="13"/>
                <w:szCs w:val="13"/>
                <w:color w:val="auto"/>
                <w:w w:val="90"/>
              </w:rPr>
              <w:t>Local 351 IBEW Pension</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22-3417366/001</w:t>
            </w:r>
          </w:p>
        </w:tc>
        <w:tc>
          <w:tcPr>
            <w:tcW w:w="12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center"/>
              <w:ind w:right="95"/>
              <w:spacing w:after="0"/>
              <w:rPr>
                <w:sz w:val="20"/>
                <w:szCs w:val="20"/>
                <w:color w:val="auto"/>
              </w:rPr>
            </w:pPr>
            <w:r>
              <w:rPr>
                <w:rFonts w:ascii="Arial" w:cs="Arial" w:eastAsia="Arial" w:hAnsi="Arial"/>
                <w:sz w:val="13"/>
                <w:szCs w:val="13"/>
                <w:color w:val="auto"/>
                <w:w w:val="82"/>
              </w:rPr>
              <w:t>Green</w:t>
            </w:r>
          </w:p>
        </w:tc>
        <w:tc>
          <w:tcPr>
            <w:tcW w:w="660" w:type="dxa"/>
            <w:vAlign w:val="bottom"/>
            <w:vMerge w:val="restart"/>
            <w:shd w:val="clear" w:color="auto" w:fill="CCEEFF"/>
          </w:tcPr>
          <w:p>
            <w:pPr>
              <w:jc w:val="center"/>
              <w:ind w:right="76"/>
              <w:spacing w:after="0"/>
              <w:rPr>
                <w:sz w:val="20"/>
                <w:szCs w:val="20"/>
                <w:color w:val="auto"/>
              </w:rPr>
            </w:pPr>
            <w:r>
              <w:rPr>
                <w:rFonts w:ascii="Arial" w:cs="Arial" w:eastAsia="Arial" w:hAnsi="Arial"/>
                <w:sz w:val="13"/>
                <w:szCs w:val="13"/>
                <w:color w:val="auto"/>
                <w:w w:val="88"/>
              </w:rPr>
              <w:t>Green</w:t>
            </w:r>
          </w:p>
        </w:tc>
        <w:tc>
          <w:tcPr>
            <w:tcW w:w="12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rPr>
              <w:t>N/A</w:t>
            </w: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1,187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2,796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5,018</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96"/>
              </w:rPr>
              <w:t>No</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12/4/2021</w:t>
            </w:r>
          </w:p>
        </w:tc>
        <w:tc>
          <w:tcPr>
            <w:tcW w:w="0" w:type="dxa"/>
            <w:vAlign w:val="bottom"/>
          </w:tcPr>
          <w:p>
            <w:pPr>
              <w:spacing w:after="0"/>
              <w:rPr>
                <w:sz w:val="1"/>
                <w:szCs w:val="1"/>
                <w:color w:val="auto"/>
              </w:rPr>
            </w:pPr>
          </w:p>
        </w:tc>
      </w:tr>
      <w:tr>
        <w:trPr>
          <w:trHeight w:val="93"/>
        </w:trPr>
        <w:tc>
          <w:tcPr>
            <w:tcW w:w="174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3"/>
                <w:szCs w:val="13"/>
                <w:color w:val="auto"/>
                <w:w w:val="92"/>
              </w:rPr>
              <w:t>Plan</w:t>
            </w:r>
          </w:p>
        </w:tc>
        <w:tc>
          <w:tcPr>
            <w:tcW w:w="12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740" w:type="dxa"/>
            <w:vAlign w:val="bottom"/>
            <w:gridSpan w:val="2"/>
            <w:vMerge w:val="continue"/>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740" w:type="dxa"/>
            <w:vAlign w:val="bottom"/>
            <w:gridSpan w:val="2"/>
          </w:tcPr>
          <w:p>
            <w:pPr>
              <w:jc w:val="center"/>
              <w:ind w:right="120"/>
              <w:spacing w:after="0" w:line="148" w:lineRule="exact"/>
              <w:rPr>
                <w:sz w:val="20"/>
                <w:szCs w:val="20"/>
                <w:color w:val="auto"/>
              </w:rPr>
            </w:pPr>
            <w:r>
              <w:rPr>
                <w:rFonts w:ascii="Arial" w:cs="Arial" w:eastAsia="Arial" w:hAnsi="Arial"/>
                <w:sz w:val="13"/>
                <w:szCs w:val="13"/>
                <w:color w:val="auto"/>
                <w:w w:val="90"/>
              </w:rPr>
              <w:t>Steamfitters Local Union No</w:t>
            </w:r>
          </w:p>
        </w:tc>
        <w:tc>
          <w:tcPr>
            <w:tcW w:w="1260" w:type="dxa"/>
            <w:vAlign w:val="bottom"/>
            <w:vMerge w:val="restart"/>
          </w:tcPr>
          <w:p>
            <w:pPr>
              <w:jc w:val="right"/>
              <w:spacing w:after="0"/>
              <w:rPr>
                <w:sz w:val="20"/>
                <w:szCs w:val="20"/>
                <w:color w:val="auto"/>
              </w:rPr>
            </w:pPr>
            <w:r>
              <w:rPr>
                <w:rFonts w:ascii="Arial" w:cs="Arial" w:eastAsia="Arial" w:hAnsi="Arial"/>
                <w:sz w:val="13"/>
                <w:szCs w:val="13"/>
                <w:color w:val="auto"/>
              </w:rPr>
              <w:t>23-2004424/001</w:t>
            </w:r>
          </w:p>
        </w:tc>
        <w:tc>
          <w:tcPr>
            <w:tcW w:w="120" w:type="dxa"/>
            <w:vAlign w:val="bottom"/>
          </w:tcPr>
          <w:p>
            <w:pPr>
              <w:spacing w:after="0"/>
              <w:rPr>
                <w:sz w:val="12"/>
                <w:szCs w:val="12"/>
                <w:color w:val="auto"/>
              </w:rPr>
            </w:pPr>
          </w:p>
        </w:tc>
        <w:tc>
          <w:tcPr>
            <w:tcW w:w="1180" w:type="dxa"/>
            <w:vAlign w:val="bottom"/>
            <w:vMerge w:val="restart"/>
          </w:tcPr>
          <w:p>
            <w:pPr>
              <w:jc w:val="center"/>
              <w:ind w:right="75"/>
              <w:spacing w:after="0"/>
              <w:rPr>
                <w:sz w:val="20"/>
                <w:szCs w:val="20"/>
                <w:color w:val="auto"/>
              </w:rPr>
            </w:pPr>
            <w:r>
              <w:rPr>
                <w:rFonts w:ascii="Arial" w:cs="Arial" w:eastAsia="Arial" w:hAnsi="Arial"/>
                <w:sz w:val="13"/>
                <w:szCs w:val="13"/>
                <w:color w:val="auto"/>
                <w:w w:val="83"/>
              </w:rPr>
              <w:t>Red</w:t>
            </w:r>
          </w:p>
        </w:tc>
        <w:tc>
          <w:tcPr>
            <w:tcW w:w="660" w:type="dxa"/>
            <w:vAlign w:val="bottom"/>
            <w:vMerge w:val="restart"/>
          </w:tcPr>
          <w:p>
            <w:pPr>
              <w:jc w:val="center"/>
              <w:ind w:right="76"/>
              <w:spacing w:after="0"/>
              <w:rPr>
                <w:sz w:val="20"/>
                <w:szCs w:val="20"/>
                <w:color w:val="auto"/>
              </w:rPr>
            </w:pPr>
            <w:r>
              <w:rPr>
                <w:rFonts w:ascii="Arial" w:cs="Arial" w:eastAsia="Arial" w:hAnsi="Arial"/>
                <w:sz w:val="13"/>
                <w:szCs w:val="13"/>
                <w:color w:val="auto"/>
                <w:w w:val="83"/>
              </w:rPr>
              <w:t>Red</w:t>
            </w:r>
          </w:p>
        </w:tc>
        <w:tc>
          <w:tcPr>
            <w:tcW w:w="12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0"/>
              </w:rPr>
              <w:t>Yes</w:t>
            </w:r>
          </w:p>
        </w:tc>
        <w:tc>
          <w:tcPr>
            <w:tcW w:w="180" w:type="dxa"/>
            <w:vAlign w:val="bottom"/>
          </w:tcPr>
          <w:p>
            <w:pPr>
              <w:spacing w:after="0"/>
              <w:rPr>
                <w:sz w:val="12"/>
                <w:szCs w:val="12"/>
                <w:color w:val="auto"/>
              </w:rPr>
            </w:pPr>
          </w:p>
        </w:tc>
        <w:tc>
          <w:tcPr>
            <w:tcW w:w="620" w:type="dxa"/>
            <w:vAlign w:val="bottom"/>
            <w:vMerge w:val="restart"/>
          </w:tcPr>
          <w:p>
            <w:pPr>
              <w:jc w:val="right"/>
              <w:ind w:right="36"/>
              <w:spacing w:after="0"/>
              <w:rPr>
                <w:sz w:val="20"/>
                <w:szCs w:val="20"/>
                <w:color w:val="auto"/>
              </w:rPr>
            </w:pPr>
            <w:r>
              <w:rPr>
                <w:rFonts w:ascii="Arial" w:cs="Arial" w:eastAsia="Arial" w:hAnsi="Arial"/>
                <w:sz w:val="13"/>
                <w:szCs w:val="13"/>
                <w:color w:val="auto"/>
              </w:rPr>
              <w:t>1,558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56"/>
              <w:spacing w:after="0"/>
              <w:rPr>
                <w:sz w:val="20"/>
                <w:szCs w:val="20"/>
                <w:color w:val="auto"/>
              </w:rPr>
            </w:pPr>
            <w:r>
              <w:rPr>
                <w:rFonts w:ascii="Arial" w:cs="Arial" w:eastAsia="Arial" w:hAnsi="Arial"/>
                <w:sz w:val="13"/>
                <w:szCs w:val="13"/>
                <w:color w:val="auto"/>
              </w:rPr>
              <w:t>2,234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36"/>
              <w:spacing w:after="0"/>
              <w:rPr>
                <w:sz w:val="20"/>
                <w:szCs w:val="20"/>
                <w:color w:val="auto"/>
              </w:rPr>
            </w:pPr>
            <w:r>
              <w:rPr>
                <w:rFonts w:ascii="Arial" w:cs="Arial" w:eastAsia="Arial" w:hAnsi="Arial"/>
                <w:sz w:val="13"/>
                <w:szCs w:val="13"/>
                <w:color w:val="auto"/>
              </w:rPr>
              <w:t>1,265</w:t>
            </w:r>
          </w:p>
        </w:tc>
        <w:tc>
          <w:tcPr>
            <w:tcW w:w="120" w:type="dxa"/>
            <w:vAlign w:val="bottom"/>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0"/>
              </w:rPr>
              <w:t>Yes</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86"/>
              </w:rPr>
              <w:t>4/30/2020</w:t>
            </w:r>
          </w:p>
        </w:tc>
        <w:tc>
          <w:tcPr>
            <w:tcW w:w="0" w:type="dxa"/>
            <w:vAlign w:val="bottom"/>
          </w:tcPr>
          <w:p>
            <w:pPr>
              <w:spacing w:after="0"/>
              <w:rPr>
                <w:sz w:val="1"/>
                <w:szCs w:val="1"/>
                <w:color w:val="auto"/>
              </w:rPr>
            </w:pPr>
          </w:p>
        </w:tc>
      </w:tr>
      <w:tr>
        <w:trPr>
          <w:trHeight w:val="93"/>
        </w:trPr>
        <w:tc>
          <w:tcPr>
            <w:tcW w:w="174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4"/>
              </w:rPr>
              <w:t>420 Pension Plan</w:t>
            </w:r>
          </w:p>
        </w:tc>
        <w:tc>
          <w:tcPr>
            <w:tcW w:w="12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74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IBEW Local Union 98</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23-1990722/001</w:t>
            </w:r>
          </w:p>
        </w:tc>
        <w:tc>
          <w:tcPr>
            <w:tcW w:w="1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center"/>
              <w:ind w:right="75"/>
              <w:spacing w:after="0"/>
              <w:rPr>
                <w:sz w:val="20"/>
                <w:szCs w:val="20"/>
                <w:color w:val="auto"/>
              </w:rPr>
            </w:pPr>
            <w:r>
              <w:rPr>
                <w:rFonts w:ascii="Arial" w:cs="Arial" w:eastAsia="Arial" w:hAnsi="Arial"/>
                <w:sz w:val="13"/>
                <w:szCs w:val="13"/>
                <w:color w:val="auto"/>
                <w:w w:val="83"/>
              </w:rPr>
              <w:t>Red</w:t>
            </w:r>
          </w:p>
        </w:tc>
        <w:tc>
          <w:tcPr>
            <w:tcW w:w="660" w:type="dxa"/>
            <w:vAlign w:val="bottom"/>
            <w:shd w:val="clear" w:color="auto" w:fill="CCEEFF"/>
          </w:tcPr>
          <w:p>
            <w:pPr>
              <w:jc w:val="center"/>
              <w:ind w:right="76"/>
              <w:spacing w:after="0"/>
              <w:rPr>
                <w:sz w:val="20"/>
                <w:szCs w:val="20"/>
                <w:color w:val="auto"/>
              </w:rPr>
            </w:pPr>
            <w:r>
              <w:rPr>
                <w:rFonts w:ascii="Arial" w:cs="Arial" w:eastAsia="Arial" w:hAnsi="Arial"/>
                <w:sz w:val="13"/>
                <w:szCs w:val="13"/>
                <w:color w:val="auto"/>
                <w:w w:val="88"/>
              </w:rPr>
              <w:t>Described</w:t>
            </w:r>
          </w:p>
        </w:tc>
        <w:tc>
          <w:tcPr>
            <w:tcW w:w="12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80"/>
              </w:rPr>
              <w:t>Yes</w:t>
            </w: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1,106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1,519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1,653</w:t>
            </w: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0"/>
              </w:rPr>
              <w:t>Yes</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5/29/2020</w:t>
            </w:r>
          </w:p>
        </w:tc>
        <w:tc>
          <w:tcPr>
            <w:tcW w:w="0" w:type="dxa"/>
            <w:vAlign w:val="bottom"/>
          </w:tcPr>
          <w:p>
            <w:pPr>
              <w:spacing w:after="0"/>
              <w:rPr>
                <w:sz w:val="1"/>
                <w:szCs w:val="1"/>
                <w:color w:val="auto"/>
              </w:rPr>
            </w:pPr>
          </w:p>
        </w:tc>
      </w:tr>
      <w:tr>
        <w:trPr>
          <w:trHeight w:val="93"/>
        </w:trPr>
        <w:tc>
          <w:tcPr>
            <w:tcW w:w="17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86"/>
              </w:rPr>
              <w:t>Pension Plan</w:t>
            </w:r>
          </w:p>
        </w:tc>
        <w:tc>
          <w:tcPr>
            <w:tcW w:w="12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660" w:type="dxa"/>
            <w:vAlign w:val="bottom"/>
            <w:vMerge w:val="restart"/>
            <w:shd w:val="clear" w:color="auto" w:fill="CCEEFF"/>
          </w:tcPr>
          <w:p>
            <w:pPr>
              <w:jc w:val="center"/>
              <w:ind w:right="76"/>
              <w:spacing w:after="0"/>
              <w:rPr>
                <w:sz w:val="20"/>
                <w:szCs w:val="20"/>
                <w:color w:val="auto"/>
              </w:rPr>
            </w:pPr>
            <w:r>
              <w:rPr>
                <w:rFonts w:ascii="Arial" w:cs="Arial" w:eastAsia="Arial" w:hAnsi="Arial"/>
                <w:sz w:val="13"/>
                <w:szCs w:val="13"/>
                <w:color w:val="auto"/>
                <w:w w:val="89"/>
              </w:rPr>
              <w:t>below (2)</w:t>
            </w:r>
          </w:p>
        </w:tc>
        <w:tc>
          <w:tcPr>
            <w:tcW w:w="120" w:type="dxa"/>
            <w:vAlign w:val="bottom"/>
            <w:shd w:val="clear" w:color="auto" w:fill="CCEEFF"/>
          </w:tcPr>
          <w:p>
            <w:pPr>
              <w:spacing w:after="0"/>
              <w:rPr>
                <w:sz w:val="8"/>
                <w:szCs w:val="8"/>
                <w:color w:val="auto"/>
              </w:rPr>
            </w:pPr>
          </w:p>
        </w:tc>
        <w:tc>
          <w:tcPr>
            <w:tcW w:w="13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740" w:type="dxa"/>
            <w:vAlign w:val="bottom"/>
            <w:gridSpan w:val="2"/>
            <w:vMerge w:val="continue"/>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740" w:type="dxa"/>
            <w:vAlign w:val="bottom"/>
            <w:gridSpan w:val="2"/>
          </w:tcPr>
          <w:p>
            <w:pPr>
              <w:jc w:val="center"/>
              <w:ind w:right="120"/>
              <w:spacing w:after="0" w:line="148" w:lineRule="exact"/>
              <w:rPr>
                <w:sz w:val="20"/>
                <w:szCs w:val="20"/>
                <w:color w:val="auto"/>
              </w:rPr>
            </w:pPr>
            <w:r>
              <w:rPr>
                <w:rFonts w:ascii="Arial" w:cs="Arial" w:eastAsia="Arial" w:hAnsi="Arial"/>
                <w:sz w:val="13"/>
                <w:szCs w:val="13"/>
                <w:color w:val="auto"/>
                <w:w w:val="87"/>
              </w:rPr>
              <w:t>Indiana Laborers Pension</w:t>
            </w:r>
          </w:p>
        </w:tc>
        <w:tc>
          <w:tcPr>
            <w:tcW w:w="1260" w:type="dxa"/>
            <w:vAlign w:val="bottom"/>
            <w:vMerge w:val="restart"/>
          </w:tcPr>
          <w:p>
            <w:pPr>
              <w:jc w:val="right"/>
              <w:spacing w:after="0"/>
              <w:rPr>
                <w:sz w:val="20"/>
                <w:szCs w:val="20"/>
                <w:color w:val="auto"/>
              </w:rPr>
            </w:pPr>
            <w:r>
              <w:rPr>
                <w:rFonts w:ascii="Arial" w:cs="Arial" w:eastAsia="Arial" w:hAnsi="Arial"/>
                <w:sz w:val="13"/>
                <w:szCs w:val="13"/>
                <w:color w:val="auto"/>
              </w:rPr>
              <w:t>35-6027150/001</w:t>
            </w:r>
          </w:p>
        </w:tc>
        <w:tc>
          <w:tcPr>
            <w:tcW w:w="120" w:type="dxa"/>
            <w:vAlign w:val="bottom"/>
          </w:tcPr>
          <w:p>
            <w:pPr>
              <w:spacing w:after="0"/>
              <w:rPr>
                <w:sz w:val="12"/>
                <w:szCs w:val="12"/>
                <w:color w:val="auto"/>
              </w:rPr>
            </w:pPr>
          </w:p>
        </w:tc>
        <w:tc>
          <w:tcPr>
            <w:tcW w:w="1180" w:type="dxa"/>
            <w:vAlign w:val="bottom"/>
          </w:tcPr>
          <w:p>
            <w:pPr>
              <w:jc w:val="center"/>
              <w:ind w:right="95"/>
              <w:spacing w:after="0" w:line="148" w:lineRule="exact"/>
              <w:rPr>
                <w:sz w:val="20"/>
                <w:szCs w:val="20"/>
                <w:color w:val="auto"/>
              </w:rPr>
            </w:pPr>
            <w:r>
              <w:rPr>
                <w:rFonts w:ascii="Arial" w:cs="Arial" w:eastAsia="Arial" w:hAnsi="Arial"/>
                <w:sz w:val="13"/>
                <w:szCs w:val="13"/>
                <w:color w:val="auto"/>
                <w:w w:val="89"/>
              </w:rPr>
              <w:t>Described below</w:t>
            </w:r>
          </w:p>
        </w:tc>
        <w:tc>
          <w:tcPr>
            <w:tcW w:w="660" w:type="dxa"/>
            <w:vAlign w:val="bottom"/>
          </w:tcPr>
          <w:p>
            <w:pPr>
              <w:jc w:val="center"/>
              <w:ind w:right="76"/>
              <w:spacing w:after="0" w:line="148" w:lineRule="exact"/>
              <w:rPr>
                <w:sz w:val="20"/>
                <w:szCs w:val="20"/>
                <w:color w:val="auto"/>
              </w:rPr>
            </w:pPr>
            <w:r>
              <w:rPr>
                <w:rFonts w:ascii="Arial" w:cs="Arial" w:eastAsia="Arial" w:hAnsi="Arial"/>
                <w:sz w:val="13"/>
                <w:szCs w:val="13"/>
                <w:color w:val="auto"/>
                <w:w w:val="88"/>
              </w:rPr>
              <w:t>Described</w:t>
            </w:r>
          </w:p>
        </w:tc>
        <w:tc>
          <w:tcPr>
            <w:tcW w:w="12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8"/>
              </w:rPr>
              <w:t>Described below (2)</w:t>
            </w:r>
          </w:p>
        </w:tc>
        <w:tc>
          <w:tcPr>
            <w:tcW w:w="180" w:type="dxa"/>
            <w:vAlign w:val="bottom"/>
          </w:tcPr>
          <w:p>
            <w:pPr>
              <w:spacing w:after="0"/>
              <w:rPr>
                <w:sz w:val="12"/>
                <w:szCs w:val="12"/>
                <w:color w:val="auto"/>
              </w:rPr>
            </w:pPr>
          </w:p>
        </w:tc>
        <w:tc>
          <w:tcPr>
            <w:tcW w:w="620" w:type="dxa"/>
            <w:vAlign w:val="bottom"/>
            <w:vMerge w:val="restart"/>
          </w:tcPr>
          <w:p>
            <w:pPr>
              <w:jc w:val="right"/>
              <w:ind w:right="36"/>
              <w:spacing w:after="0"/>
              <w:rPr>
                <w:sz w:val="20"/>
                <w:szCs w:val="20"/>
                <w:color w:val="auto"/>
              </w:rPr>
            </w:pPr>
            <w:r>
              <w:rPr>
                <w:rFonts w:ascii="Arial" w:cs="Arial" w:eastAsia="Arial" w:hAnsi="Arial"/>
                <w:sz w:val="13"/>
                <w:szCs w:val="13"/>
                <w:color w:val="auto"/>
              </w:rPr>
              <w:t>3,542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56"/>
              <w:spacing w:after="0"/>
              <w:rPr>
                <w:sz w:val="20"/>
                <w:szCs w:val="20"/>
                <w:color w:val="auto"/>
              </w:rPr>
            </w:pPr>
            <w:r>
              <w:rPr>
                <w:rFonts w:ascii="Arial" w:cs="Arial" w:eastAsia="Arial" w:hAnsi="Arial"/>
                <w:sz w:val="13"/>
                <w:szCs w:val="13"/>
                <w:color w:val="auto"/>
              </w:rPr>
              <w:t>2,458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36"/>
              <w:spacing w:after="0"/>
              <w:rPr>
                <w:sz w:val="20"/>
                <w:szCs w:val="20"/>
                <w:color w:val="auto"/>
              </w:rPr>
            </w:pPr>
            <w:r>
              <w:rPr>
                <w:rFonts w:ascii="Arial" w:cs="Arial" w:eastAsia="Arial" w:hAnsi="Arial"/>
                <w:sz w:val="13"/>
                <w:szCs w:val="13"/>
                <w:color w:val="auto"/>
              </w:rPr>
              <w:t>2,320</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8" w:lineRule="exact"/>
              <w:rPr>
                <w:sz w:val="20"/>
                <w:szCs w:val="20"/>
                <w:color w:val="auto"/>
              </w:rPr>
            </w:pPr>
            <w:r>
              <w:rPr>
                <w:rFonts w:ascii="Arial" w:cs="Arial" w:eastAsia="Arial" w:hAnsi="Arial"/>
                <w:sz w:val="13"/>
                <w:szCs w:val="13"/>
                <w:color w:val="auto"/>
                <w:w w:val="87"/>
              </w:rPr>
              <w:t>Described below</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86"/>
              </w:rPr>
              <w:t>5/31/2019</w:t>
            </w:r>
          </w:p>
        </w:tc>
        <w:tc>
          <w:tcPr>
            <w:tcW w:w="0" w:type="dxa"/>
            <w:vAlign w:val="bottom"/>
          </w:tcPr>
          <w:p>
            <w:pPr>
              <w:spacing w:after="0"/>
              <w:rPr>
                <w:sz w:val="1"/>
                <w:szCs w:val="1"/>
                <w:color w:val="auto"/>
              </w:rPr>
            </w:pPr>
          </w:p>
        </w:tc>
      </w:tr>
      <w:tr>
        <w:trPr>
          <w:trHeight w:val="93"/>
        </w:trPr>
        <w:tc>
          <w:tcPr>
            <w:tcW w:w="174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7"/>
              </w:rPr>
              <w:t>Fund</w:t>
            </w:r>
          </w:p>
        </w:tc>
        <w:tc>
          <w:tcPr>
            <w:tcW w:w="12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restart"/>
          </w:tcPr>
          <w:p>
            <w:pPr>
              <w:jc w:val="right"/>
              <w:ind w:right="535"/>
              <w:spacing w:after="0"/>
              <w:rPr>
                <w:sz w:val="20"/>
                <w:szCs w:val="20"/>
                <w:color w:val="auto"/>
              </w:rPr>
            </w:pPr>
            <w:r>
              <w:rPr>
                <w:rFonts w:ascii="Arial" w:cs="Arial" w:eastAsia="Arial" w:hAnsi="Arial"/>
                <w:sz w:val="13"/>
                <w:szCs w:val="13"/>
                <w:color w:val="auto"/>
              </w:rPr>
              <w:t>(2)</w:t>
            </w:r>
          </w:p>
        </w:tc>
        <w:tc>
          <w:tcPr>
            <w:tcW w:w="660" w:type="dxa"/>
            <w:vAlign w:val="bottom"/>
            <w:vMerge w:val="restart"/>
          </w:tcPr>
          <w:p>
            <w:pPr>
              <w:jc w:val="center"/>
              <w:ind w:right="76"/>
              <w:spacing w:after="0"/>
              <w:rPr>
                <w:sz w:val="20"/>
                <w:szCs w:val="20"/>
                <w:color w:val="auto"/>
              </w:rPr>
            </w:pPr>
            <w:r>
              <w:rPr>
                <w:rFonts w:ascii="Arial" w:cs="Arial" w:eastAsia="Arial" w:hAnsi="Arial"/>
                <w:sz w:val="13"/>
                <w:szCs w:val="13"/>
                <w:color w:val="auto"/>
                <w:w w:val="89"/>
              </w:rPr>
              <w:t>below (2)</w:t>
            </w:r>
          </w:p>
        </w:tc>
        <w:tc>
          <w:tcPr>
            <w:tcW w:w="12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14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87"/>
              </w:rPr>
              <w:t>(2)</w:t>
            </w:r>
          </w:p>
        </w:tc>
        <w:tc>
          <w:tcPr>
            <w:tcW w:w="1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74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Iron Workers Mid-America</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36-6488227/001</w:t>
            </w:r>
          </w:p>
        </w:tc>
        <w:tc>
          <w:tcPr>
            <w:tcW w:w="1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center"/>
              <w:ind w:right="95"/>
              <w:spacing w:after="0"/>
              <w:rPr>
                <w:sz w:val="20"/>
                <w:szCs w:val="20"/>
                <w:color w:val="auto"/>
              </w:rPr>
            </w:pPr>
            <w:r>
              <w:rPr>
                <w:rFonts w:ascii="Arial" w:cs="Arial" w:eastAsia="Arial" w:hAnsi="Arial"/>
                <w:sz w:val="13"/>
                <w:szCs w:val="13"/>
                <w:color w:val="auto"/>
                <w:w w:val="82"/>
              </w:rPr>
              <w:t>Green</w:t>
            </w:r>
          </w:p>
        </w:tc>
        <w:tc>
          <w:tcPr>
            <w:tcW w:w="660" w:type="dxa"/>
            <w:vAlign w:val="bottom"/>
            <w:vMerge w:val="restart"/>
            <w:shd w:val="clear" w:color="auto" w:fill="CCEEFF"/>
          </w:tcPr>
          <w:p>
            <w:pPr>
              <w:jc w:val="center"/>
              <w:ind w:right="76"/>
              <w:spacing w:after="0"/>
              <w:rPr>
                <w:sz w:val="20"/>
                <w:szCs w:val="20"/>
                <w:color w:val="auto"/>
              </w:rPr>
            </w:pPr>
            <w:r>
              <w:rPr>
                <w:rFonts w:ascii="Arial" w:cs="Arial" w:eastAsia="Arial" w:hAnsi="Arial"/>
                <w:sz w:val="13"/>
                <w:szCs w:val="13"/>
                <w:color w:val="auto"/>
                <w:w w:val="88"/>
              </w:rPr>
              <w:t>Green</w:t>
            </w:r>
          </w:p>
        </w:tc>
        <w:tc>
          <w:tcPr>
            <w:tcW w:w="12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rPr>
              <w:t>N/A</w:t>
            </w: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4,412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1,785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2,248</w:t>
            </w: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96"/>
              </w:rPr>
              <w:t>No</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5/31/2019</w:t>
            </w:r>
          </w:p>
        </w:tc>
        <w:tc>
          <w:tcPr>
            <w:tcW w:w="0" w:type="dxa"/>
            <w:vAlign w:val="bottom"/>
          </w:tcPr>
          <w:p>
            <w:pPr>
              <w:spacing w:after="0"/>
              <w:rPr>
                <w:sz w:val="1"/>
                <w:szCs w:val="1"/>
                <w:color w:val="auto"/>
              </w:rPr>
            </w:pPr>
          </w:p>
        </w:tc>
      </w:tr>
      <w:tr>
        <w:trPr>
          <w:trHeight w:val="93"/>
        </w:trPr>
        <w:tc>
          <w:tcPr>
            <w:tcW w:w="17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86"/>
              </w:rPr>
              <w:t>Pension Plan</w:t>
            </w:r>
          </w:p>
        </w:tc>
        <w:tc>
          <w:tcPr>
            <w:tcW w:w="12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740" w:type="dxa"/>
            <w:vAlign w:val="bottom"/>
            <w:gridSpan w:val="2"/>
            <w:vMerge w:val="continue"/>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740" w:type="dxa"/>
            <w:vAlign w:val="bottom"/>
            <w:gridSpan w:val="2"/>
          </w:tcPr>
          <w:p>
            <w:pPr>
              <w:jc w:val="center"/>
              <w:ind w:right="120"/>
              <w:spacing w:after="0" w:line="148" w:lineRule="exact"/>
              <w:rPr>
                <w:sz w:val="20"/>
                <w:szCs w:val="20"/>
                <w:color w:val="auto"/>
              </w:rPr>
            </w:pPr>
            <w:r>
              <w:rPr>
                <w:rFonts w:ascii="Arial" w:cs="Arial" w:eastAsia="Arial" w:hAnsi="Arial"/>
                <w:sz w:val="13"/>
                <w:szCs w:val="13"/>
                <w:color w:val="auto"/>
                <w:w w:val="88"/>
              </w:rPr>
              <w:t>Pipe Fitters Retirement Fund,</w:t>
            </w:r>
          </w:p>
        </w:tc>
        <w:tc>
          <w:tcPr>
            <w:tcW w:w="1260" w:type="dxa"/>
            <w:vAlign w:val="bottom"/>
            <w:vMerge w:val="restart"/>
          </w:tcPr>
          <w:p>
            <w:pPr>
              <w:jc w:val="right"/>
              <w:spacing w:after="0"/>
              <w:rPr>
                <w:sz w:val="20"/>
                <w:szCs w:val="20"/>
                <w:color w:val="auto"/>
              </w:rPr>
            </w:pPr>
            <w:r>
              <w:rPr>
                <w:rFonts w:ascii="Arial" w:cs="Arial" w:eastAsia="Arial" w:hAnsi="Arial"/>
                <w:sz w:val="13"/>
                <w:szCs w:val="13"/>
                <w:color w:val="auto"/>
              </w:rPr>
              <w:t>62-6105084/001</w:t>
            </w:r>
          </w:p>
        </w:tc>
        <w:tc>
          <w:tcPr>
            <w:tcW w:w="120" w:type="dxa"/>
            <w:vAlign w:val="bottom"/>
          </w:tcPr>
          <w:p>
            <w:pPr>
              <w:spacing w:after="0"/>
              <w:rPr>
                <w:sz w:val="12"/>
                <w:szCs w:val="12"/>
                <w:color w:val="auto"/>
              </w:rPr>
            </w:pPr>
          </w:p>
        </w:tc>
        <w:tc>
          <w:tcPr>
            <w:tcW w:w="1180" w:type="dxa"/>
            <w:vAlign w:val="bottom"/>
            <w:vMerge w:val="restart"/>
          </w:tcPr>
          <w:p>
            <w:pPr>
              <w:jc w:val="center"/>
              <w:ind w:right="95"/>
              <w:spacing w:after="0"/>
              <w:rPr>
                <w:sz w:val="20"/>
                <w:szCs w:val="20"/>
                <w:color w:val="auto"/>
              </w:rPr>
            </w:pPr>
            <w:r>
              <w:rPr>
                <w:rFonts w:ascii="Arial" w:cs="Arial" w:eastAsia="Arial" w:hAnsi="Arial"/>
                <w:sz w:val="13"/>
                <w:szCs w:val="13"/>
                <w:color w:val="auto"/>
                <w:w w:val="82"/>
              </w:rPr>
              <w:t>Green</w:t>
            </w:r>
          </w:p>
        </w:tc>
        <w:tc>
          <w:tcPr>
            <w:tcW w:w="660" w:type="dxa"/>
            <w:vAlign w:val="bottom"/>
            <w:vMerge w:val="restart"/>
          </w:tcPr>
          <w:p>
            <w:pPr>
              <w:jc w:val="center"/>
              <w:ind w:right="76"/>
              <w:spacing w:after="0"/>
              <w:rPr>
                <w:sz w:val="20"/>
                <w:szCs w:val="20"/>
                <w:color w:val="auto"/>
              </w:rPr>
            </w:pPr>
            <w:r>
              <w:rPr>
                <w:rFonts w:ascii="Arial" w:cs="Arial" w:eastAsia="Arial" w:hAnsi="Arial"/>
                <w:sz w:val="13"/>
                <w:szCs w:val="13"/>
                <w:color w:val="auto"/>
                <w:w w:val="88"/>
              </w:rPr>
              <w:t>Green</w:t>
            </w:r>
          </w:p>
        </w:tc>
        <w:tc>
          <w:tcPr>
            <w:tcW w:w="12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rPr>
              <w:t>N/A</w:t>
            </w:r>
          </w:p>
        </w:tc>
        <w:tc>
          <w:tcPr>
            <w:tcW w:w="180" w:type="dxa"/>
            <w:vAlign w:val="bottom"/>
          </w:tcPr>
          <w:p>
            <w:pPr>
              <w:spacing w:after="0"/>
              <w:rPr>
                <w:sz w:val="12"/>
                <w:szCs w:val="12"/>
                <w:color w:val="auto"/>
              </w:rPr>
            </w:pPr>
          </w:p>
        </w:tc>
        <w:tc>
          <w:tcPr>
            <w:tcW w:w="620" w:type="dxa"/>
            <w:vAlign w:val="bottom"/>
            <w:vMerge w:val="restart"/>
          </w:tcPr>
          <w:p>
            <w:pPr>
              <w:jc w:val="right"/>
              <w:ind w:right="36"/>
              <w:spacing w:after="0"/>
              <w:rPr>
                <w:sz w:val="20"/>
                <w:szCs w:val="20"/>
                <w:color w:val="auto"/>
              </w:rPr>
            </w:pPr>
            <w:r>
              <w:rPr>
                <w:rFonts w:ascii="Arial" w:cs="Arial" w:eastAsia="Arial" w:hAnsi="Arial"/>
                <w:sz w:val="13"/>
                <w:szCs w:val="13"/>
                <w:color w:val="auto"/>
              </w:rPr>
              <w:t>3,682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56"/>
              <w:spacing w:after="0"/>
              <w:rPr>
                <w:sz w:val="20"/>
                <w:szCs w:val="20"/>
                <w:color w:val="auto"/>
              </w:rPr>
            </w:pPr>
            <w:r>
              <w:rPr>
                <w:rFonts w:ascii="Arial" w:cs="Arial" w:eastAsia="Arial" w:hAnsi="Arial"/>
                <w:sz w:val="13"/>
                <w:szCs w:val="13"/>
                <w:color w:val="auto"/>
              </w:rPr>
              <w:t>2,563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36"/>
              <w:spacing w:after="0"/>
              <w:rPr>
                <w:sz w:val="20"/>
                <w:szCs w:val="20"/>
                <w:color w:val="auto"/>
              </w:rPr>
            </w:pPr>
            <w:r>
              <w:rPr>
                <w:rFonts w:ascii="Arial" w:cs="Arial" w:eastAsia="Arial" w:hAnsi="Arial"/>
                <w:sz w:val="13"/>
                <w:szCs w:val="13"/>
                <w:color w:val="auto"/>
              </w:rPr>
              <w:t>2,377</w:t>
            </w:r>
          </w:p>
        </w:tc>
        <w:tc>
          <w:tcPr>
            <w:tcW w:w="120" w:type="dxa"/>
            <w:vAlign w:val="bottom"/>
          </w:tcPr>
          <w:p>
            <w:pPr>
              <w:spacing w:after="0"/>
              <w:rPr>
                <w:sz w:val="12"/>
                <w:szCs w:val="12"/>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6"/>
              </w:rPr>
              <w:t>No</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86"/>
              </w:rPr>
              <w:t>5/31/2019</w:t>
            </w:r>
          </w:p>
        </w:tc>
        <w:tc>
          <w:tcPr>
            <w:tcW w:w="0" w:type="dxa"/>
            <w:vAlign w:val="bottom"/>
          </w:tcPr>
          <w:p>
            <w:pPr>
              <w:spacing w:after="0"/>
              <w:rPr>
                <w:sz w:val="1"/>
                <w:szCs w:val="1"/>
                <w:color w:val="auto"/>
              </w:rPr>
            </w:pPr>
          </w:p>
        </w:tc>
      </w:tr>
      <w:tr>
        <w:trPr>
          <w:trHeight w:val="93"/>
        </w:trPr>
        <w:tc>
          <w:tcPr>
            <w:tcW w:w="174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8"/>
              </w:rPr>
              <w:t>Local 597</w:t>
            </w:r>
          </w:p>
        </w:tc>
        <w:tc>
          <w:tcPr>
            <w:tcW w:w="12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74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1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34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Contributions to other multiemployer plans</w:t>
            </w: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19,827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20,378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16,606</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2"/>
          </w:tcPr>
          <w:p>
            <w:pPr>
              <w:ind w:left="20"/>
              <w:spacing w:after="0"/>
              <w:rPr>
                <w:sz w:val="20"/>
                <w:szCs w:val="20"/>
                <w:color w:val="auto"/>
              </w:rPr>
            </w:pPr>
            <w:r>
              <w:rPr>
                <w:rFonts w:ascii="Arial" w:cs="Arial" w:eastAsia="Arial" w:hAnsi="Arial"/>
                <w:sz w:val="13"/>
                <w:szCs w:val="13"/>
                <w:color w:val="auto"/>
              </w:rPr>
              <w:t>Total contributions made</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54,724</w:t>
            </w:r>
          </w:p>
        </w:tc>
        <w:tc>
          <w:tcPr>
            <w:tcW w:w="28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6"/>
              <w:spacing w:after="0"/>
              <w:rPr>
                <w:sz w:val="20"/>
                <w:szCs w:val="20"/>
                <w:color w:val="auto"/>
              </w:rPr>
            </w:pPr>
            <w:r>
              <w:rPr>
                <w:rFonts w:ascii="Arial" w:cs="Arial" w:eastAsia="Arial" w:hAnsi="Arial"/>
                <w:sz w:val="13"/>
                <w:szCs w:val="13"/>
                <w:color w:val="auto"/>
              </w:rPr>
              <w:t>48,709</w:t>
            </w:r>
          </w:p>
        </w:tc>
        <w:tc>
          <w:tcPr>
            <w:tcW w:w="100" w:type="dxa"/>
            <w:vAlign w:val="bottom"/>
          </w:tcPr>
          <w:p>
            <w:pPr>
              <w:spacing w:after="0"/>
              <w:rPr>
                <w:sz w:val="21"/>
                <w:szCs w:val="21"/>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46,011</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6604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80" w:lineRule="exact"/>
        <w:rPr>
          <w:sz w:val="20"/>
          <w:szCs w:val="20"/>
          <w:color w:val="auto"/>
        </w:rPr>
      </w:pPr>
    </w:p>
    <w:p>
      <w:pPr>
        <w:ind w:left="460" w:right="280" w:hanging="330"/>
        <w:spacing w:after="0" w:line="250" w:lineRule="auto"/>
        <w:tabs>
          <w:tab w:leader="none" w:pos="4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employees are members of several Boilermaker unions that participate in the Boilermaker-Blacksmith National Pension Trust. The most significant of these unions are Boilermakers Local 374 and Boilermakers Local 128, which have collective bargaining agreements that expire on December 31, 2019 and December 31, 2020, respectively.</w:t>
      </w:r>
    </w:p>
    <w:p>
      <w:pPr>
        <w:ind w:left="460" w:right="20" w:hanging="330"/>
        <w:spacing w:after="0" w:line="244" w:lineRule="auto"/>
        <w:tabs>
          <w:tab w:leader="none" w:pos="4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For the Boilermaker-Blacksmith National Pension Trust, Local 164 IBEW Pension Plan, Local 98 IBEW Pension Plan and the Indiana Laborers Pension Fund, the Company has not received a funding notification that covers one or both of the Company's fiscal years 2018 and 2017 during the preparation of this Form 10-K. Under Federal pension law, if a multiemployer pension plan is determined to be in critical or endangered status, the plan must provide notice of this status to participants, beneficiaries, the bargaining parties, the Pension Benefit Guaranty Corporation, and the Department of Labor. The Company also observed that these plans have not submitted any Critical or Endangered Status Notices to the Department of Labor for calendar years that we have not received notification. The Critical or Endangered Status Notices can be accessed at https://www.dol.gov/agencies/ebsa/about-ebsa/our-activities/public-disclosure/2018-funding-status-notices.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Matrix Service Company 2011 Employee Stock Purchase Plan (“ESPP”) was effective January 1, 2011. The ESPP allows employees to purchase shares through payroll deductions and members of the Board of Directors to purchase shares from amounts withheld from their cash retainers. Share purchases are limited to an aggregate market value of no greater than $60,000 per calendar year per participant and are purchased from the Company at the current market value with no discount to the participant. Contributions are with after tax earnings and are accumulated in non-interest bearing accounts for quarterly purchases of company stock. Upon the purchase of shares, the participants receive all stockholder rights including dividend and voting rights, and are permitted to sell their shares at any time. The Company has made 1,000,000 shares available under the ESPP. The ESPP can be terminated at the discretion of the Board of Directors or on January 2, 2021. Shares are issued from Treasury Stock under the ESPP. There were 21,920 shares issued in fiscal 2018, 16,609 shares in fiscal 2017, and 17,304 shares in fiscal 2016.</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37"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13—Segment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consists of high voltage services provided to investor owned utilities, including construction of new substations, upgrades of existing substations, short-run transmission line installations, distribution upgrades and maintenance, as well as emergency and storm restoration services. We also provide construction and maintenance services to a variety of power generation facilities, such as combined cycle plants, and natural gas fired power stations.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 Gas &amp; Chemical segment serves customers primarily in the downstream and midstream petroleum industries who are engaged in refining crude oil and processing, fractionating, and marketing of natural gas and natural gas liquids. We also perform work in the petrochemical, upstream petroleum, and sulfur extraction, recovery and processing markets. Our services include turnarounds, plant maintenance, engineering and capital construction. We also offer industrial cleaning services including hydro-blasting, hydro-excavating, advanced chemical cleaning and vacuum services.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Storage Solutions segment consists of work related to aboveground storage tanks and terminals. Also included in this segment are cryogenic and other specialty storage tanks and terminals including liquefied natural gas, liquid nitrogen/liquid oxygen, liquid petroleum, other specialty vessels such as spheres as well as marine structures and truck and rail loading/offloading facilities. Our services include engineering, fabrication and construction, maintenance and repair, which includes planned and emergency services of both tanks and full terminals. Finally, we offer AST products, including geodesic domes, aluminum internal floating roofs, floating suction and skimmer systems, roof drain systems and floating roof seals.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Industrial segment consists of work for integrated iron and steel companies, major mining and minerals companies engaged primarily in the extraction of copper, as well as other companies in aerospace and defense, cement, agriculture and grain, food and other industries. Our services include engineering, fabrication and construction, maintenance and repair, which includes planned and emergency services. We also design instrumentation and control systems and offer specialized expertise in the design and construction of bulk material handling systems.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evaluates performance and allocates resources based on operating income. The accounting policies of the reportable segments are the same as those described in the summary of significant accounting policies. Intersegment sales and transfers are recorded at cost; therefore, no intercompany profit or loss is recognized.</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37"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Electrical</w:t>
            </w:r>
          </w:p>
        </w:tc>
        <w:tc>
          <w:tcPr>
            <w:tcW w:w="2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Oil Gas &amp;</w:t>
            </w:r>
          </w:p>
        </w:tc>
        <w:tc>
          <w:tcPr>
            <w:tcW w:w="1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Storage</w:t>
            </w:r>
          </w:p>
        </w:tc>
        <w:tc>
          <w:tcPr>
            <w:tcW w:w="140" w:type="dxa"/>
            <w:vAlign w:val="bottom"/>
          </w:tcPr>
          <w:p>
            <w:pPr>
              <w:spacing w:after="0"/>
              <w:rPr>
                <w:sz w:val="14"/>
                <w:szCs w:val="14"/>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Industrial</w:t>
            </w: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Unallocated</w:t>
            </w:r>
          </w:p>
        </w:tc>
        <w:tc>
          <w:tcPr>
            <w:tcW w:w="260" w:type="dxa"/>
            <w:vAlign w:val="bottom"/>
          </w:tcPr>
          <w:p>
            <w:pPr>
              <w:spacing w:after="0"/>
              <w:rPr>
                <w:sz w:val="14"/>
                <w:szCs w:val="14"/>
                <w:color w:val="auto"/>
              </w:rPr>
            </w:pPr>
          </w:p>
        </w:tc>
        <w:tc>
          <w:tcPr>
            <w:tcW w:w="9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Chemical</w:t>
            </w: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Corporate</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Year ended June 30, 2018</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Gross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255,931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324,546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319,106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198,155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1,097,738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inter-segment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37"/>
        </w:trPr>
        <w:tc>
          <w:tcPr>
            <w:tcW w:w="3440" w:type="dxa"/>
            <w:vAlign w:val="bottom"/>
          </w:tcPr>
          <w:p>
            <w:pPr>
              <w:ind w:left="20"/>
              <w:spacing w:after="0"/>
              <w:rPr>
                <w:sz w:val="20"/>
                <w:szCs w:val="20"/>
                <w:color w:val="auto"/>
              </w:rPr>
            </w:pPr>
            <w:r>
              <w:rPr>
                <w:rFonts w:ascii="Arial" w:cs="Arial" w:eastAsia="Arial" w:hAnsi="Arial"/>
                <w:sz w:val="18"/>
                <w:szCs w:val="18"/>
                <w:color w:val="auto"/>
              </w:rPr>
              <w:t>Consolidated revenues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255,931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322,772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314,696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198,154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1,091,553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91,936</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8,798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3,161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(10,479)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161,207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149,695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558,033</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8,711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20,347</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Fiscal Year ended June 30, 2017</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373,384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247,423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483,254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103,449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1,207,510</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Less: inter-segment revenues</w:t>
            </w:r>
          </w:p>
        </w:tc>
        <w:tc>
          <w:tcPr>
            <w:tcW w:w="1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6,900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10,001</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373,384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240,523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481,696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1,197,509</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7,137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12,675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55,651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5,540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81,003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4,859</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Segment assets</w:t>
            </w: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183,351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129,177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166,742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53,754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53,006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586,030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11,908</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5,198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7,277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21,602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Year ended June 30, 2016</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Gross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349,011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252,973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564,738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149,744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1,316,466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inter-segment revenues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37"/>
        </w:trPr>
        <w:tc>
          <w:tcPr>
            <w:tcW w:w="3440" w:type="dxa"/>
            <w:vAlign w:val="bottom"/>
          </w:tcPr>
          <w:p>
            <w:pPr>
              <w:ind w:left="20"/>
              <w:spacing w:after="0"/>
              <w:rPr>
                <w:sz w:val="20"/>
                <w:szCs w:val="20"/>
                <w:color w:val="auto"/>
              </w:rPr>
            </w:pPr>
            <w:r>
              <w:rPr>
                <w:rFonts w:ascii="Arial" w:cs="Arial" w:eastAsia="Arial" w:hAnsi="Arial"/>
                <w:sz w:val="18"/>
                <w:szCs w:val="18"/>
                <w:color w:val="auto"/>
              </w:rPr>
              <w:t>Consolidated revenues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349,011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249,795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563,512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149,599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1,311,917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125,991</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11,144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33,449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40,882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135,298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564,967</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3,882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6,861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13,939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21,441</w:t>
            </w:r>
          </w:p>
        </w:tc>
        <w:tc>
          <w:tcPr>
            <w:tcW w:w="0" w:type="dxa"/>
            <w:vAlign w:val="bottom"/>
          </w:tcPr>
          <w:p>
            <w:pPr>
              <w:spacing w:after="0"/>
              <w:rPr>
                <w:sz w:val="1"/>
                <w:szCs w:val="1"/>
                <w:color w:val="auto"/>
              </w:rPr>
            </w:pPr>
          </w:p>
        </w:tc>
      </w:tr>
      <w:tr>
        <w:trPr>
          <w:trHeight w:val="675"/>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45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520" w:top="337" w:right="51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Geographical information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Fiscal Years Ended</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35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3"/>
                <w:szCs w:val="13"/>
                <w:color w:val="auto"/>
              </w:rPr>
            </w:pPr>
          </w:p>
        </w:tc>
        <w:tc>
          <w:tcPr>
            <w:tcW w:w="154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center"/>
              <w:ind w:right="276"/>
              <w:spacing w:after="0" w:line="153"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981,292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961,049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1,127,893</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Canada</w:t>
            </w:r>
          </w:p>
        </w:tc>
        <w:tc>
          <w:tcPr>
            <w:tcW w:w="2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104,208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40"/>
              <w:spacing w:after="0"/>
              <w:rPr>
                <w:sz w:val="20"/>
                <w:szCs w:val="20"/>
                <w:color w:val="auto"/>
              </w:rPr>
            </w:pPr>
            <w:r>
              <w:rPr>
                <w:rFonts w:ascii="Arial" w:cs="Arial" w:eastAsia="Arial" w:hAnsi="Arial"/>
                <w:sz w:val="18"/>
                <w:szCs w:val="18"/>
                <w:color w:val="auto"/>
              </w:rPr>
              <w:t>228,625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178,603</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international</w:t>
            </w:r>
          </w:p>
        </w:tc>
        <w:tc>
          <w:tcPr>
            <w:tcW w:w="28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7,835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5,421</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1,091,553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1,197,509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1,311,917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35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Long-Lived Assets</w:t>
            </w: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3"/>
                <w:szCs w:val="13"/>
                <w:color w:val="auto"/>
              </w:rPr>
            </w:pPr>
          </w:p>
        </w:tc>
        <w:tc>
          <w:tcPr>
            <w:tcW w:w="154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280" w:type="dxa"/>
            <w:vAlign w:val="bottom"/>
          </w:tcPr>
          <w:p>
            <w:pPr>
              <w:jc w:val="center"/>
              <w:ind w:right="276"/>
              <w:spacing w:after="0" w:line="153"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174,241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193,164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158,970</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Canada</w:t>
            </w:r>
          </w:p>
        </w:tc>
        <w:tc>
          <w:tcPr>
            <w:tcW w:w="2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13,738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40"/>
              <w:spacing w:after="0"/>
              <w:rPr>
                <w:sz w:val="20"/>
                <w:szCs w:val="20"/>
                <w:color w:val="auto"/>
              </w:rPr>
            </w:pPr>
            <w:r>
              <w:rPr>
                <w:rFonts w:ascii="Arial" w:cs="Arial" w:eastAsia="Arial" w:hAnsi="Arial"/>
                <w:sz w:val="18"/>
                <w:szCs w:val="18"/>
                <w:color w:val="auto"/>
              </w:rPr>
              <w:t>21,419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19,915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international</w:t>
            </w:r>
          </w:p>
        </w:tc>
        <w:tc>
          <w:tcPr>
            <w:tcW w:w="28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13,008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12,817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10,636</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200,987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227,400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189,521</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880" w:type="dxa"/>
            <w:vAlign w:val="bottom"/>
            <w:vMerge w:val="restart"/>
          </w:tcPr>
          <w:p>
            <w:pPr>
              <w:jc w:val="right"/>
              <w:ind w:right="510"/>
              <w:spacing w:after="0"/>
              <w:rPr>
                <w:sz w:val="20"/>
                <w:szCs w:val="20"/>
                <w:color w:val="auto"/>
              </w:rPr>
            </w:pPr>
            <w:r>
              <w:rPr>
                <w:rFonts w:ascii="Arial" w:cs="Arial" w:eastAsia="Arial" w:hAnsi="Arial"/>
                <w:sz w:val="18"/>
                <w:szCs w:val="18"/>
                <w:color w:val="auto"/>
              </w:rPr>
              <w:t>75</w:t>
            </w: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88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76" w:name="page77"/>
    <w:bookmarkEnd w:id="76"/>
    <w:p>
      <w:pPr>
        <w:jc w:val="center"/>
        <w:ind w:right="-279"/>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about Significant Customers</w:t>
      </w:r>
    </w:p>
    <w:p>
      <w:pPr>
        <w:spacing w:after="0" w:line="230"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6"/>
              </w:rPr>
              <w:t>Significant Customers as a Percentage of Segment Revenues</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00" w:type="dxa"/>
            <w:vAlign w:val="bottom"/>
          </w:tcPr>
          <w:p>
            <w:pPr>
              <w:spacing w:after="0"/>
              <w:rPr>
                <w:sz w:val="13"/>
                <w:szCs w:val="13"/>
                <w:color w:val="auto"/>
              </w:rPr>
            </w:pPr>
          </w:p>
        </w:tc>
        <w:tc>
          <w:tcPr>
            <w:tcW w:w="12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Consolidated</w:t>
            </w: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Electrical</w:t>
            </w:r>
          </w:p>
        </w:tc>
        <w:tc>
          <w:tcPr>
            <w:tcW w:w="136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Oil Gas &amp;</w:t>
            </w: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Storage</w:t>
            </w:r>
          </w:p>
        </w:tc>
        <w:tc>
          <w:tcPr>
            <w:tcW w:w="10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Industrial</w:t>
            </w: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Infrastructure</w:t>
            </w:r>
          </w:p>
        </w:tc>
        <w:tc>
          <w:tcPr>
            <w:tcW w:w="1360" w:type="dxa"/>
            <w:vAlign w:val="bottom"/>
            <w:gridSpan w:val="2"/>
          </w:tcPr>
          <w:p>
            <w:pPr>
              <w:ind w:left="340"/>
              <w:spacing w:after="0"/>
              <w:rPr>
                <w:sz w:val="20"/>
                <w:szCs w:val="20"/>
                <w:color w:val="auto"/>
              </w:rPr>
            </w:pPr>
            <w:r>
              <w:rPr>
                <w:rFonts w:ascii="Arial" w:cs="Arial" w:eastAsia="Arial" w:hAnsi="Arial"/>
                <w:sz w:val="14"/>
                <w:szCs w:val="14"/>
                <w:b w:val="1"/>
                <w:bCs w:val="1"/>
                <w:color w:val="auto"/>
              </w:rPr>
              <w:t>Chemical</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Solutions</w:t>
            </w: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Fiscal Year ended June 30, 2018</w:t>
            </w: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one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Customer two</w:t>
            </w:r>
          </w:p>
        </w:tc>
        <w:tc>
          <w:tcPr>
            <w:tcW w:w="12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three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Customer four</w:t>
            </w:r>
          </w:p>
        </w:tc>
        <w:tc>
          <w:tcPr>
            <w:tcW w:w="1260" w:type="dxa"/>
            <w:vAlign w:val="bottom"/>
          </w:tcPr>
          <w:p>
            <w:pPr>
              <w:jc w:val="right"/>
              <w:spacing w:after="0"/>
              <w:rPr>
                <w:sz w:val="20"/>
                <w:szCs w:val="20"/>
                <w:color w:val="auto"/>
              </w:rPr>
            </w:pPr>
            <w:r>
              <w:rPr>
                <w:rFonts w:ascii="Arial" w:cs="Arial" w:eastAsia="Arial" w:hAnsi="Arial"/>
                <w:sz w:val="18"/>
                <w:szCs w:val="18"/>
                <w:color w:val="auto"/>
              </w:rPr>
              <w:t>6.0%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five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Customer six</w:t>
            </w: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seven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Customer eight</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nine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Customer ten</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Year ended June 30, 2017</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Customer one</w:t>
            </w:r>
          </w:p>
        </w:tc>
        <w:tc>
          <w:tcPr>
            <w:tcW w:w="12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two</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Customer three</w:t>
            </w: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four</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Customer five</w:t>
            </w: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six</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Customer seven</w:t>
            </w: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Year ended June 30, 2016</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Customer one</w:t>
            </w:r>
          </w:p>
        </w:tc>
        <w:tc>
          <w:tcPr>
            <w:tcW w:w="1260" w:type="dxa"/>
            <w:vAlign w:val="bottom"/>
          </w:tcPr>
          <w:p>
            <w:pPr>
              <w:jc w:val="right"/>
              <w:spacing w:after="0"/>
              <w:rPr>
                <w:sz w:val="20"/>
                <w:szCs w:val="20"/>
                <w:color w:val="auto"/>
              </w:rPr>
            </w:pPr>
            <w:r>
              <w:rPr>
                <w:rFonts w:ascii="Arial" w:cs="Arial" w:eastAsia="Arial" w:hAnsi="Arial"/>
                <w:sz w:val="18"/>
                <w:szCs w:val="18"/>
                <w:color w:val="auto"/>
              </w:rPr>
              <w:t>14.8%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two</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Customer three</w:t>
            </w:r>
          </w:p>
        </w:tc>
        <w:tc>
          <w:tcPr>
            <w:tcW w:w="12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four</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Customer five</w:t>
            </w:r>
          </w:p>
        </w:tc>
        <w:tc>
          <w:tcPr>
            <w:tcW w:w="12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six</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Customer seven</w:t>
            </w: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eight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Customer nine</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ten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Customer eleven</w:t>
            </w: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240" w:top="337" w:right="5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Financial Data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June 30, 2018 and June 30, 2017</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533"/>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14"/>
                <w:szCs w:val="14"/>
                <w:color w:val="auto"/>
              </w:rPr>
            </w:pPr>
          </w:p>
        </w:tc>
        <w:tc>
          <w:tcPr>
            <w:tcW w:w="1320" w:type="dxa"/>
            <w:vAlign w:val="bottom"/>
          </w:tcPr>
          <w:p>
            <w:pPr>
              <w:jc w:val="right"/>
              <w:ind w:right="454"/>
              <w:spacing w:after="0"/>
              <w:rPr>
                <w:sz w:val="20"/>
                <w:szCs w:val="20"/>
                <w:color w:val="auto"/>
              </w:rPr>
            </w:pPr>
            <w:r>
              <w:rPr>
                <w:rFonts w:ascii="Arial" w:cs="Arial" w:eastAsia="Arial" w:hAnsi="Arial"/>
                <w:sz w:val="14"/>
                <w:szCs w:val="14"/>
                <w:b w:val="1"/>
                <w:bCs w:val="1"/>
                <w:color w:val="auto"/>
              </w:rPr>
              <w:t>Second</w:t>
            </w:r>
          </w:p>
        </w:tc>
        <w:tc>
          <w:tcPr>
            <w:tcW w:w="380" w:type="dxa"/>
            <w:vAlign w:val="bottom"/>
          </w:tcPr>
          <w:p>
            <w:pPr>
              <w:spacing w:after="0"/>
              <w:rPr>
                <w:sz w:val="14"/>
                <w:szCs w:val="14"/>
                <w:color w:val="auto"/>
              </w:rPr>
            </w:pPr>
          </w:p>
        </w:tc>
        <w:tc>
          <w:tcPr>
            <w:tcW w:w="1220" w:type="dxa"/>
            <w:vAlign w:val="bottom"/>
          </w:tcPr>
          <w:p>
            <w:pPr>
              <w:jc w:val="right"/>
              <w:ind w:right="513"/>
              <w:spacing w:after="0"/>
              <w:rPr>
                <w:sz w:val="20"/>
                <w:szCs w:val="20"/>
                <w:color w:val="auto"/>
              </w:rPr>
            </w:pPr>
            <w:r>
              <w:rPr>
                <w:rFonts w:ascii="Arial" w:cs="Arial" w:eastAsia="Arial" w:hAnsi="Arial"/>
                <w:sz w:val="14"/>
                <w:szCs w:val="14"/>
                <w:b w:val="1"/>
                <w:bCs w:val="1"/>
                <w:color w:val="auto"/>
              </w:rPr>
              <w:t>Third</w:t>
            </w:r>
          </w:p>
        </w:tc>
        <w:tc>
          <w:tcPr>
            <w:tcW w:w="360" w:type="dxa"/>
            <w:vAlign w:val="bottom"/>
          </w:tcPr>
          <w:p>
            <w:pPr>
              <w:spacing w:after="0"/>
              <w:rPr>
                <w:sz w:val="14"/>
                <w:szCs w:val="14"/>
                <w:color w:val="auto"/>
              </w:rPr>
            </w:pPr>
          </w:p>
        </w:tc>
        <w:tc>
          <w:tcPr>
            <w:tcW w:w="1180" w:type="dxa"/>
            <w:vAlign w:val="bottom"/>
          </w:tcPr>
          <w:p>
            <w:pPr>
              <w:jc w:val="right"/>
              <w:ind w:right="433"/>
              <w:spacing w:after="0"/>
              <w:rPr>
                <w:sz w:val="20"/>
                <w:szCs w:val="20"/>
                <w:color w:val="auto"/>
              </w:rPr>
            </w:pPr>
            <w:r>
              <w:rPr>
                <w:rFonts w:ascii="Arial" w:cs="Arial" w:eastAsia="Arial" w:hAnsi="Arial"/>
                <w:sz w:val="14"/>
                <w:szCs w:val="14"/>
                <w:b w:val="1"/>
                <w:bCs w:val="1"/>
                <w:color w:val="auto"/>
              </w:rPr>
              <w:t>Fourth</w:t>
            </w:r>
          </w:p>
        </w:tc>
      </w:t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Quarter</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Quarter</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Quarter</w:t>
            </w:r>
          </w:p>
        </w:tc>
      </w:tr>
      <w:tr>
        <w:trPr>
          <w:trHeight w:val="250"/>
        </w:trPr>
        <w:tc>
          <w:tcPr>
            <w:tcW w:w="5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20" w:type="dxa"/>
            <w:vAlign w:val="bottom"/>
            <w:gridSpan w:val="3"/>
          </w:tcPr>
          <w:p>
            <w:pPr>
              <w:jc w:val="right"/>
              <w:ind w:right="233"/>
              <w:spacing w:after="0"/>
              <w:rPr>
                <w:sz w:val="20"/>
                <w:szCs w:val="20"/>
                <w:color w:val="auto"/>
              </w:rPr>
            </w:pPr>
            <w:r>
              <w:rPr>
                <w:rFonts w:ascii="Arial" w:cs="Arial" w:eastAsia="Arial" w:hAnsi="Arial"/>
                <w:sz w:val="14"/>
                <w:szCs w:val="14"/>
                <w:b w:val="1"/>
                <w:bCs w:val="1"/>
                <w:color w:val="auto"/>
                <w:w w:val="92"/>
              </w:rPr>
              <w:t>(In thousands, except per share amounts)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2018</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269,910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282,911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245,645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293,087</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28,891</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26,703</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14,891</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21,451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7,321</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5,174</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(5,862)</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(17,112)</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3,824</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4,532</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Earnings (loss) per common share: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0.14</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0.17</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0.14</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0.17</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(0.19)</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2017</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341,781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312,655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251,237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291,836</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32,278</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28,212</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23,127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14,301</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8,237</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(21,210)</w:t>
            </w:r>
          </w:p>
        </w:tc>
        <w:tc>
          <w:tcPr>
            <w:tcW w:w="3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3,531</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Matrix Service Company</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9,342</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5,250</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(13,821)</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Earnings (loss) per common share: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0.35</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0.20</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0.35</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0.20</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(0.52)</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(0.04)</w:t>
            </w:r>
          </w:p>
        </w:tc>
      </w:tr>
    </w:tbl>
    <w:p>
      <w:pPr>
        <w:spacing w:after="0" w:line="32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The sum of earnings per share for the four quarters may not equal the total earnings per share for the year due to changes in the average number of common shares outstanding and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6604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2018, June 30, 2017, and June 30, 2016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w w:val="99"/>
              </w:rPr>
              <w:t>COL. C</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00" w:type="dxa"/>
            <w:vAlign w:val="bottom"/>
            <w:gridSpan w:val="2"/>
          </w:tcPr>
          <w:p>
            <w:pPr>
              <w:ind w:left="1820"/>
              <w:spacing w:after="0"/>
              <w:rPr>
                <w:sz w:val="20"/>
                <w:szCs w:val="20"/>
                <w:color w:val="auto"/>
              </w:rPr>
            </w:pPr>
            <w:r>
              <w:rPr>
                <w:rFonts w:ascii="Arial" w:cs="Arial" w:eastAsia="Arial" w:hAnsi="Arial"/>
                <w:sz w:val="16"/>
                <w:szCs w:val="16"/>
                <w:b w:val="1"/>
                <w:bCs w:val="1"/>
                <w:color w:val="auto"/>
              </w:rPr>
              <w:t>COL. A</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COL. B</w:t>
            </w:r>
          </w:p>
        </w:tc>
        <w:tc>
          <w:tcPr>
            <w:tcW w:w="160" w:type="dxa"/>
            <w:vAlign w:val="bottom"/>
          </w:tcPr>
          <w:p>
            <w:pPr>
              <w:spacing w:after="0"/>
              <w:rPr>
                <w:sz w:val="18"/>
                <w:szCs w:val="18"/>
                <w:color w:val="auto"/>
              </w:rPr>
            </w:pPr>
          </w:p>
        </w:tc>
        <w:tc>
          <w:tcPr>
            <w:tcW w:w="258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rPr>
              <w:t>ADDITIONS</w:t>
            </w:r>
          </w:p>
        </w:tc>
        <w:tc>
          <w:tcPr>
            <w:tcW w:w="120" w:type="dxa"/>
            <w:vAlign w:val="bottom"/>
          </w:tcPr>
          <w:p>
            <w:pPr>
              <w:spacing w:after="0"/>
              <w:rPr>
                <w:sz w:val="18"/>
                <w:szCs w:val="18"/>
                <w:color w:val="auto"/>
              </w:rPr>
            </w:pPr>
          </w:p>
        </w:tc>
        <w:tc>
          <w:tcPr>
            <w:tcW w:w="960" w:type="dxa"/>
            <w:vAlign w:val="bottom"/>
          </w:tcPr>
          <w:p>
            <w:pPr>
              <w:jc w:val="center"/>
              <w:ind w:right="34"/>
              <w:spacing w:after="0"/>
              <w:rPr>
                <w:sz w:val="20"/>
                <w:szCs w:val="20"/>
                <w:color w:val="auto"/>
              </w:rPr>
            </w:pPr>
            <w:r>
              <w:rPr>
                <w:rFonts w:ascii="Arial" w:cs="Arial" w:eastAsia="Arial" w:hAnsi="Arial"/>
                <w:sz w:val="16"/>
                <w:szCs w:val="16"/>
                <w:b w:val="1"/>
                <w:bCs w:val="1"/>
                <w:color w:val="auto"/>
              </w:rPr>
              <w:t>COL. D</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95"/>
              <w:spacing w:after="0"/>
              <w:rPr>
                <w:sz w:val="20"/>
                <w:szCs w:val="20"/>
                <w:color w:val="auto"/>
              </w:rPr>
            </w:pPr>
            <w:r>
              <w:rPr>
                <w:rFonts w:ascii="Arial" w:cs="Arial" w:eastAsia="Arial" w:hAnsi="Arial"/>
                <w:sz w:val="16"/>
                <w:szCs w:val="16"/>
                <w:b w:val="1"/>
                <w:bCs w:val="1"/>
                <w:color w:val="auto"/>
              </w:rPr>
              <w:t>COL. E</w:t>
            </w:r>
          </w:p>
        </w:tc>
        <w:tc>
          <w:tcPr>
            <w:tcW w:w="0" w:type="dxa"/>
            <w:vAlign w:val="bottom"/>
          </w:tcPr>
          <w:p>
            <w:pPr>
              <w:spacing w:after="0"/>
              <w:rPr>
                <w:sz w:val="1"/>
                <w:szCs w:val="1"/>
                <w:color w:val="auto"/>
              </w:rPr>
            </w:pPr>
          </w:p>
        </w:tc>
      </w:tr>
      <w:tr>
        <w:trPr>
          <w:trHeight w:val="33"/>
        </w:trPr>
        <w:tc>
          <w:tcPr>
            <w:tcW w:w="4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4"/>
              </w:rPr>
              <w:t>Balance at</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4"/>
              </w:rPr>
              <w:t>Charged to</w:t>
            </w:r>
          </w:p>
        </w:tc>
        <w:tc>
          <w:tcPr>
            <w:tcW w:w="160" w:type="dxa"/>
            <w:vAlign w:val="bottom"/>
          </w:tcPr>
          <w:p>
            <w:pPr>
              <w:spacing w:after="0"/>
              <w:rPr>
                <w:sz w:val="12"/>
                <w:szCs w:val="12"/>
                <w:color w:val="auto"/>
              </w:rPr>
            </w:pPr>
          </w:p>
        </w:tc>
        <w:tc>
          <w:tcPr>
            <w:tcW w:w="1380" w:type="dxa"/>
            <w:vAlign w:val="bottom"/>
            <w:gridSpan w:val="2"/>
          </w:tcPr>
          <w:p>
            <w:pPr>
              <w:jc w:val="center"/>
              <w:ind w:right="600"/>
              <w:spacing w:after="0" w:line="147" w:lineRule="exact"/>
              <w:rPr>
                <w:sz w:val="20"/>
                <w:szCs w:val="20"/>
                <w:color w:val="auto"/>
              </w:rPr>
            </w:pPr>
            <w:r>
              <w:rPr>
                <w:rFonts w:ascii="Arial" w:cs="Arial" w:eastAsia="Arial" w:hAnsi="Arial"/>
                <w:sz w:val="14"/>
                <w:szCs w:val="14"/>
                <w:b w:val="1"/>
                <w:bCs w:val="1"/>
                <w:color w:val="auto"/>
                <w:w w:val="94"/>
              </w:rPr>
              <w:t>Charged to</w:t>
            </w:r>
          </w:p>
        </w:tc>
        <w:tc>
          <w:tcPr>
            <w:tcW w:w="120" w:type="dxa"/>
            <w:vAlign w:val="bottom"/>
          </w:tcPr>
          <w:p>
            <w:pPr>
              <w:spacing w:after="0"/>
              <w:rPr>
                <w:sz w:val="12"/>
                <w:szCs w:val="12"/>
                <w:color w:val="auto"/>
              </w:rPr>
            </w:pPr>
          </w:p>
        </w:tc>
        <w:tc>
          <w:tcPr>
            <w:tcW w:w="96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3"/>
              </w:rPr>
              <w:t>Deductions—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Costs and</w:t>
            </w:r>
          </w:p>
        </w:tc>
        <w:tc>
          <w:tcPr>
            <w:tcW w:w="15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Other Accounts</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Period</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Expenses</w:t>
            </w:r>
          </w:p>
        </w:tc>
        <w:tc>
          <w:tcPr>
            <w:tcW w:w="160" w:type="dxa"/>
            <w:vAlign w:val="bottom"/>
          </w:tcPr>
          <w:p>
            <w:pPr>
              <w:spacing w:after="0"/>
              <w:rPr>
                <w:sz w:val="16"/>
                <w:szCs w:val="16"/>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—Describe</w:t>
            </w:r>
          </w:p>
        </w:tc>
        <w:tc>
          <w:tcPr>
            <w:tcW w:w="120" w:type="dxa"/>
            <w:vAlign w:val="bottom"/>
          </w:tcPr>
          <w:p>
            <w:pPr>
              <w:spacing w:after="0"/>
              <w:rPr>
                <w:sz w:val="16"/>
                <w:szCs w:val="16"/>
                <w:color w:val="auto"/>
              </w:rPr>
            </w:pPr>
          </w:p>
        </w:tc>
        <w:tc>
          <w:tcPr>
            <w:tcW w:w="960" w:type="dxa"/>
            <w:vAlign w:val="bottom"/>
          </w:tcPr>
          <w:p>
            <w:pPr>
              <w:jc w:val="center"/>
              <w:ind w:right="34"/>
              <w:spacing w:after="0"/>
              <w:rPr>
                <w:sz w:val="20"/>
                <w:szCs w:val="20"/>
                <w:color w:val="auto"/>
              </w:rPr>
            </w:pPr>
            <w:r>
              <w:rPr>
                <w:rFonts w:ascii="Arial" w:cs="Arial" w:eastAsia="Arial" w:hAnsi="Arial"/>
                <w:sz w:val="14"/>
                <w:szCs w:val="14"/>
                <w:b w:val="1"/>
                <w:bCs w:val="1"/>
                <w:color w:val="auto"/>
                <w:w w:val="87"/>
              </w:rPr>
              <w:t>Describe</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43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2018</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Deducted from asset accounts: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9,887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243"/>
        </w:trPr>
        <w:tc>
          <w:tcPr>
            <w:tcW w:w="4300" w:type="dxa"/>
            <w:vAlign w:val="bottom"/>
            <w:gridSpan w:val="2"/>
          </w:tcPr>
          <w:p>
            <w:pPr>
              <w:ind w:left="380"/>
              <w:spacing w:after="0"/>
              <w:rPr>
                <w:sz w:val="20"/>
                <w:szCs w:val="20"/>
                <w:color w:val="auto"/>
              </w:rPr>
            </w:pPr>
            <w:r>
              <w:rPr>
                <w:rFonts w:ascii="Arial" w:cs="Arial" w:eastAsia="Arial" w:hAnsi="Arial"/>
                <w:sz w:val="18"/>
                <w:szCs w:val="18"/>
                <w:color w:val="auto"/>
              </w:rPr>
              <w:t>Valuation reserve for deferred tax assets</w:t>
            </w: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(1,101)</w:t>
            </w:r>
          </w:p>
        </w:tc>
        <w:tc>
          <w:tcPr>
            <w:tcW w:w="540" w:type="dxa"/>
            <w:vAlign w:val="bottom"/>
          </w:tcPr>
          <w:p>
            <w:pPr>
              <w:ind w:left="40"/>
              <w:spacing w:after="0"/>
              <w:rPr>
                <w:sz w:val="20"/>
                <w:szCs w:val="20"/>
                <w:color w:val="auto"/>
              </w:rPr>
            </w:pPr>
            <w:r>
              <w:rPr>
                <w:rFonts w:ascii="Arial" w:cs="Arial" w:eastAsia="Arial" w:hAnsi="Arial"/>
                <w:sz w:val="18"/>
                <w:szCs w:val="18"/>
                <w:color w:val="auto"/>
              </w:rPr>
              <w:t>(B)</w:t>
            </w:r>
          </w:p>
        </w:tc>
        <w:tc>
          <w:tcPr>
            <w:tcW w:w="1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11,606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7,965</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Fiscal Year 2017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Deducted from asset accounts: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gridSpan w:val="2"/>
          </w:tcPr>
          <w:p>
            <w:pPr>
              <w:ind w:left="38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8,403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(264)</w:t>
            </w:r>
          </w:p>
        </w:tc>
        <w:tc>
          <w:tcPr>
            <w:tcW w:w="540" w:type="dxa"/>
            <w:vAlign w:val="bottom"/>
          </w:tcPr>
          <w:p>
            <w:pPr>
              <w:ind w:left="40"/>
              <w:spacing w:after="0"/>
              <w:rPr>
                <w:sz w:val="20"/>
                <w:szCs w:val="20"/>
                <w:color w:val="auto"/>
              </w:rPr>
            </w:pPr>
            <w:r>
              <w:rPr>
                <w:rFonts w:ascii="Arial" w:cs="Arial" w:eastAsia="Arial" w:hAnsi="Arial"/>
                <w:sz w:val="18"/>
                <w:szCs w:val="18"/>
                <w:color w:val="auto"/>
              </w:rPr>
              <w:t>(C)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9,887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Valuation reserve for deferred tax assets</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37"/>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8,827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5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11,606</w:t>
            </w:r>
          </w:p>
        </w:tc>
        <w:tc>
          <w:tcPr>
            <w:tcW w:w="0" w:type="dxa"/>
            <w:vAlign w:val="bottom"/>
          </w:tcPr>
          <w:p>
            <w:pPr>
              <w:spacing w:after="0"/>
              <w:rPr>
                <w:sz w:val="1"/>
                <w:szCs w:val="1"/>
                <w:color w:val="auto"/>
              </w:rPr>
            </w:pPr>
          </w:p>
        </w:tc>
      </w:tr>
      <w:tr>
        <w:trPr>
          <w:trHeight w:val="67"/>
        </w:trPr>
        <w:tc>
          <w:tcPr>
            <w:tcW w:w="41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30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Fiscal Year 2016</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Deducted from asset accounts: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1,808  (D)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8,403</w:t>
            </w:r>
          </w:p>
        </w:tc>
        <w:tc>
          <w:tcPr>
            <w:tcW w:w="0" w:type="dxa"/>
            <w:vAlign w:val="bottom"/>
          </w:tcPr>
          <w:p>
            <w:pPr>
              <w:spacing w:after="0"/>
              <w:rPr>
                <w:sz w:val="1"/>
                <w:szCs w:val="1"/>
                <w:color w:val="auto"/>
              </w:rPr>
            </w:pPr>
          </w:p>
        </w:tc>
      </w:tr>
      <w:tr>
        <w:trPr>
          <w:trHeight w:val="243"/>
        </w:trPr>
        <w:tc>
          <w:tcPr>
            <w:tcW w:w="4300" w:type="dxa"/>
            <w:vAlign w:val="bottom"/>
            <w:gridSpan w:val="2"/>
          </w:tcPr>
          <w:p>
            <w:pPr>
              <w:ind w:left="380"/>
              <w:spacing w:after="0"/>
              <w:rPr>
                <w:sz w:val="20"/>
                <w:szCs w:val="20"/>
                <w:color w:val="auto"/>
              </w:rPr>
            </w:pPr>
            <w:r>
              <w:rPr>
                <w:rFonts w:ascii="Arial" w:cs="Arial" w:eastAsia="Arial" w:hAnsi="Arial"/>
                <w:sz w:val="18"/>
                <w:szCs w:val="18"/>
                <w:color w:val="auto"/>
              </w:rPr>
              <w:t>Valuation reserve for deferred tax assets</w:t>
            </w: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1,808</w:t>
            </w: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8,827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40" w:hanging="316"/>
        <w:spacing w:after="0" w:line="250" w:lineRule="auto"/>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Relates to the reversal of reserved account receivable that was fully settled with cash and future backlog. See Note 4 - Goodwill and Other Intangible Assets for more information about the settlement.</w:t>
      </w:r>
    </w:p>
    <w:p>
      <w:pPr>
        <w:ind w:left="540" w:right="100" w:hanging="316"/>
        <w:spacing w:after="0" w:line="241" w:lineRule="auto"/>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Relates to $795 of stock-based compensation expense recognized in fiscal 2018 that was not deductible for tax purposes due to not meeting a market condition vesting requirement and to $306 of foreign tax credits that expired.</w:t>
      </w:r>
    </w:p>
    <w:p>
      <w:pPr>
        <w:ind w:left="540" w:right="260" w:hanging="316"/>
        <w:spacing w:after="0" w:line="241" w:lineRule="auto"/>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Relates to a $180 receivable written off against allowance for doubtful accounts, a $60 reclassification of reserves to billings on uncompleted contracts in excess of costs and estimated earnings and a $24 currency translation adjustment.</w:t>
      </w:r>
    </w:p>
    <w:p>
      <w:pPr>
        <w:ind w:left="540" w:hanging="316"/>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Relates to a reclassification of reserves that were initially recorded in billings on uncompleted contracts in excess of costs and estimated earnings.</w:t>
      </w:r>
    </w:p>
    <w:p>
      <w:pPr>
        <w:spacing w:after="0" w:line="1" w:lineRule="exact"/>
        <w:rPr>
          <w:rFonts w:ascii="Arial" w:cs="Arial" w:eastAsia="Arial" w:hAnsi="Arial"/>
          <w:sz w:val="14"/>
          <w:szCs w:val="14"/>
          <w:color w:val="auto"/>
        </w:rPr>
      </w:pPr>
    </w:p>
    <w:p>
      <w:pPr>
        <w:ind w:left="540" w:hanging="316"/>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Receivables written off against 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-826135</wp:posOffset>
            </wp:positionV>
            <wp:extent cx="6604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125" w:right="2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3980"/>
        <w:spacing w:after="0" w:line="470"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June 30, 2018. Based on the foregoing, our Chief Executive Officer and Chief Financial Officer concluded that our disclosure controls and procedures were effective at the reasonable assurance level at June 30,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“Management’s Report on Internal Control over Financial Reporting” set forth in Item 8, Financial Statements and Supplementary Data of this Annual Report on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during the fourth fiscal quarter that materially affected, or are reasonably likely to materially affect, our internal control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information required by this item with respect to the Company’s directors and corporate governance is incorporated herein by reference to the sections entitled “Proposal Number 1: Election of Directors” and “Corporate Governance and Board Matters” in the Company’s definitive Proxy Statement for the 2018 Annual Meeting of Stockholders (“Proxy Statement”). The information required by this item with respect to the Company’s executive officers is incorporated herein by reference to the section entitled “Executive Officer Information” in the Proxy Statement. The information required by this item with respect to the Section 16 ownership reports is incorporated herein by reference to the section entitled “Section 16(a) Beneficial Ownership Reporting Compliance” in the Proxy Statement.</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has adopted a Code of Business Conduct and Ethics applicable to all directors, officers and employees, including the principal executive officer, principal financial officer and principal accounting officer of the Company. In addition, we have adopted Corporate Governance Guidelines for the Board of Directors and Charters for the Audit, Compensation and Nominating and Corporate Governance Committees of the Board of Directors. The current version of these corporate governance documents is publicly available in the “Investors” section of the Company’s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 xml:space="preserve"> under “Corporate Governance.” If we make any substantive amendments to the Code of Business Conduct and Ethics, or grant any waivers, including implicit waivers, from the Code of Business Conduct and Ethics applicable to the principal executive officer, principal financial officer or principal accounting officer, or any person performing similar functions, we will disclose such amendment or waiver on our website or in a report on Form 8-K.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“Director Compensation” and “Executive Officer Compensation” in the Proxy Statement.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“Securities Authorized for Issuance Under Executive Compensation Plans” and “Security Ownership of Certain Beneficial Owners and Management” in the Proxy Statement.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"Corporate Governance and Board Matters" and “Certain Relationships and Related Transactions” in the Proxy Statement.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“Fees of Independent Registered Public Accounting Firm” and “Audit Committee Pre-Approval Policy” in the Proxy Statement.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Statements of the Company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financial statements and supplementary data are filed as a part of this report under “Item 8—Financial Statements and Supplementary Data” in this Annual Report on Form 10-K:</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1180" w:type="dxa"/>
            <w:vAlign w:val="bottom"/>
            <w:gridSpan w:val="13"/>
          </w:tcPr>
          <w:p>
            <w:pPr>
              <w:spacing w:after="0"/>
              <w:rPr>
                <w:sz w:val="20"/>
                <w:szCs w:val="20"/>
                <w:color w:val="auto"/>
              </w:rPr>
            </w:pPr>
            <w:r>
              <w:rPr>
                <w:rFonts w:ascii="Arial" w:cs="Arial" w:eastAsia="Arial" w:hAnsi="Arial"/>
                <w:sz w:val="18"/>
                <w:szCs w:val="18"/>
                <w:color w:val="auto"/>
              </w:rPr>
              <w:t>Financial Statements of the Company</w:t>
            </w:r>
          </w:p>
        </w:tc>
        <w:tc>
          <w:tcPr>
            <w:tcW w:w="180" w:type="dxa"/>
            <w:vAlign w:val="bottom"/>
          </w:tcPr>
          <w:p>
            <w:pPr>
              <w:spacing w:after="0"/>
              <w:rPr>
                <w:sz w:val="20"/>
                <w:szCs w:val="20"/>
                <w:color w:val="auto"/>
              </w:rPr>
            </w:pPr>
          </w:p>
        </w:tc>
      </w:tr>
      <w:tr>
        <w:trPr>
          <w:trHeight w:val="351"/>
        </w:trPr>
        <w:tc>
          <w:tcPr>
            <w:tcW w:w="340" w:type="dxa"/>
            <w:vAlign w:val="bottom"/>
          </w:tcPr>
          <w:p>
            <w:pPr>
              <w:spacing w:after="0"/>
              <w:rPr>
                <w:sz w:val="24"/>
                <w:szCs w:val="24"/>
                <w:color w:val="auto"/>
              </w:rPr>
            </w:pPr>
          </w:p>
        </w:tc>
        <w:tc>
          <w:tcPr>
            <w:tcW w:w="49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Management’s Report on Internal Control Over Financial Reporting</w:t>
              </w:r>
            </w:hyperlink>
          </w:p>
        </w:tc>
        <w:tc>
          <w:tcPr>
            <w:tcW w:w="5920" w:type="dxa"/>
            <w:vAlign w:val="bottom"/>
            <w:gridSpan w:val="6"/>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41</w:t>
              </w:r>
            </w:hyperlink>
          </w:p>
        </w:tc>
      </w:tr>
      <w:tr>
        <w:trPr>
          <w:trHeight w:val="372"/>
        </w:trPr>
        <w:tc>
          <w:tcPr>
            <w:tcW w:w="340" w:type="dxa"/>
            <w:vAlign w:val="bottom"/>
          </w:tcPr>
          <w:p>
            <w:pPr>
              <w:spacing w:after="0"/>
              <w:rPr>
                <w:sz w:val="24"/>
                <w:szCs w:val="24"/>
                <w:color w:val="auto"/>
              </w:rPr>
            </w:pPr>
          </w:p>
        </w:tc>
        <w:tc>
          <w:tcPr>
            <w:tcW w:w="10840" w:type="dxa"/>
            <w:vAlign w:val="bottom"/>
            <w:gridSpan w:val="12"/>
          </w:tcPr>
          <w:p>
            <w:pPr>
              <w:spacing w:after="0"/>
              <w:rPr>
                <w:sz w:val="20"/>
                <w:szCs w:val="20"/>
                <w:color w:val="auto"/>
              </w:rPr>
            </w:pPr>
            <w:r>
              <w:rPr>
                <w:rFonts w:ascii="Arial" w:cs="Arial" w:eastAsia="Arial" w:hAnsi="Arial"/>
                <w:sz w:val="18"/>
                <w:szCs w:val="18"/>
                <w:color w:val="0000EE"/>
              </w:rPr>
              <w:t>Reports of Independent Registered Public Accounting Firm (Deloitte &amp; Touche LLP)</w:t>
            </w:r>
          </w:p>
        </w:tc>
        <w:tc>
          <w:tcPr>
            <w:tcW w:w="180" w:type="dxa"/>
            <w:vAlign w:val="bottom"/>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42</w:t>
              </w:r>
            </w:hyperlink>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802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Consolidated Statements of Income for the Fiscal Years Ended June 30, 2018, June 30, 2017 and June 30, 2016</w:t>
              </w:r>
            </w:hyperlink>
          </w:p>
        </w:tc>
        <w:tc>
          <w:tcPr>
            <w:tcW w:w="2820" w:type="dxa"/>
            <w:vAlign w:val="bottom"/>
            <w:gridSpan w:val="4"/>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44</w:t>
              </w:r>
            </w:hyperlink>
          </w:p>
        </w:tc>
      </w:tr>
      <w:tr>
        <w:trPr>
          <w:trHeight w:val="372"/>
        </w:trPr>
        <w:tc>
          <w:tcPr>
            <w:tcW w:w="340" w:type="dxa"/>
            <w:vAlign w:val="bottom"/>
          </w:tcPr>
          <w:p>
            <w:pPr>
              <w:spacing w:after="0"/>
              <w:rPr>
                <w:sz w:val="24"/>
                <w:szCs w:val="24"/>
                <w:color w:val="auto"/>
              </w:rPr>
            </w:pPr>
          </w:p>
        </w:tc>
        <w:tc>
          <w:tcPr>
            <w:tcW w:w="10840" w:type="dxa"/>
            <w:vAlign w:val="bottom"/>
            <w:gridSpan w:val="1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Consolidated Statements of Comprehensive Income for the Fiscal Years Ended June 30, 2018, June 30, 2017 and June 30,</w:t>
              </w:r>
            </w:hyperlink>
          </w:p>
        </w:tc>
        <w:tc>
          <w:tcPr>
            <w:tcW w:w="18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6">
              <w:r>
                <w:rPr>
                  <w:rFonts w:ascii="Arial" w:cs="Arial" w:eastAsia="Arial" w:hAnsi="Arial"/>
                  <w:sz w:val="18"/>
                  <w:szCs w:val="18"/>
                  <w:color w:val="0000EE"/>
                  <w:w w:val="84"/>
                </w:rPr>
                <w:t>2016</w:t>
              </w:r>
            </w:hyperlink>
          </w:p>
        </w:tc>
        <w:tc>
          <w:tcPr>
            <w:tcW w:w="6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45</w:t>
              </w:r>
            </w:hyperlink>
          </w:p>
        </w:tc>
      </w:tr>
      <w:tr>
        <w:trPr>
          <w:trHeight w:val="372"/>
        </w:trPr>
        <w:tc>
          <w:tcPr>
            <w:tcW w:w="340" w:type="dxa"/>
            <w:vAlign w:val="bottom"/>
          </w:tcPr>
          <w:p>
            <w:pPr>
              <w:spacing w:after="0"/>
              <w:rPr>
                <w:sz w:val="24"/>
                <w:szCs w:val="24"/>
                <w:color w:val="auto"/>
              </w:rPr>
            </w:pPr>
          </w:p>
        </w:tc>
        <w:tc>
          <w:tcPr>
            <w:tcW w:w="49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Consolidated Balance Sheets as of June 30, 2018 and June 30, 2017</w:t>
              </w:r>
            </w:hyperlink>
          </w:p>
        </w:tc>
        <w:tc>
          <w:tcPr>
            <w:tcW w:w="5940" w:type="dxa"/>
            <w:vAlign w:val="bottom"/>
            <w:gridSpan w:val="7"/>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46</w:t>
              </w:r>
            </w:hyperlink>
          </w:p>
        </w:tc>
      </w:tr>
      <w:tr>
        <w:trPr>
          <w:trHeight w:val="372"/>
        </w:trPr>
        <w:tc>
          <w:tcPr>
            <w:tcW w:w="340" w:type="dxa"/>
            <w:vAlign w:val="bottom"/>
          </w:tcPr>
          <w:p>
            <w:pPr>
              <w:spacing w:after="0"/>
              <w:rPr>
                <w:sz w:val="24"/>
                <w:szCs w:val="24"/>
                <w:color w:val="auto"/>
              </w:rPr>
            </w:pPr>
          </w:p>
        </w:tc>
        <w:tc>
          <w:tcPr>
            <w:tcW w:w="10840" w:type="dxa"/>
            <w:vAlign w:val="bottom"/>
            <w:gridSpan w:val="1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Statements of Cash Flows for the Fiscal Years Ended June 30, 2018, June 30, 2017 and June 30, 2016</w:t>
              </w:r>
            </w:hyperlink>
          </w:p>
        </w:tc>
        <w:tc>
          <w:tcPr>
            <w:tcW w:w="180" w:type="dxa"/>
            <w:vAlign w:val="bottom"/>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48</w:t>
              </w:r>
            </w:hyperlink>
          </w:p>
        </w:tc>
      </w:tr>
      <w:tr>
        <w:trPr>
          <w:trHeight w:val="20"/>
        </w:trPr>
        <w:tc>
          <w:tcPr>
            <w:tcW w:w="34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5120" w:type="dxa"/>
            <w:vAlign w:val="bottom"/>
            <w:gridSpan w:val="5"/>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0840" w:type="dxa"/>
            <w:vAlign w:val="bottom"/>
            <w:gridSpan w:val="1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Statements of Changes in Stockholders’ Equity for the Fiscal Years Ended June 30, 2018, June 30, 2017 and</w:t>
              </w:r>
            </w:hyperlink>
          </w:p>
        </w:tc>
        <w:tc>
          <w:tcPr>
            <w:tcW w:w="18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June 30, 2016</w:t>
              </w:r>
            </w:hyperlink>
          </w:p>
        </w:tc>
        <w:tc>
          <w:tcPr>
            <w:tcW w:w="7780" w:type="dxa"/>
            <w:vAlign w:val="bottom"/>
            <w:tcBorders>
              <w:top w:val="single" w:sz="8" w:color="0000EE"/>
            </w:tcBorders>
            <w:gridSpan w:val="9"/>
          </w:tcPr>
          <w:p>
            <w:pPr>
              <w:spacing w:after="0"/>
              <w:rPr>
                <w:sz w:val="17"/>
                <w:szCs w:val="17"/>
                <w:color w:val="auto"/>
              </w:rPr>
            </w:pPr>
          </w:p>
        </w:tc>
        <w:tc>
          <w:tcPr>
            <w:tcW w:w="20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50</w:t>
              </w:r>
            </w:hyperlink>
          </w:p>
        </w:tc>
      </w:tr>
      <w:tr>
        <w:trPr>
          <w:trHeight w:val="372"/>
        </w:trPr>
        <w:tc>
          <w:tcPr>
            <w:tcW w:w="340" w:type="dxa"/>
            <w:vAlign w:val="bottom"/>
          </w:tcPr>
          <w:p>
            <w:pPr>
              <w:spacing w:after="0"/>
              <w:rPr>
                <w:sz w:val="24"/>
                <w:szCs w:val="24"/>
                <w:color w:val="auto"/>
              </w:rPr>
            </w:pPr>
          </w:p>
        </w:tc>
        <w:tc>
          <w:tcPr>
            <w:tcW w:w="32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Notes to Consolidated Financial Statements</w:t>
              </w:r>
            </w:hyperlink>
          </w:p>
        </w:tc>
        <w:tc>
          <w:tcPr>
            <w:tcW w:w="7640" w:type="dxa"/>
            <w:vAlign w:val="bottom"/>
            <w:gridSpan w:val="8"/>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51</w:t>
              </w:r>
            </w:hyperlink>
          </w:p>
        </w:tc>
      </w:tr>
      <w:tr>
        <w:trPr>
          <w:trHeight w:val="372"/>
        </w:trPr>
        <w:tc>
          <w:tcPr>
            <w:tcW w:w="27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Quarterly Financial Data (Unaudited)</w:t>
              </w:r>
            </w:hyperlink>
          </w:p>
        </w:tc>
        <w:tc>
          <w:tcPr>
            <w:tcW w:w="8480" w:type="dxa"/>
            <w:vAlign w:val="bottom"/>
            <w:gridSpan w:val="9"/>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77</w:t>
              </w:r>
            </w:hyperlink>
          </w:p>
        </w:tc>
      </w:tr>
      <w:tr>
        <w:trPr>
          <w:trHeight w:val="372"/>
        </w:trPr>
        <w:tc>
          <w:tcPr>
            <w:tcW w:w="11180" w:type="dxa"/>
            <w:vAlign w:val="bottom"/>
            <w:gridSpan w:val="13"/>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Schedule II—Valuation and Qualifying Accounts</w:t>
              </w:r>
            </w:hyperlink>
          </w:p>
        </w:tc>
        <w:tc>
          <w:tcPr>
            <w:tcW w:w="180" w:type="dxa"/>
            <w:vAlign w:val="bottom"/>
          </w:tcPr>
          <w:p>
            <w:pPr>
              <w:jc w:val="right"/>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78</w:t>
              </w:r>
            </w:hyperlink>
          </w:p>
        </w:tc>
      </w:tr>
      <w:tr>
        <w:trPr>
          <w:trHeight w:val="20"/>
        </w:trPr>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Financial Statement Schedules</w:t>
      </w:r>
    </w:p>
    <w:p>
      <w:pPr>
        <w:spacing w:after="0" w:line="1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financial statement schedule is filed as a part of this report under Schedule II—Valuation and Qualifying Accounts June 30, 2018, June 30, 2017 and June 30, 2016, immediately following Quarterly Financial Data (Unaudited). All other schedules are omitted because they are not applicable or the required information is shown in the financial statements, or notes thereto, included herein.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60" w:right="20" w:firstLine="164"/>
        <w:spacing w:after="0" w:line="282" w:lineRule="auto"/>
        <w:tabs>
          <w:tab w:leader="none" w:pos="477"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The following documents are included as exhibits to this Annual Report on Form 10-K. These exhibits below incorporated by reference herein are indicated as such by the information supplied in the parenthetical hereafter.</w:t>
      </w:r>
    </w:p>
    <w:p>
      <w:pPr>
        <w:spacing w:after="0" w:line="112" w:lineRule="exact"/>
        <w:rPr>
          <w:sz w:val="20"/>
          <w:szCs w:val="20"/>
          <w:color w:val="auto"/>
        </w:rPr>
      </w:pPr>
    </w:p>
    <w:p>
      <w:pPr>
        <w:ind w:left="1340" w:right="100" w:hanging="341"/>
        <w:spacing w:after="0" w:line="264" w:lineRule="auto"/>
        <w:tabs>
          <w:tab w:leader="none" w:pos="1340" w:val="left"/>
        </w:tabs>
        <w:numPr>
          <w:ilvl w:val="0"/>
          <w:numId w:val="44"/>
        </w:numPr>
        <w:rPr>
          <w:rFonts w:ascii="Arial" w:cs="Arial" w:eastAsia="Arial" w:hAnsi="Arial"/>
          <w:sz w:val="18"/>
          <w:szCs w:val="18"/>
          <w:u w:val="single" w:color="auto"/>
          <w:color w:val="0000FF"/>
        </w:rPr>
      </w:pPr>
      <w:hyperlink r:id="rId33">
        <w:r>
          <w:rPr>
            <w:rFonts w:ascii="Arial" w:cs="Arial" w:eastAsia="Arial" w:hAnsi="Arial"/>
            <w:sz w:val="18"/>
            <w:szCs w:val="18"/>
            <w:u w:val="single" w:color="auto"/>
            <w:color w:val="0000FF"/>
          </w:rPr>
          <w:t>Membership Interest Purchase Agreement dated as of December 12, 2016 among Matrix PDM Engineering, Inc., as purchaser, the C.</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Douglas Houston Revocable Trust U/T/A dated November 21, 2016, as seller, and C. Douglas Houston, as seller representative (Exhibit 2</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to the Company's Current Report on Form 8-K filed December 16, 2016 (File No. 1-15461).</w:t>
        </w:r>
      </w:hyperlink>
    </w:p>
    <w:p>
      <w:pPr>
        <w:spacing w:after="0" w:line="141" w:lineRule="exact"/>
        <w:rPr>
          <w:rFonts w:ascii="Arial" w:cs="Arial" w:eastAsia="Arial" w:hAnsi="Arial"/>
          <w:sz w:val="18"/>
          <w:szCs w:val="18"/>
          <w:u w:val="single" w:color="auto"/>
          <w:color w:val="0000FF"/>
        </w:rPr>
      </w:pPr>
    </w:p>
    <w:p>
      <w:pPr>
        <w:ind w:left="1340" w:right="380" w:hanging="480"/>
        <w:spacing w:after="0" w:line="277" w:lineRule="auto"/>
        <w:tabs>
          <w:tab w:leader="none" w:pos="1320" w:val="left"/>
        </w:tabs>
        <w:rPr>
          <w:rFonts w:ascii="Arial" w:cs="Arial" w:eastAsia="Arial" w:hAnsi="Arial"/>
          <w:sz w:val="18"/>
          <w:szCs w:val="18"/>
          <w:color w:val="0000FF"/>
        </w:rPr>
      </w:pPr>
      <w:r>
        <w:rPr>
          <w:rFonts w:ascii="Arial" w:cs="Arial" w:eastAsia="Arial" w:hAnsi="Arial"/>
          <w:sz w:val="18"/>
          <w:szCs w:val="18"/>
          <w:color w:val="auto"/>
        </w:rPr>
        <w:t>3.1</w:t>
      </w:r>
      <w:r>
        <w:rPr>
          <w:sz w:val="20"/>
          <w:szCs w:val="20"/>
          <w:color w:val="auto"/>
        </w:rPr>
        <w:tab/>
      </w:r>
      <w:hyperlink r:id="rId34">
        <w:r>
          <w:rPr>
            <w:rFonts w:ascii="Arial" w:cs="Arial" w:eastAsia="Arial" w:hAnsi="Arial"/>
            <w:sz w:val="18"/>
            <w:szCs w:val="18"/>
            <w:u w:val="single" w:color="auto"/>
            <w:color w:val="0000FF"/>
          </w:rPr>
          <w:t>Amended and Restated Certificate of Incorporation of Matrix Service Company (Appendix A to the Company's Proxy Statement filed</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October 7, 2016 (File No. 1-15461)</w:t>
        </w:r>
        <w:r>
          <w:rPr>
            <w:rFonts w:ascii="Arial" w:cs="Arial" w:eastAsia="Arial" w:hAnsi="Arial"/>
            <w:sz w:val="18"/>
            <w:szCs w:val="18"/>
            <w:color w:val="000000"/>
          </w:rPr>
          <w:t>.</w:t>
        </w:r>
      </w:hyperlink>
    </w:p>
    <w:p>
      <w:pPr>
        <w:spacing w:after="0" w:line="130" w:lineRule="exact"/>
        <w:rPr>
          <w:sz w:val="20"/>
          <w:szCs w:val="20"/>
          <w:color w:val="auto"/>
        </w:rPr>
      </w:pPr>
    </w:p>
    <w:p>
      <w:pPr>
        <w:ind w:left="1340" w:right="420" w:hanging="480"/>
        <w:spacing w:after="0" w:line="277" w:lineRule="auto"/>
        <w:tabs>
          <w:tab w:leader="none" w:pos="1320" w:val="left"/>
        </w:tabs>
        <w:rPr>
          <w:rFonts w:ascii="Arial" w:cs="Arial" w:eastAsia="Arial" w:hAnsi="Arial"/>
          <w:sz w:val="18"/>
          <w:szCs w:val="18"/>
          <w:color w:val="0000FF"/>
        </w:rPr>
      </w:pPr>
      <w:r>
        <w:rPr>
          <w:rFonts w:ascii="Arial" w:cs="Arial" w:eastAsia="Arial" w:hAnsi="Arial"/>
          <w:sz w:val="18"/>
          <w:szCs w:val="18"/>
          <w:color w:val="auto"/>
        </w:rPr>
        <w:t>3.2</w:t>
      </w:r>
      <w:r>
        <w:rPr>
          <w:sz w:val="20"/>
          <w:szCs w:val="20"/>
          <w:color w:val="auto"/>
        </w:rPr>
        <w:tab/>
      </w:r>
      <w:hyperlink r:id="rId35">
        <w:r>
          <w:rPr>
            <w:rFonts w:ascii="Arial" w:cs="Arial" w:eastAsia="Arial" w:hAnsi="Arial"/>
            <w:sz w:val="18"/>
            <w:szCs w:val="18"/>
            <w:u w:val="single" w:color="auto"/>
            <w:color w:val="0000FF"/>
          </w:rPr>
          <w:t>Certification of Designations, Preferences and Rights of Series B Junior Preferred Stock dated November 12, 1999 (Exhibit 3.2 to the</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Company’s Registration Statement on Form S-3 (File No. 333-117077) filed July 1, 2004</w:t>
        </w:r>
        <w:r>
          <w:rPr>
            <w:rFonts w:ascii="Arial" w:cs="Arial" w:eastAsia="Arial" w:hAnsi="Arial"/>
            <w:sz w:val="18"/>
            <w:szCs w:val="18"/>
            <w:color w:val="000000"/>
          </w:rPr>
          <w:t>.</w:t>
        </w:r>
      </w:hyperlink>
    </w:p>
    <w:p>
      <w:pPr>
        <w:spacing w:after="0" w:line="130" w:lineRule="exact"/>
        <w:rPr>
          <w:sz w:val="20"/>
          <w:szCs w:val="20"/>
          <w:color w:val="auto"/>
        </w:rPr>
      </w:pPr>
    </w:p>
    <w:p>
      <w:pPr>
        <w:ind w:left="1340" w:right="160" w:hanging="480"/>
        <w:spacing w:after="0" w:line="264" w:lineRule="auto"/>
        <w:tabs>
          <w:tab w:leader="none" w:pos="1320" w:val="left"/>
        </w:tabs>
        <w:rPr>
          <w:rFonts w:ascii="Arial" w:cs="Arial" w:eastAsia="Arial" w:hAnsi="Arial"/>
          <w:sz w:val="18"/>
          <w:szCs w:val="18"/>
          <w:color w:val="0000FF"/>
        </w:rPr>
      </w:pPr>
      <w:r>
        <w:rPr>
          <w:rFonts w:ascii="Arial" w:cs="Arial" w:eastAsia="Arial" w:hAnsi="Arial"/>
          <w:sz w:val="18"/>
          <w:szCs w:val="18"/>
          <w:color w:val="auto"/>
        </w:rPr>
        <w:t>3.3</w:t>
      </w:r>
      <w:r>
        <w:rPr>
          <w:sz w:val="20"/>
          <w:szCs w:val="20"/>
          <w:color w:val="auto"/>
        </w:rPr>
        <w:tab/>
      </w:r>
      <w:hyperlink r:id="rId36">
        <w:r>
          <w:rPr>
            <w:rFonts w:ascii="Arial" w:cs="Arial" w:eastAsia="Arial" w:hAnsi="Arial"/>
            <w:sz w:val="18"/>
            <w:szCs w:val="18"/>
            <w:u w:val="single" w:color="auto"/>
            <w:color w:val="0000FF"/>
          </w:rPr>
          <w:t>Certificate of Increase of Authorized Number of Shares of Series B Junior Participating Preferred Stock pursuant to Section 151 of the</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General Corporation Law of the State of Delaware dated July 11, 2005 (Exhibit 3.5 to the Company’s Annual Report on Form 10-K (File</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No. 1-15461) filed August 17, 2005)</w:t>
        </w:r>
        <w:r>
          <w:rPr>
            <w:rFonts w:ascii="Arial" w:cs="Arial" w:eastAsia="Arial" w:hAnsi="Arial"/>
            <w:sz w:val="18"/>
            <w:szCs w:val="18"/>
            <w:color w:val="000000"/>
          </w:rPr>
          <w:t>.</w:t>
        </w:r>
      </w:hyperlink>
    </w:p>
    <w:p>
      <w:pPr>
        <w:spacing w:after="0" w:line="141" w:lineRule="exact"/>
        <w:rPr>
          <w:rFonts w:ascii="Arial" w:cs="Arial" w:eastAsia="Arial" w:hAnsi="Arial"/>
          <w:sz w:val="18"/>
          <w:szCs w:val="18"/>
          <w:u w:val="single" w:color="auto"/>
          <w:color w:val="0000FF"/>
        </w:rPr>
      </w:pPr>
    </w:p>
    <w:p>
      <w:pPr>
        <w:ind w:left="1340" w:right="260" w:hanging="480"/>
        <w:spacing w:after="0" w:line="264" w:lineRule="auto"/>
        <w:tabs>
          <w:tab w:leader="none" w:pos="1320" w:val="left"/>
        </w:tabs>
        <w:rPr>
          <w:rFonts w:ascii="Arial" w:cs="Arial" w:eastAsia="Arial" w:hAnsi="Arial"/>
          <w:sz w:val="18"/>
          <w:szCs w:val="18"/>
          <w:color w:val="0000FF"/>
        </w:rPr>
      </w:pPr>
      <w:r>
        <w:rPr>
          <w:rFonts w:ascii="Arial" w:cs="Arial" w:eastAsia="Arial" w:hAnsi="Arial"/>
          <w:sz w:val="18"/>
          <w:szCs w:val="18"/>
          <w:color w:val="auto"/>
        </w:rPr>
        <w:t>3.4</w:t>
      </w:r>
      <w:r>
        <w:rPr>
          <w:sz w:val="20"/>
          <w:szCs w:val="20"/>
          <w:color w:val="auto"/>
        </w:rPr>
        <w:tab/>
      </w:r>
      <w:hyperlink r:id="rId37">
        <w:r>
          <w:rPr>
            <w:rFonts w:ascii="Arial" w:cs="Arial" w:eastAsia="Arial" w:hAnsi="Arial"/>
            <w:sz w:val="18"/>
            <w:szCs w:val="18"/>
            <w:u w:val="single" w:color="auto"/>
            <w:color w:val="0000FF"/>
          </w:rPr>
          <w:t>Certificate of Increase of Authorized Number of Shares of Series B Junior Participating Preferred Stock pursuant to Section 151 of the</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General Corporation Law of the State of Delaware dated October 23, 2006 (Exhibit 3.7 to the Company’s Annual Report on Form 10-K</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(File No. 1-15461) filed August 14, 2007)</w:t>
        </w:r>
        <w:r>
          <w:rPr>
            <w:rFonts w:ascii="Arial" w:cs="Arial" w:eastAsia="Arial" w:hAnsi="Arial"/>
            <w:sz w:val="18"/>
            <w:szCs w:val="18"/>
            <w:color w:val="000000"/>
          </w:rPr>
          <w:t>.</w:t>
        </w:r>
      </w:hyperlink>
    </w:p>
    <w:p>
      <w:pPr>
        <w:spacing w:after="0" w:line="141" w:lineRule="exact"/>
        <w:rPr>
          <w:rFonts w:ascii="Arial" w:cs="Arial" w:eastAsia="Arial" w:hAnsi="Arial"/>
          <w:sz w:val="18"/>
          <w:szCs w:val="18"/>
          <w:u w:val="single" w:color="auto"/>
          <w:color w:val="0000FF"/>
        </w:rPr>
      </w:pPr>
    </w:p>
    <w:p>
      <w:pPr>
        <w:ind w:left="1340" w:right="200" w:hanging="480"/>
        <w:spacing w:after="0" w:line="277" w:lineRule="auto"/>
        <w:tabs>
          <w:tab w:leader="none" w:pos="1320" w:val="left"/>
        </w:tabs>
        <w:rPr>
          <w:rFonts w:ascii="Arial" w:cs="Arial" w:eastAsia="Arial" w:hAnsi="Arial"/>
          <w:sz w:val="18"/>
          <w:szCs w:val="18"/>
          <w:color w:val="0000FF"/>
        </w:rPr>
      </w:pPr>
      <w:r>
        <w:rPr>
          <w:rFonts w:ascii="Arial" w:cs="Arial" w:eastAsia="Arial" w:hAnsi="Arial"/>
          <w:sz w:val="18"/>
          <w:szCs w:val="18"/>
          <w:color w:val="auto"/>
        </w:rPr>
        <w:t>3.5</w:t>
      </w:r>
      <w:r>
        <w:rPr>
          <w:sz w:val="20"/>
          <w:szCs w:val="20"/>
          <w:color w:val="auto"/>
        </w:rPr>
        <w:tab/>
      </w:r>
      <w:hyperlink r:id="rId38">
        <w:r>
          <w:rPr>
            <w:rFonts w:ascii="Arial" w:cs="Arial" w:eastAsia="Arial" w:hAnsi="Arial"/>
            <w:sz w:val="18"/>
            <w:szCs w:val="18"/>
            <w:u w:val="single" w:color="auto"/>
            <w:color w:val="0000FF"/>
          </w:rPr>
          <w:t>Second Amended and Restated Bylaws, effective as of May 4, 2017 (Exhibit 3.1 to the Company’s Quarterly Report on Form 10-Q (File</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No. 1-15461) filed May 10, 2017)</w:t>
        </w:r>
        <w:r>
          <w:rPr>
            <w:rFonts w:ascii="Arial" w:cs="Arial" w:eastAsia="Arial" w:hAnsi="Arial"/>
            <w:sz w:val="18"/>
            <w:szCs w:val="18"/>
            <w:color w:val="000000"/>
          </w:rPr>
          <w:t>.</w:t>
        </w:r>
      </w:hyperlink>
    </w:p>
    <w:p>
      <w:pPr>
        <w:spacing w:after="0" w:line="130" w:lineRule="exact"/>
        <w:rPr>
          <w:sz w:val="20"/>
          <w:szCs w:val="20"/>
          <w:color w:val="auto"/>
        </w:rPr>
      </w:pPr>
    </w:p>
    <w:p>
      <w:pPr>
        <w:ind w:left="900"/>
        <w:spacing w:after="0"/>
        <w:tabs>
          <w:tab w:leader="none" w:pos="1320" w:val="left"/>
        </w:tabs>
        <w:rPr>
          <w:sz w:val="20"/>
          <w:szCs w:val="20"/>
          <w:color w:val="auto"/>
        </w:rPr>
      </w:pPr>
      <w:r>
        <w:rPr>
          <w:rFonts w:ascii="Arial" w:cs="Arial" w:eastAsia="Arial" w:hAnsi="Arial"/>
          <w:sz w:val="16"/>
          <w:szCs w:val="16"/>
          <w:color w:val="auto"/>
        </w:rPr>
        <w:t>P4</w:t>
      </w:r>
      <w:r>
        <w:rPr>
          <w:sz w:val="20"/>
          <w:szCs w:val="20"/>
          <w:color w:val="auto"/>
        </w:rPr>
        <w:tab/>
      </w:r>
      <w:r>
        <w:rPr>
          <w:rFonts w:ascii="Arial" w:cs="Arial" w:eastAsia="Arial" w:hAnsi="Arial"/>
          <w:sz w:val="16"/>
          <w:szCs w:val="16"/>
          <w:color w:val="auto"/>
        </w:rPr>
        <w:t>Specimen Common Stock Certificate (Exhibit 4.1 to the Company’s Registration Statement on Form S-1 (File No. 33-36081) filed July 26,</w:t>
      </w:r>
    </w:p>
    <w:p>
      <w:pPr>
        <w:spacing w:after="0" w:line="4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1990, P).</w:t>
      </w:r>
    </w:p>
    <w:p>
      <w:pPr>
        <w:spacing w:after="0" w:line="170" w:lineRule="exact"/>
        <w:rPr>
          <w:sz w:val="20"/>
          <w:szCs w:val="20"/>
          <w:color w:val="auto"/>
        </w:rPr>
      </w:pPr>
    </w:p>
    <w:p>
      <w:pPr>
        <w:ind w:left="680"/>
        <w:spacing w:after="0"/>
        <w:tabs>
          <w:tab w:leader="none" w:pos="132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39">
        <w:r>
          <w:rPr>
            <w:rFonts w:ascii="Arial" w:cs="Arial" w:eastAsia="Arial" w:hAnsi="Arial"/>
            <w:sz w:val="16"/>
            <w:szCs w:val="16"/>
            <w:u w:val="single" w:color="auto"/>
            <w:color w:val="0000FF"/>
          </w:rPr>
          <w:t>Matrix Service Company 2004 Stock Incentive Plan (Appendix B to the Company’s Proxy Statement filed September 15, 2006 (File No.</w:t>
        </w:r>
      </w:hyperlink>
    </w:p>
    <w:p>
      <w:pPr>
        <w:spacing w:after="0" w:line="23" w:lineRule="exact"/>
        <w:rPr>
          <w:sz w:val="20"/>
          <w:szCs w:val="20"/>
          <w:color w:val="auto"/>
        </w:rPr>
      </w:pPr>
    </w:p>
    <w:p>
      <w:pPr>
        <w:ind w:left="1340"/>
        <w:spacing w:after="0"/>
        <w:rPr>
          <w:rFonts w:ascii="Arial" w:cs="Arial" w:eastAsia="Arial" w:hAnsi="Arial"/>
          <w:sz w:val="18"/>
          <w:szCs w:val="18"/>
          <w:color w:val="0000FF"/>
        </w:rPr>
      </w:pPr>
      <w:hyperlink r:id="rId39">
        <w:r>
          <w:rPr>
            <w:rFonts w:ascii="Arial" w:cs="Arial" w:eastAsia="Arial" w:hAnsi="Arial"/>
            <w:sz w:val="18"/>
            <w:szCs w:val="18"/>
            <w:u w:val="single" w:color="auto"/>
            <w:color w:val="0000FF"/>
          </w:rPr>
          <w:t>1-15461))</w:t>
        </w:r>
        <w:r>
          <w:rPr>
            <w:rFonts w:ascii="Arial" w:cs="Arial" w:eastAsia="Arial" w:hAnsi="Arial"/>
            <w:sz w:val="18"/>
            <w:szCs w:val="18"/>
            <w:color w:val="000000"/>
          </w:rPr>
          <w:t>.</w:t>
        </w:r>
      </w:hyperlink>
    </w:p>
    <w:p>
      <w:pPr>
        <w:spacing w:after="0" w:line="170" w:lineRule="exact"/>
        <w:rPr>
          <w:sz w:val="20"/>
          <w:szCs w:val="20"/>
          <w:color w:val="auto"/>
        </w:rPr>
      </w:pPr>
    </w:p>
    <w:p>
      <w:pPr>
        <w:ind w:left="1340" w:right="200" w:hanging="672"/>
        <w:spacing w:after="0" w:line="277" w:lineRule="auto"/>
        <w:tabs>
          <w:tab w:leader="none" w:pos="1320" w:val="left"/>
        </w:tabs>
        <w:rPr>
          <w:rFonts w:ascii="Arial" w:cs="Arial" w:eastAsia="Arial" w:hAnsi="Arial"/>
          <w:sz w:val="18"/>
          <w:szCs w:val="18"/>
          <w:color w:val="0000FF"/>
        </w:rPr>
      </w:pPr>
      <w:r>
        <w:rPr>
          <w:rFonts w:ascii="Arial" w:cs="Arial" w:eastAsia="Arial" w:hAnsi="Arial"/>
          <w:sz w:val="18"/>
          <w:szCs w:val="18"/>
          <w:color w:val="auto"/>
        </w:rPr>
        <w:t>+10.2</w:t>
      </w:r>
      <w:r>
        <w:rPr>
          <w:sz w:val="20"/>
          <w:szCs w:val="20"/>
          <w:color w:val="auto"/>
        </w:rPr>
        <w:tab/>
      </w:r>
      <w:hyperlink r:id="rId40">
        <w:r>
          <w:rPr>
            <w:rFonts w:ascii="Arial" w:cs="Arial" w:eastAsia="Arial" w:hAnsi="Arial"/>
            <w:sz w:val="18"/>
            <w:szCs w:val="18"/>
            <w:u w:val="single" w:color="auto"/>
            <w:color w:val="0000FF"/>
          </w:rPr>
          <w:t>Amendment 1 to Matrix Service Company 2004 Stock Incentive Plan (Exhibit 10 to Amended Schedule 14A filed October 4, 2006 (File</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No. 1-15461))</w:t>
        </w:r>
        <w:r>
          <w:rPr>
            <w:rFonts w:ascii="Arial" w:cs="Arial" w:eastAsia="Arial" w:hAnsi="Arial"/>
            <w:sz w:val="18"/>
            <w:szCs w:val="18"/>
            <w:color w:val="000000"/>
          </w:rPr>
          <w:t>.</w:t>
        </w:r>
      </w:hyperlink>
    </w:p>
    <w:p>
      <w:pPr>
        <w:spacing w:after="0" w:line="130" w:lineRule="exact"/>
        <w:rPr>
          <w:sz w:val="20"/>
          <w:szCs w:val="20"/>
          <w:color w:val="auto"/>
        </w:rPr>
      </w:pPr>
    </w:p>
    <w:p>
      <w:pPr>
        <w:ind w:left="1340" w:right="140" w:hanging="672"/>
        <w:spacing w:after="0" w:line="277" w:lineRule="auto"/>
        <w:tabs>
          <w:tab w:leader="none" w:pos="1320" w:val="left"/>
        </w:tabs>
        <w:rPr>
          <w:rFonts w:ascii="Arial" w:cs="Arial" w:eastAsia="Arial" w:hAnsi="Arial"/>
          <w:sz w:val="18"/>
          <w:szCs w:val="18"/>
          <w:color w:val="0000FF"/>
        </w:rPr>
      </w:pPr>
      <w:r>
        <w:rPr>
          <w:rFonts w:ascii="Arial" w:cs="Arial" w:eastAsia="Arial" w:hAnsi="Arial"/>
          <w:sz w:val="18"/>
          <w:szCs w:val="18"/>
          <w:color w:val="auto"/>
        </w:rPr>
        <w:t>+10.3</w:t>
      </w:r>
      <w:r>
        <w:rPr>
          <w:sz w:val="20"/>
          <w:szCs w:val="20"/>
          <w:color w:val="auto"/>
        </w:rPr>
        <w:tab/>
      </w:r>
      <w:hyperlink r:id="rId41">
        <w:r>
          <w:rPr>
            <w:rFonts w:ascii="Arial" w:cs="Arial" w:eastAsia="Arial" w:hAnsi="Arial"/>
            <w:sz w:val="18"/>
            <w:szCs w:val="18"/>
            <w:u w:val="single" w:color="auto"/>
            <w:color w:val="0000FF"/>
          </w:rPr>
          <w:t>Amendment 2 to Matrix Service Company 2004 Stock Incentive Plan (Exhibit 10.6 to the Company’s Annual Report on Form 10-K (File</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No. 1-15461) filed August 5, 2008)</w:t>
        </w:r>
        <w:r>
          <w:rPr>
            <w:rFonts w:ascii="Arial" w:cs="Arial" w:eastAsia="Arial" w:hAnsi="Arial"/>
            <w:sz w:val="18"/>
            <w:szCs w:val="18"/>
            <w:color w:val="000000"/>
          </w:rPr>
          <w:t>.</w:t>
        </w:r>
      </w:hyperlink>
    </w:p>
    <w:p>
      <w:pPr>
        <w:spacing w:after="0" w:line="130" w:lineRule="exact"/>
        <w:rPr>
          <w:sz w:val="20"/>
          <w:szCs w:val="20"/>
          <w:color w:val="auto"/>
        </w:rPr>
      </w:pPr>
    </w:p>
    <w:p>
      <w:pPr>
        <w:ind w:left="680"/>
        <w:spacing w:after="0"/>
        <w:tabs>
          <w:tab w:leader="none" w:pos="1320" w:val="left"/>
        </w:tabs>
        <w:rPr>
          <w:rFonts w:ascii="Arial" w:cs="Arial" w:eastAsia="Arial" w:hAnsi="Arial"/>
          <w:sz w:val="16"/>
          <w:szCs w:val="16"/>
          <w:u w:val="single" w:color="auto"/>
          <w:color w:val="0000FF"/>
        </w:rPr>
      </w:pPr>
      <w:r>
        <w:rPr>
          <w:rFonts w:ascii="Arial" w:cs="Arial" w:eastAsia="Arial" w:hAnsi="Arial"/>
          <w:sz w:val="18"/>
          <w:szCs w:val="18"/>
          <w:color w:val="auto"/>
        </w:rPr>
        <w:t>+10.4</w:t>
      </w:r>
      <w:r>
        <w:rPr>
          <w:sz w:val="20"/>
          <w:szCs w:val="20"/>
          <w:color w:val="auto"/>
        </w:rPr>
        <w:tab/>
      </w:r>
      <w:hyperlink r:id="rId42">
        <w:r>
          <w:rPr>
            <w:rFonts w:ascii="Arial" w:cs="Arial" w:eastAsia="Arial" w:hAnsi="Arial"/>
            <w:sz w:val="16"/>
            <w:szCs w:val="16"/>
            <w:u w:val="single" w:color="auto"/>
            <w:color w:val="0000FF"/>
          </w:rPr>
          <w:t>Amendment 3 to Matrix Service Company 2004 Stock Incentive Plan (Exhibit A to the Company’s Proxy Statement filed September 11,</w:t>
        </w:r>
      </w:hyperlink>
    </w:p>
    <w:p>
      <w:pPr>
        <w:spacing w:after="0" w:line="23" w:lineRule="exact"/>
        <w:rPr>
          <w:sz w:val="20"/>
          <w:szCs w:val="20"/>
          <w:color w:val="auto"/>
        </w:rPr>
      </w:pPr>
    </w:p>
    <w:p>
      <w:pPr>
        <w:ind w:left="1340"/>
        <w:spacing w:after="0"/>
        <w:rPr>
          <w:rFonts w:ascii="Arial" w:cs="Arial" w:eastAsia="Arial" w:hAnsi="Arial"/>
          <w:sz w:val="18"/>
          <w:szCs w:val="18"/>
          <w:color w:val="0000FF"/>
        </w:rPr>
      </w:pPr>
      <w:hyperlink r:id="rId42">
        <w:r>
          <w:rPr>
            <w:rFonts w:ascii="Arial" w:cs="Arial" w:eastAsia="Arial" w:hAnsi="Arial"/>
            <w:sz w:val="18"/>
            <w:szCs w:val="18"/>
            <w:u w:val="single" w:color="auto"/>
            <w:color w:val="0000FF"/>
          </w:rPr>
          <w:t>2009 (File No. 1-15461))</w:t>
        </w:r>
        <w:r>
          <w:rPr>
            <w:rFonts w:ascii="Arial" w:cs="Arial" w:eastAsia="Arial" w:hAnsi="Arial"/>
            <w:sz w:val="18"/>
            <w:szCs w:val="18"/>
            <w:color w:val="000000"/>
          </w:rPr>
          <w:t>.</w:t>
        </w:r>
      </w:hyperlink>
    </w:p>
    <w:p>
      <w:pPr>
        <w:spacing w:after="0" w:line="170" w:lineRule="exact"/>
        <w:rPr>
          <w:sz w:val="20"/>
          <w:szCs w:val="20"/>
          <w:color w:val="auto"/>
        </w:rPr>
      </w:pPr>
    </w:p>
    <w:p>
      <w:pPr>
        <w:ind w:left="680"/>
        <w:spacing w:after="0"/>
        <w:tabs>
          <w:tab w:leader="none" w:pos="1320" w:val="left"/>
        </w:tabs>
        <w:rPr>
          <w:rFonts w:ascii="Arial" w:cs="Arial" w:eastAsia="Arial" w:hAnsi="Arial"/>
          <w:sz w:val="16"/>
          <w:szCs w:val="16"/>
          <w:u w:val="single" w:color="auto"/>
          <w:color w:val="0000FF"/>
        </w:rPr>
      </w:pPr>
      <w:r>
        <w:rPr>
          <w:rFonts w:ascii="Arial" w:cs="Arial" w:eastAsia="Arial" w:hAnsi="Arial"/>
          <w:sz w:val="18"/>
          <w:szCs w:val="18"/>
          <w:color w:val="auto"/>
        </w:rPr>
        <w:t>+10.5</w:t>
      </w:r>
      <w:r>
        <w:rPr>
          <w:sz w:val="20"/>
          <w:szCs w:val="20"/>
          <w:color w:val="auto"/>
        </w:rPr>
        <w:tab/>
      </w:r>
      <w:hyperlink r:id="rId43">
        <w:r>
          <w:rPr>
            <w:rFonts w:ascii="Arial" w:cs="Arial" w:eastAsia="Arial" w:hAnsi="Arial"/>
            <w:sz w:val="16"/>
            <w:szCs w:val="16"/>
            <w:u w:val="single" w:color="auto"/>
            <w:color w:val="0000FF"/>
          </w:rPr>
          <w:t>Matrix Service Company 2012 Stock and Incentive Compensation Plan (Attachment A to the Company's Proxy Statement (File No. 1-</w:t>
        </w:r>
      </w:hyperlink>
    </w:p>
    <w:p>
      <w:pPr>
        <w:spacing w:after="0" w:line="23" w:lineRule="exact"/>
        <w:rPr>
          <w:sz w:val="20"/>
          <w:szCs w:val="20"/>
          <w:color w:val="auto"/>
        </w:rPr>
      </w:pPr>
    </w:p>
    <w:p>
      <w:pPr>
        <w:ind w:left="1340"/>
        <w:spacing w:after="0"/>
        <w:rPr>
          <w:rFonts w:ascii="Arial" w:cs="Arial" w:eastAsia="Arial" w:hAnsi="Arial"/>
          <w:sz w:val="18"/>
          <w:szCs w:val="18"/>
          <w:color w:val="0000FF"/>
        </w:rPr>
      </w:pPr>
      <w:hyperlink r:id="rId43">
        <w:r>
          <w:rPr>
            <w:rFonts w:ascii="Arial" w:cs="Arial" w:eastAsia="Arial" w:hAnsi="Arial"/>
            <w:sz w:val="18"/>
            <w:szCs w:val="18"/>
            <w:u w:val="single" w:color="auto"/>
            <w:color w:val="0000FF"/>
          </w:rPr>
          <w:t>15461) filed October 10, 2012)</w:t>
        </w:r>
        <w:r>
          <w:rPr>
            <w:rFonts w:ascii="Arial" w:cs="Arial" w:eastAsia="Arial" w:hAnsi="Arial"/>
            <w:sz w:val="18"/>
            <w:szCs w:val="18"/>
            <w:color w:val="000000"/>
          </w:rPr>
          <w:t>.</w:t>
        </w:r>
      </w:hyperlink>
    </w:p>
    <w:p>
      <w:pPr>
        <w:spacing w:after="0" w:line="170" w:lineRule="exact"/>
        <w:rPr>
          <w:sz w:val="20"/>
          <w:szCs w:val="20"/>
          <w:color w:val="auto"/>
        </w:rPr>
      </w:pPr>
    </w:p>
    <w:p>
      <w:pPr>
        <w:ind w:left="1340" w:right="140" w:hanging="713"/>
        <w:spacing w:after="0" w:line="277" w:lineRule="auto"/>
        <w:tabs>
          <w:tab w:leader="none" w:pos="768" w:val="left"/>
        </w:tabs>
        <w:numPr>
          <w:ilvl w:val="0"/>
          <w:numId w:val="45"/>
        </w:numPr>
        <w:rPr>
          <w:rFonts w:ascii="Arial" w:cs="Arial" w:eastAsia="Arial" w:hAnsi="Arial"/>
          <w:sz w:val="18"/>
          <w:szCs w:val="18"/>
          <w:color w:val="0000FF"/>
        </w:rPr>
      </w:pPr>
      <w:r>
        <w:rPr>
          <w:rFonts w:ascii="Arial" w:cs="Arial" w:eastAsia="Arial" w:hAnsi="Arial"/>
          <w:sz w:val="18"/>
          <w:szCs w:val="18"/>
          <w:color w:val="auto"/>
        </w:rPr>
        <w:t xml:space="preserve">10.6 </w:t>
      </w:r>
      <w:hyperlink r:id="rId44">
        <w:r>
          <w:rPr>
            <w:rFonts w:ascii="Arial" w:cs="Arial" w:eastAsia="Arial" w:hAnsi="Arial"/>
            <w:sz w:val="18"/>
            <w:szCs w:val="18"/>
            <w:u w:val="single" w:color="auto"/>
            <w:color w:val="0000FF"/>
          </w:rPr>
          <w:t>Amendment Number 1 to the Matrix Service Company 2012 Stock and Incentive Compensation Plan (Exhibit A to the Company's Proxy</w:t>
        </w:r>
      </w:hyperlink>
      <w:r>
        <w:rPr>
          <w:rFonts w:ascii="Arial" w:cs="Arial" w:eastAsia="Arial" w:hAnsi="Arial"/>
          <w:sz w:val="18"/>
          <w:szCs w:val="18"/>
          <w:color w:val="auto"/>
        </w:rPr>
        <w:t xml:space="preserve"> </w:t>
      </w:r>
      <w:hyperlink r:id="rId44">
        <w:r>
          <w:rPr>
            <w:rFonts w:ascii="Arial" w:cs="Arial" w:eastAsia="Arial" w:hAnsi="Arial"/>
            <w:sz w:val="18"/>
            <w:szCs w:val="18"/>
            <w:u w:val="single" w:color="auto"/>
            <w:color w:val="0000FF"/>
          </w:rPr>
          <w:t>Statement (File No. 1-15461) filed October 10, 2014)</w:t>
        </w:r>
        <w:r>
          <w:rPr>
            <w:rFonts w:ascii="Arial" w:cs="Arial" w:eastAsia="Arial" w:hAnsi="Arial"/>
            <w:sz w:val="18"/>
            <w:szCs w:val="18"/>
            <w:color w:val="000000"/>
          </w:rPr>
          <w:t>.</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125" w:right="27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00" w:right="40" w:hanging="577"/>
        <w:spacing w:after="0" w:line="277"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+10.7</w:t>
      </w:r>
      <w:r>
        <w:rPr>
          <w:sz w:val="20"/>
          <w:szCs w:val="20"/>
          <w:color w:val="auto"/>
        </w:rPr>
        <w:tab/>
      </w:r>
      <w:hyperlink r:id="rId45">
        <w:r>
          <w:rPr>
            <w:rFonts w:ascii="Arial" w:cs="Arial" w:eastAsia="Arial" w:hAnsi="Arial"/>
            <w:sz w:val="18"/>
            <w:szCs w:val="18"/>
            <w:u w:val="single" w:color="auto"/>
            <w:color w:val="0000FF"/>
          </w:rPr>
          <w:t>Form of Long-Term Incentive Award Agreement (2012 Stock and Incentive Compensation Plan) (Exhibit 10.1 to the Company's Quarterly</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Report on Form 10-Q (File No. 1-15461) filed November 7, 2016)</w:t>
        </w:r>
        <w:r>
          <w:rPr>
            <w:rFonts w:ascii="Arial" w:cs="Arial" w:eastAsia="Arial" w:hAnsi="Arial"/>
            <w:sz w:val="18"/>
            <w:szCs w:val="18"/>
            <w:color w:val="000000"/>
          </w:rPr>
          <w:t>.</w:t>
        </w:r>
      </w:hyperlink>
    </w:p>
    <w:p>
      <w:pPr>
        <w:spacing w:after="0" w:line="130" w:lineRule="exact"/>
        <w:rPr>
          <w:sz w:val="20"/>
          <w:szCs w:val="20"/>
          <w:color w:val="auto"/>
        </w:rPr>
      </w:pPr>
    </w:p>
    <w:p>
      <w:pPr>
        <w:ind w:left="1300" w:right="540" w:hanging="577"/>
        <w:spacing w:after="0" w:line="277"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+10.8</w:t>
      </w:r>
      <w:r>
        <w:rPr>
          <w:sz w:val="20"/>
          <w:szCs w:val="20"/>
          <w:color w:val="auto"/>
        </w:rPr>
        <w:tab/>
      </w:r>
      <w:hyperlink r:id="rId46">
        <w:r>
          <w:rPr>
            <w:rFonts w:ascii="Arial" w:cs="Arial" w:eastAsia="Arial" w:hAnsi="Arial"/>
            <w:sz w:val="18"/>
            <w:szCs w:val="18"/>
            <w:u w:val="single" w:color="auto"/>
            <w:color w:val="0000FF"/>
          </w:rPr>
          <w:t>Form of Restricted Stock Unit Award Agreement for employees (2012 Stock and Incentive Compensation Plan) (Exhibit 10.2 to the</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Company's Quarterly Report on Form 10-Q (File No. 1-15461) filed November 7, 2016)</w:t>
        </w:r>
        <w:r>
          <w:rPr>
            <w:rFonts w:ascii="Arial" w:cs="Arial" w:eastAsia="Arial" w:hAnsi="Arial"/>
            <w:sz w:val="18"/>
            <w:szCs w:val="18"/>
            <w:color w:val="000000"/>
          </w:rPr>
          <w:t>.</w:t>
        </w:r>
      </w:hyperlink>
    </w:p>
    <w:p>
      <w:pPr>
        <w:spacing w:after="0" w:line="130" w:lineRule="exact"/>
        <w:rPr>
          <w:sz w:val="20"/>
          <w:szCs w:val="20"/>
          <w:color w:val="auto"/>
        </w:rPr>
      </w:pPr>
    </w:p>
    <w:p>
      <w:pPr>
        <w:ind w:left="72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+10.9</w:t>
      </w:r>
      <w:r>
        <w:rPr>
          <w:sz w:val="20"/>
          <w:szCs w:val="20"/>
          <w:color w:val="auto"/>
        </w:rPr>
        <w:tab/>
      </w:r>
      <w:hyperlink r:id="rId34">
        <w:r>
          <w:rPr>
            <w:rFonts w:ascii="Arial" w:cs="Arial" w:eastAsia="Arial" w:hAnsi="Arial"/>
            <w:sz w:val="16"/>
            <w:szCs w:val="16"/>
            <w:u w:val="single" w:color="auto"/>
            <w:color w:val="0000FF"/>
          </w:rPr>
          <w:t>Matrix Service Company 2016 Stock and Incentive Compensation Plan (Appendix B to the Company's Proxy Statement (File No. 1-</w:t>
        </w:r>
      </w:hyperlink>
    </w:p>
    <w:p>
      <w:pPr>
        <w:spacing w:after="0" w:line="23" w:lineRule="exact"/>
        <w:rPr>
          <w:sz w:val="20"/>
          <w:szCs w:val="20"/>
          <w:color w:val="auto"/>
        </w:rPr>
      </w:pPr>
    </w:p>
    <w:p>
      <w:pPr>
        <w:ind w:left="1300"/>
        <w:spacing w:after="0"/>
        <w:rPr>
          <w:rFonts w:ascii="Arial" w:cs="Arial" w:eastAsia="Arial" w:hAnsi="Arial"/>
          <w:sz w:val="18"/>
          <w:szCs w:val="18"/>
          <w:color w:val="0000FF"/>
        </w:rPr>
      </w:pPr>
      <w:hyperlink r:id="rId34">
        <w:r>
          <w:rPr>
            <w:rFonts w:ascii="Arial" w:cs="Arial" w:eastAsia="Arial" w:hAnsi="Arial"/>
            <w:sz w:val="18"/>
            <w:szCs w:val="18"/>
            <w:u w:val="single" w:color="auto"/>
            <w:color w:val="0000FF"/>
          </w:rPr>
          <w:t>15461), filed October 7, 2016)</w:t>
        </w:r>
        <w:r>
          <w:rPr>
            <w:rFonts w:ascii="Arial" w:cs="Arial" w:eastAsia="Arial" w:hAnsi="Arial"/>
            <w:sz w:val="18"/>
            <w:szCs w:val="18"/>
            <w:color w:val="000000"/>
          </w:rPr>
          <w:t>.</w:t>
        </w:r>
      </w:hyperlink>
    </w:p>
    <w:p>
      <w:pPr>
        <w:spacing w:after="0" w:line="170" w:lineRule="exact"/>
        <w:rPr>
          <w:sz w:val="20"/>
          <w:szCs w:val="20"/>
          <w:color w:val="auto"/>
        </w:rPr>
      </w:pPr>
    </w:p>
    <w:p>
      <w:pPr>
        <w:ind w:left="1300" w:right="640" w:hanging="667"/>
        <w:spacing w:after="0" w:line="277"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+10.10</w:t>
      </w:r>
      <w:r>
        <w:rPr>
          <w:sz w:val="20"/>
          <w:szCs w:val="20"/>
          <w:color w:val="auto"/>
        </w:rPr>
        <w:tab/>
      </w:r>
      <w:hyperlink r:id="rId47">
        <w:r>
          <w:rPr>
            <w:rFonts w:ascii="Arial" w:cs="Arial" w:eastAsia="Arial" w:hAnsi="Arial"/>
            <w:sz w:val="18"/>
            <w:szCs w:val="18"/>
            <w:u w:val="single" w:color="auto"/>
            <w:color w:val="0000FF"/>
          </w:rPr>
          <w:t>Form of Restricted Stock Unit Award Agreement for Directors (2016 Stock and Incentive Compensation Plan) (Exhibit 10.2 to the</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Company's Quarterly Report on Form 10-Q (File No. 1-15461), filed February 9, 2017)</w:t>
        </w:r>
        <w:r>
          <w:rPr>
            <w:rFonts w:ascii="Arial" w:cs="Arial" w:eastAsia="Arial" w:hAnsi="Arial"/>
            <w:sz w:val="18"/>
            <w:szCs w:val="18"/>
            <w:color w:val="000000"/>
          </w:rPr>
          <w:t>.</w:t>
        </w:r>
      </w:hyperlink>
    </w:p>
    <w:p>
      <w:pPr>
        <w:spacing w:after="0" w:line="130"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*+10.11</w:t>
      </w:r>
      <w:r>
        <w:rPr>
          <w:sz w:val="20"/>
          <w:szCs w:val="20"/>
          <w:color w:val="auto"/>
        </w:rPr>
        <w:tab/>
      </w:r>
      <w:hyperlink w:anchor="page86">
        <w:r>
          <w:rPr>
            <w:rFonts w:ascii="Arial" w:cs="Arial" w:eastAsia="Arial" w:hAnsi="Arial"/>
            <w:sz w:val="16"/>
            <w:szCs w:val="16"/>
            <w:u w:val="single" w:color="auto"/>
            <w:color w:val="0000FF"/>
          </w:rPr>
          <w:t>Form of Long-Term Incentive Award Agreement (2016 Stock and Incentive Compensation Plan).</w:t>
        </w:r>
      </w:hyperlink>
    </w:p>
    <w:p>
      <w:pPr>
        <w:spacing w:after="0" w:line="185" w:lineRule="exact"/>
        <w:rPr>
          <w:sz w:val="20"/>
          <w:szCs w:val="20"/>
          <w:color w:val="auto"/>
        </w:rPr>
      </w:pPr>
    </w:p>
    <w:p>
      <w:pPr>
        <w:ind w:left="1300" w:hanging="667"/>
        <w:spacing w:after="0" w:line="277"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+10.12</w:t>
      </w:r>
      <w:r>
        <w:rPr>
          <w:sz w:val="20"/>
          <w:szCs w:val="20"/>
          <w:color w:val="auto"/>
        </w:rPr>
        <w:tab/>
      </w:r>
      <w:hyperlink r:id="rId48">
        <w:r>
          <w:rPr>
            <w:rFonts w:ascii="Arial" w:cs="Arial" w:eastAsia="Arial" w:hAnsi="Arial"/>
            <w:sz w:val="18"/>
            <w:szCs w:val="18"/>
            <w:u w:val="single" w:color="auto"/>
            <w:color w:val="0000FF"/>
          </w:rPr>
          <w:t>Form of Amended and Restated Severance Agreement (Exhibit 10 to the Company's Current Report on Form 8-K filed November 15, 2016</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(File No. 1-15461))</w:t>
        </w:r>
        <w:r>
          <w:rPr>
            <w:rFonts w:ascii="Arial" w:cs="Arial" w:eastAsia="Arial" w:hAnsi="Arial"/>
            <w:sz w:val="18"/>
            <w:szCs w:val="18"/>
            <w:color w:val="000000"/>
          </w:rPr>
          <w:t>.</w:t>
        </w:r>
      </w:hyperlink>
    </w:p>
    <w:p>
      <w:pPr>
        <w:spacing w:after="0" w:line="130" w:lineRule="exact"/>
        <w:rPr>
          <w:sz w:val="20"/>
          <w:szCs w:val="20"/>
          <w:color w:val="auto"/>
        </w:rPr>
      </w:pPr>
    </w:p>
    <w:p>
      <w:pPr>
        <w:ind w:left="1300" w:right="360" w:hanging="667"/>
        <w:spacing w:after="0" w:line="277"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+10.13</w:t>
      </w:r>
      <w:r>
        <w:rPr>
          <w:sz w:val="20"/>
          <w:szCs w:val="20"/>
          <w:color w:val="auto"/>
        </w:rPr>
        <w:tab/>
      </w:r>
      <w:hyperlink r:id="rId49">
        <w:r>
          <w:rPr>
            <w:rFonts w:ascii="Arial" w:cs="Arial" w:eastAsia="Arial" w:hAnsi="Arial"/>
            <w:sz w:val="18"/>
            <w:szCs w:val="18"/>
            <w:u w:val="single" w:color="auto"/>
            <w:color w:val="0000FF"/>
          </w:rPr>
          <w:t>Amended and Restated Deferred Compensation Plan for Members of the Board of Directors (Exhibit 10.1 to the Company’s Quarterly</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Report on Form 10-Q (File No. 1-15461) filed January 8, 2009)</w:t>
        </w:r>
        <w:r>
          <w:rPr>
            <w:rFonts w:ascii="Arial" w:cs="Arial" w:eastAsia="Arial" w:hAnsi="Arial"/>
            <w:sz w:val="18"/>
            <w:szCs w:val="18"/>
            <w:color w:val="000000"/>
          </w:rPr>
          <w:t>.</w:t>
        </w:r>
      </w:hyperlink>
    </w:p>
    <w:p>
      <w:pPr>
        <w:spacing w:after="0" w:line="130" w:lineRule="exact"/>
        <w:rPr>
          <w:sz w:val="20"/>
          <w:szCs w:val="20"/>
          <w:color w:val="auto"/>
        </w:rPr>
      </w:pPr>
    </w:p>
    <w:p>
      <w:pPr>
        <w:ind w:left="1300" w:hanging="667"/>
        <w:spacing w:after="0" w:line="277"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+10.14</w:t>
      </w:r>
      <w:r>
        <w:rPr>
          <w:sz w:val="20"/>
          <w:szCs w:val="20"/>
          <w:color w:val="auto"/>
        </w:rPr>
        <w:tab/>
      </w:r>
      <w:hyperlink r:id="rId50">
        <w:r>
          <w:rPr>
            <w:rFonts w:ascii="Arial" w:cs="Arial" w:eastAsia="Arial" w:hAnsi="Arial"/>
            <w:sz w:val="18"/>
            <w:szCs w:val="18"/>
            <w:u w:val="single" w:color="auto"/>
            <w:color w:val="0000FF"/>
          </w:rPr>
          <w:t>Amendment 1 to Amended and Restated Deferred Compensation Plan for Members of the Board of Directors (Exhibit 10 to the Company's</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Quarterly Report on Form 10-Q (File No. 1-15461) filed November 9, 2012)</w:t>
        </w:r>
        <w:r>
          <w:rPr>
            <w:rFonts w:ascii="Arial" w:cs="Arial" w:eastAsia="Arial" w:hAnsi="Arial"/>
            <w:sz w:val="18"/>
            <w:szCs w:val="18"/>
            <w:color w:val="000000"/>
          </w:rPr>
          <w:t>.</w:t>
        </w:r>
      </w:hyperlink>
    </w:p>
    <w:p>
      <w:pPr>
        <w:spacing w:after="0" w:line="130" w:lineRule="exact"/>
        <w:rPr>
          <w:sz w:val="20"/>
          <w:szCs w:val="20"/>
          <w:color w:val="auto"/>
        </w:rPr>
      </w:pPr>
    </w:p>
    <w:p>
      <w:pPr>
        <w:ind w:left="1300" w:right="20" w:hanging="566"/>
        <w:spacing w:after="0" w:line="259"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10.15</w:t>
      </w:r>
      <w:r>
        <w:rPr>
          <w:sz w:val="20"/>
          <w:szCs w:val="20"/>
          <w:color w:val="auto"/>
        </w:rPr>
        <w:tab/>
      </w:r>
      <w:hyperlink r:id="rId51">
        <w:r>
          <w:rPr>
            <w:rFonts w:ascii="Arial" w:cs="Arial" w:eastAsia="Arial" w:hAnsi="Arial"/>
            <w:sz w:val="18"/>
            <w:szCs w:val="18"/>
            <w:u w:val="single" w:color="auto"/>
            <w:color w:val="0000FF"/>
          </w:rPr>
          <w:t>Fourth Amended and Restated Credit Agreement dated as of February 8, 2017 among the Company and certain foreign subsidiaries, as</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Borrowers, various subsidiaries of the Company, as Guarantors, JPMorgan Chase Bank, N.A., as Administrative Agent, Lead Arranger and</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Sole Bookrunner, and the other lenders party thereto (Exhibit 10.1 to the Company's Quarterly Report on Form 10-Q (File No. 1-15461)</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filed May 10, 2017)</w:t>
        </w:r>
        <w:r>
          <w:rPr>
            <w:rFonts w:ascii="Arial" w:cs="Arial" w:eastAsia="Arial" w:hAnsi="Arial"/>
            <w:sz w:val="18"/>
            <w:szCs w:val="18"/>
            <w:color w:val="000000"/>
          </w:rPr>
          <w:t>.</w:t>
        </w:r>
      </w:hyperlink>
    </w:p>
    <w:p>
      <w:pPr>
        <w:spacing w:after="0" w:line="146" w:lineRule="exact"/>
        <w:rPr>
          <w:rFonts w:ascii="Arial" w:cs="Arial" w:eastAsia="Arial" w:hAnsi="Arial"/>
          <w:sz w:val="18"/>
          <w:szCs w:val="18"/>
          <w:u w:val="single" w:color="auto"/>
          <w:color w:val="0000FF"/>
        </w:rPr>
      </w:pPr>
    </w:p>
    <w:p>
      <w:pPr>
        <w:ind w:left="1300" w:right="640" w:hanging="566"/>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52">
        <w:r>
          <w:rPr>
            <w:rFonts w:ascii="Arial" w:cs="Arial" w:eastAsia="Arial" w:hAnsi="Arial"/>
            <w:sz w:val="18"/>
            <w:szCs w:val="18"/>
            <w:u w:val="single" w:color="auto"/>
            <w:color w:val="0000FF"/>
          </w:rPr>
          <w:t>First Amendment dated as of August 31, 2017 to Fourth Amended and Restated Credit Agreement (Exhibit 10.1 to the Company’s</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Quarterly Report on Form 10-Q (File No. 1-15461), filed November 7, 2017).</w:t>
        </w:r>
      </w:hyperlink>
    </w:p>
    <w:p>
      <w:pPr>
        <w:spacing w:after="0" w:line="346" w:lineRule="exact"/>
        <w:rPr>
          <w:sz w:val="20"/>
          <w:szCs w:val="20"/>
          <w:color w:val="auto"/>
        </w:rPr>
      </w:pPr>
    </w:p>
    <w:p>
      <w:pPr>
        <w:ind w:left="62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+10.17</w:t>
      </w:r>
      <w:r>
        <w:rPr>
          <w:sz w:val="20"/>
          <w:szCs w:val="20"/>
          <w:color w:val="auto"/>
        </w:rPr>
        <w:tab/>
      </w:r>
      <w:hyperlink r:id="rId53">
        <w:r>
          <w:rPr>
            <w:rFonts w:ascii="Arial" w:cs="Arial" w:eastAsia="Arial" w:hAnsi="Arial"/>
            <w:sz w:val="16"/>
            <w:szCs w:val="16"/>
            <w:u w:val="single" w:color="auto"/>
            <w:color w:val="0000FF"/>
          </w:rPr>
          <w:t>Form of Indemnification Agreement (Exhibit 10.1 to the Company's Current Report on Form 8-K (File No. 1-15461) filed June 9, 2015)</w:t>
        </w:r>
      </w:hyperlink>
      <w:r>
        <w:rPr>
          <w:rFonts w:ascii="Arial" w:cs="Arial" w:eastAsia="Arial" w:hAnsi="Arial"/>
          <w:sz w:val="16"/>
          <w:szCs w:val="16"/>
          <w:color w:val="000000"/>
        </w:rPr>
        <w:t>.</w:t>
      </w:r>
    </w:p>
    <w:p>
      <w:pPr>
        <w:spacing w:after="0" w:line="63" w:lineRule="exact"/>
        <w:rPr>
          <w:sz w:val="20"/>
          <w:szCs w:val="20"/>
          <w:color w:val="auto"/>
        </w:rPr>
      </w:pPr>
    </w:p>
    <w:p>
      <w:pPr>
        <w:ind w:left="86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*21</w:t>
      </w:r>
      <w:r>
        <w:rPr>
          <w:sz w:val="20"/>
          <w:szCs w:val="20"/>
          <w:color w:val="auto"/>
        </w:rPr>
        <w:tab/>
      </w:r>
      <w:hyperlink w:anchor="page96">
        <w:r>
          <w:rPr>
            <w:rFonts w:ascii="Arial" w:cs="Arial" w:eastAsia="Arial" w:hAnsi="Arial"/>
            <w:sz w:val="16"/>
            <w:szCs w:val="16"/>
            <w:u w:val="single" w:color="auto"/>
            <w:color w:val="0000FF"/>
          </w:rPr>
          <w:t>Subsidiaries</w:t>
        </w:r>
      </w:hyperlink>
      <w:r>
        <w:rPr>
          <w:rFonts w:ascii="Arial" w:cs="Arial" w:eastAsia="Arial" w:hAnsi="Arial"/>
          <w:sz w:val="16"/>
          <w:szCs w:val="16"/>
          <w:color w:val="000000"/>
        </w:rPr>
        <w:t>.</w:t>
      </w:r>
    </w:p>
    <w:p>
      <w:pPr>
        <w:spacing w:after="0" w:line="185" w:lineRule="exact"/>
        <w:rPr>
          <w:sz w:val="20"/>
          <w:szCs w:val="20"/>
          <w:color w:val="auto"/>
        </w:rPr>
      </w:pPr>
    </w:p>
    <w:p>
      <w:pPr>
        <w:ind w:left="86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*23</w:t>
      </w:r>
      <w:r>
        <w:rPr>
          <w:sz w:val="20"/>
          <w:szCs w:val="20"/>
          <w:color w:val="auto"/>
        </w:rPr>
        <w:tab/>
      </w:r>
      <w:hyperlink w:anchor="page97">
        <w:r>
          <w:rPr>
            <w:rFonts w:ascii="Arial" w:cs="Arial" w:eastAsia="Arial" w:hAnsi="Arial"/>
            <w:sz w:val="16"/>
            <w:szCs w:val="16"/>
            <w:u w:val="single" w:color="auto"/>
            <w:color w:val="0000FF"/>
          </w:rPr>
          <w:t>Consent of Independent Registered Public Accounting Firm—Deloitte &amp; Touche LLP</w:t>
        </w:r>
      </w:hyperlink>
      <w:r>
        <w:rPr>
          <w:rFonts w:ascii="Arial" w:cs="Arial" w:eastAsia="Arial" w:hAnsi="Arial"/>
          <w:sz w:val="16"/>
          <w:szCs w:val="16"/>
          <w:color w:val="000000"/>
        </w:rPr>
        <w:t>.</w:t>
      </w:r>
    </w:p>
    <w:p>
      <w:pPr>
        <w:spacing w:after="0" w:line="185" w:lineRule="exact"/>
        <w:rPr>
          <w:sz w:val="20"/>
          <w:szCs w:val="20"/>
          <w:color w:val="auto"/>
        </w:rPr>
      </w:pPr>
    </w:p>
    <w:p>
      <w:pPr>
        <w:ind w:left="72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98">
        <w:r>
          <w:rPr>
            <w:rFonts w:ascii="Arial" w:cs="Arial" w:eastAsia="Arial" w:hAnsi="Arial"/>
            <w:sz w:val="16"/>
            <w:szCs w:val="16"/>
            <w:u w:val="single" w:color="auto"/>
            <w:color w:val="0000FF"/>
          </w:rPr>
          <w:t>Certification Pursuant to Section 302 of Sarbanes-Oxley Act of 2002—CEO</w:t>
        </w:r>
      </w:hyperlink>
      <w:r>
        <w:rPr>
          <w:rFonts w:ascii="Arial" w:cs="Arial" w:eastAsia="Arial" w:hAnsi="Arial"/>
          <w:sz w:val="16"/>
          <w:szCs w:val="16"/>
          <w:color w:val="000000"/>
        </w:rPr>
        <w:t>.</w:t>
      </w:r>
    </w:p>
    <w:p>
      <w:pPr>
        <w:spacing w:after="0" w:line="185" w:lineRule="exact"/>
        <w:rPr>
          <w:sz w:val="20"/>
          <w:szCs w:val="20"/>
          <w:color w:val="auto"/>
        </w:rPr>
      </w:pPr>
    </w:p>
    <w:p>
      <w:pPr>
        <w:ind w:left="72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99">
        <w:r>
          <w:rPr>
            <w:rFonts w:ascii="Arial" w:cs="Arial" w:eastAsia="Arial" w:hAnsi="Arial"/>
            <w:sz w:val="16"/>
            <w:szCs w:val="16"/>
            <w:u w:val="single" w:color="auto"/>
            <w:color w:val="0000FF"/>
          </w:rPr>
          <w:t>Certification Pursuant to Section 302 of Sarbanes-Oxley Act of 2002—CFO</w:t>
        </w:r>
      </w:hyperlink>
      <w:r>
        <w:rPr>
          <w:rFonts w:ascii="Arial" w:cs="Arial" w:eastAsia="Arial" w:hAnsi="Arial"/>
          <w:sz w:val="16"/>
          <w:szCs w:val="16"/>
          <w:color w:val="000000"/>
        </w:rPr>
        <w:t>.</w:t>
      </w:r>
    </w:p>
    <w:p>
      <w:pPr>
        <w:spacing w:after="0" w:line="168"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940" w:type="dxa"/>
            <w:vAlign w:val="bottom"/>
          </w:tcPr>
          <w:p>
            <w:pPr>
              <w:jc w:val="right"/>
              <w:ind w:right="90"/>
              <w:spacing w:after="0"/>
              <w:rPr>
                <w:sz w:val="20"/>
                <w:szCs w:val="20"/>
                <w:color w:val="auto"/>
              </w:rPr>
            </w:pPr>
            <w:r>
              <w:rPr>
                <w:rFonts w:ascii="Arial" w:cs="Arial" w:eastAsia="Arial" w:hAnsi="Arial"/>
                <w:sz w:val="18"/>
                <w:szCs w:val="18"/>
                <w:color w:val="auto"/>
              </w:rPr>
              <w:t>*32.1</w:t>
            </w:r>
          </w:p>
        </w:tc>
        <w:tc>
          <w:tcPr>
            <w:tcW w:w="2000" w:type="dxa"/>
            <w:vAlign w:val="bottom"/>
            <w:gridSpan w:val="2"/>
          </w:tcPr>
          <w:p>
            <w:pPr>
              <w:spacing w:after="0"/>
              <w:rPr>
                <w:rFonts w:ascii="Arial" w:cs="Arial" w:eastAsia="Arial" w:hAnsi="Arial"/>
                <w:sz w:val="18"/>
                <w:szCs w:val="18"/>
                <w:color w:val="0000FF"/>
                <w:w w:val="91"/>
              </w:rPr>
            </w:pPr>
            <w:hyperlink w:anchor="page100">
              <w:r>
                <w:rPr>
                  <w:rFonts w:ascii="Arial" w:cs="Arial" w:eastAsia="Arial" w:hAnsi="Arial"/>
                  <w:sz w:val="18"/>
                  <w:szCs w:val="18"/>
                  <w:color w:val="0000FF"/>
                  <w:w w:val="91"/>
                </w:rPr>
                <w:t>Certification Pursuant to 18</w:t>
              </w:r>
            </w:hyperlink>
          </w:p>
        </w:tc>
        <w:tc>
          <w:tcPr>
            <w:tcW w:w="940" w:type="dxa"/>
            <w:vAlign w:val="bottom"/>
          </w:tcPr>
          <w:p>
            <w:pPr>
              <w:ind w:left="40"/>
              <w:spacing w:after="0"/>
              <w:rPr>
                <w:rFonts w:ascii="Arial" w:cs="Arial" w:eastAsia="Arial" w:hAnsi="Arial"/>
                <w:sz w:val="18"/>
                <w:szCs w:val="18"/>
                <w:color w:val="0000FF"/>
                <w:w w:val="89"/>
              </w:rPr>
            </w:pPr>
            <w:hyperlink w:anchor="page100">
              <w:r>
                <w:rPr>
                  <w:rFonts w:ascii="Arial" w:cs="Arial" w:eastAsia="Arial" w:hAnsi="Arial"/>
                  <w:sz w:val="18"/>
                  <w:szCs w:val="18"/>
                  <w:color w:val="0000FF"/>
                  <w:w w:val="89"/>
                </w:rPr>
                <w:t>U.S.C. 1350</w:t>
              </w:r>
            </w:hyperlink>
          </w:p>
        </w:tc>
        <w:tc>
          <w:tcPr>
            <w:tcW w:w="3860" w:type="dxa"/>
            <w:vAlign w:val="bottom"/>
            <w:gridSpan w:val="2"/>
          </w:tcPr>
          <w:p>
            <w:pPr>
              <w:ind w:left="20"/>
              <w:spacing w:after="0"/>
              <w:rPr>
                <w:rFonts w:ascii="Arial" w:cs="Arial" w:eastAsia="Arial" w:hAnsi="Arial"/>
                <w:sz w:val="18"/>
                <w:szCs w:val="18"/>
                <w:color w:val="0000FF"/>
                <w:w w:val="91"/>
              </w:rPr>
            </w:pPr>
            <w:hyperlink w:anchor="page100">
              <w:r>
                <w:rPr>
                  <w:rFonts w:ascii="Arial" w:cs="Arial" w:eastAsia="Arial" w:hAnsi="Arial"/>
                  <w:sz w:val="18"/>
                  <w:szCs w:val="18"/>
                  <w:color w:val="0000FF"/>
                  <w:w w:val="91"/>
                </w:rPr>
                <w:t>(section 906 of Sarbanes-Oxley Act of 2002)—CEO</w:t>
              </w:r>
            </w:hyperlink>
            <w:r>
              <w:rPr>
                <w:rFonts w:ascii="Arial" w:cs="Arial" w:eastAsia="Arial" w:hAnsi="Arial"/>
                <w:sz w:val="18"/>
                <w:szCs w:val="18"/>
                <w:color w:val="000000"/>
                <w:w w:val="91"/>
              </w:rPr>
              <w:t>.</w:t>
            </w:r>
          </w:p>
        </w:tc>
      </w:tr>
      <w:tr>
        <w:trPr>
          <w:trHeight w:val="20"/>
        </w:trPr>
        <w:tc>
          <w:tcPr>
            <w:tcW w:w="94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940" w:type="dxa"/>
            <w:vAlign w:val="bottom"/>
          </w:tcPr>
          <w:p>
            <w:pPr>
              <w:jc w:val="right"/>
              <w:ind w:right="90"/>
              <w:spacing w:after="0"/>
              <w:rPr>
                <w:sz w:val="20"/>
                <w:szCs w:val="20"/>
                <w:color w:val="auto"/>
              </w:rPr>
            </w:pPr>
            <w:r>
              <w:rPr>
                <w:rFonts w:ascii="Arial" w:cs="Arial" w:eastAsia="Arial" w:hAnsi="Arial"/>
                <w:sz w:val="18"/>
                <w:szCs w:val="18"/>
                <w:color w:val="auto"/>
              </w:rPr>
              <w:t>*32.2</w:t>
            </w:r>
          </w:p>
        </w:tc>
        <w:tc>
          <w:tcPr>
            <w:tcW w:w="2000" w:type="dxa"/>
            <w:vAlign w:val="bottom"/>
            <w:gridSpan w:val="2"/>
          </w:tcPr>
          <w:p>
            <w:pPr>
              <w:spacing w:after="0"/>
              <w:rPr>
                <w:rFonts w:ascii="Arial" w:cs="Arial" w:eastAsia="Arial" w:hAnsi="Arial"/>
                <w:sz w:val="18"/>
                <w:szCs w:val="18"/>
                <w:color w:val="0000FF"/>
                <w:w w:val="91"/>
              </w:rPr>
            </w:pPr>
            <w:hyperlink w:anchor="page101">
              <w:r>
                <w:rPr>
                  <w:rFonts w:ascii="Arial" w:cs="Arial" w:eastAsia="Arial" w:hAnsi="Arial"/>
                  <w:sz w:val="18"/>
                  <w:szCs w:val="18"/>
                  <w:color w:val="0000FF"/>
                  <w:w w:val="91"/>
                </w:rPr>
                <w:t>Certification Pursuant to 18</w:t>
              </w:r>
            </w:hyperlink>
          </w:p>
        </w:tc>
        <w:tc>
          <w:tcPr>
            <w:tcW w:w="940" w:type="dxa"/>
            <w:vAlign w:val="bottom"/>
          </w:tcPr>
          <w:p>
            <w:pPr>
              <w:ind w:left="40"/>
              <w:spacing w:after="0"/>
              <w:rPr>
                <w:rFonts w:ascii="Arial" w:cs="Arial" w:eastAsia="Arial" w:hAnsi="Arial"/>
                <w:sz w:val="18"/>
                <w:szCs w:val="18"/>
                <w:color w:val="0000FF"/>
                <w:w w:val="89"/>
              </w:rPr>
            </w:pPr>
            <w:hyperlink w:anchor="page101">
              <w:r>
                <w:rPr>
                  <w:rFonts w:ascii="Arial" w:cs="Arial" w:eastAsia="Arial" w:hAnsi="Arial"/>
                  <w:sz w:val="18"/>
                  <w:szCs w:val="18"/>
                  <w:color w:val="0000FF"/>
                  <w:w w:val="89"/>
                </w:rPr>
                <w:t>U.S.C. 1350</w:t>
              </w:r>
            </w:hyperlink>
          </w:p>
        </w:tc>
        <w:tc>
          <w:tcPr>
            <w:tcW w:w="3860" w:type="dxa"/>
            <w:vAlign w:val="bottom"/>
            <w:gridSpan w:val="2"/>
          </w:tcPr>
          <w:p>
            <w:pPr>
              <w:ind w:left="20"/>
              <w:spacing w:after="0"/>
              <w:rPr>
                <w:rFonts w:ascii="Arial" w:cs="Arial" w:eastAsia="Arial" w:hAnsi="Arial"/>
                <w:sz w:val="18"/>
                <w:szCs w:val="18"/>
                <w:color w:val="0000FF"/>
                <w:w w:val="91"/>
              </w:rPr>
            </w:pPr>
            <w:hyperlink w:anchor="page101">
              <w:r>
                <w:rPr>
                  <w:rFonts w:ascii="Arial" w:cs="Arial" w:eastAsia="Arial" w:hAnsi="Arial"/>
                  <w:sz w:val="18"/>
                  <w:szCs w:val="18"/>
                  <w:color w:val="0000FF"/>
                  <w:w w:val="91"/>
                </w:rPr>
                <w:t>(section 906 of Sarbanes-Oxley Act of 2002)—CFO</w:t>
              </w:r>
            </w:hyperlink>
            <w:r>
              <w:rPr>
                <w:rFonts w:ascii="Arial" w:cs="Arial" w:eastAsia="Arial" w:hAnsi="Arial"/>
                <w:sz w:val="18"/>
                <w:szCs w:val="18"/>
                <w:color w:val="000000"/>
                <w:w w:val="91"/>
              </w:rPr>
              <w:t>.</w:t>
            </w:r>
          </w:p>
        </w:tc>
      </w:tr>
      <w:tr>
        <w:trPr>
          <w:trHeight w:val="372"/>
        </w:trPr>
        <w:tc>
          <w:tcPr>
            <w:tcW w:w="94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2000" w:type="dxa"/>
            <w:vAlign w:val="bottom"/>
            <w:tcBorders>
              <w:top w:val="single" w:sz="8" w:color="0000FF"/>
            </w:tcBorders>
            <w:gridSpan w:val="2"/>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Mine Safety Disclosure</w:t>
              </w:r>
            </w:hyperlink>
            <w:r>
              <w:rPr>
                <w:rFonts w:ascii="Arial" w:cs="Arial" w:eastAsia="Arial" w:hAnsi="Arial"/>
                <w:sz w:val="18"/>
                <w:szCs w:val="18"/>
                <w:color w:val="000000"/>
              </w:rPr>
              <w:t>.</w:t>
            </w:r>
          </w:p>
        </w:tc>
        <w:tc>
          <w:tcPr>
            <w:tcW w:w="940" w:type="dxa"/>
            <w:vAlign w:val="bottom"/>
            <w:tcBorders>
              <w:top w:val="single" w:sz="8" w:color="0000FF"/>
            </w:tcBorders>
          </w:tcPr>
          <w:p>
            <w:pPr>
              <w:spacing w:after="0"/>
              <w:rPr>
                <w:sz w:val="24"/>
                <w:szCs w:val="24"/>
                <w:color w:val="auto"/>
              </w:rPr>
            </w:pPr>
          </w:p>
        </w:tc>
        <w:tc>
          <w:tcPr>
            <w:tcW w:w="38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94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2000" w:type="dxa"/>
            <w:vAlign w:val="bottom"/>
            <w:gridSpan w:val="2"/>
          </w:tcPr>
          <w:p>
            <w:pPr>
              <w:spacing w:after="0"/>
              <w:rPr>
                <w:sz w:val="20"/>
                <w:szCs w:val="20"/>
                <w:color w:val="auto"/>
              </w:rPr>
            </w:pPr>
            <w:r>
              <w:rPr>
                <w:rFonts w:ascii="Arial" w:cs="Arial" w:eastAsia="Arial" w:hAnsi="Arial"/>
                <w:sz w:val="18"/>
                <w:szCs w:val="18"/>
                <w:color w:val="auto"/>
                <w:w w:val="93"/>
              </w:rPr>
              <w:t>XBRL Instance Document.</w:t>
            </w:r>
          </w:p>
        </w:tc>
        <w:tc>
          <w:tcPr>
            <w:tcW w:w="9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940" w:type="dxa"/>
            <w:vAlign w:val="bottom"/>
          </w:tcPr>
          <w:p>
            <w:pPr>
              <w:jc w:val="right"/>
              <w:ind w:right="90"/>
              <w:spacing w:after="0"/>
              <w:rPr>
                <w:sz w:val="20"/>
                <w:szCs w:val="20"/>
                <w:color w:val="auto"/>
              </w:rPr>
            </w:pPr>
            <w:r>
              <w:rPr>
                <w:rFonts w:ascii="Arial" w:cs="Arial" w:eastAsia="Arial" w:hAnsi="Arial"/>
                <w:sz w:val="18"/>
                <w:szCs w:val="18"/>
                <w:color w:val="auto"/>
                <w:w w:val="92"/>
              </w:rPr>
              <w:t>*101.SCH</w:t>
            </w:r>
          </w:p>
        </w:tc>
        <w:tc>
          <w:tcPr>
            <w:tcW w:w="2940" w:type="dxa"/>
            <w:vAlign w:val="bottom"/>
            <w:gridSpan w:val="3"/>
          </w:tcPr>
          <w:p>
            <w:pPr>
              <w:spacing w:after="0"/>
              <w:rPr>
                <w:sz w:val="20"/>
                <w:szCs w:val="20"/>
                <w:color w:val="auto"/>
              </w:rPr>
            </w:pPr>
            <w:r>
              <w:rPr>
                <w:rFonts w:ascii="Arial" w:cs="Arial" w:eastAsia="Arial" w:hAnsi="Arial"/>
                <w:sz w:val="18"/>
                <w:szCs w:val="18"/>
                <w:color w:val="auto"/>
                <w:w w:val="97"/>
              </w:rPr>
              <w:t>XBRL Taxonomy Schema Document.</w:t>
            </w:r>
          </w:p>
        </w:tc>
        <w:tc>
          <w:tcPr>
            <w:tcW w:w="3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940" w:type="dxa"/>
            <w:vAlign w:val="bottom"/>
          </w:tcPr>
          <w:p>
            <w:pPr>
              <w:jc w:val="right"/>
              <w:ind w:right="90"/>
              <w:spacing w:after="0"/>
              <w:rPr>
                <w:sz w:val="20"/>
                <w:szCs w:val="20"/>
                <w:color w:val="auto"/>
              </w:rPr>
            </w:pPr>
            <w:r>
              <w:rPr>
                <w:rFonts w:ascii="Arial" w:cs="Arial" w:eastAsia="Arial" w:hAnsi="Arial"/>
                <w:sz w:val="18"/>
                <w:szCs w:val="18"/>
                <w:color w:val="auto"/>
                <w:w w:val="95"/>
              </w:rPr>
              <w:t>*101.CAL</w:t>
            </w:r>
          </w:p>
        </w:tc>
        <w:tc>
          <w:tcPr>
            <w:tcW w:w="680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940" w:type="dxa"/>
            <w:vAlign w:val="bottom"/>
          </w:tcPr>
          <w:p>
            <w:pPr>
              <w:jc w:val="right"/>
              <w:ind w:right="90"/>
              <w:spacing w:after="0"/>
              <w:rPr>
                <w:sz w:val="20"/>
                <w:szCs w:val="20"/>
                <w:color w:val="auto"/>
              </w:rPr>
            </w:pPr>
            <w:r>
              <w:rPr>
                <w:rFonts w:ascii="Arial" w:cs="Arial" w:eastAsia="Arial" w:hAnsi="Arial"/>
                <w:sz w:val="18"/>
                <w:szCs w:val="18"/>
                <w:color w:val="auto"/>
                <w:w w:val="94"/>
              </w:rPr>
              <w:t>*101.DEF</w:t>
            </w:r>
          </w:p>
        </w:tc>
        <w:tc>
          <w:tcPr>
            <w:tcW w:w="68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940" w:type="dxa"/>
            <w:vAlign w:val="bottom"/>
          </w:tcPr>
          <w:p>
            <w:pPr>
              <w:jc w:val="right"/>
              <w:ind w:right="90"/>
              <w:spacing w:after="0"/>
              <w:rPr>
                <w:sz w:val="20"/>
                <w:szCs w:val="20"/>
                <w:color w:val="auto"/>
              </w:rPr>
            </w:pPr>
            <w:r>
              <w:rPr>
                <w:rFonts w:ascii="Arial" w:cs="Arial" w:eastAsia="Arial" w:hAnsi="Arial"/>
                <w:sz w:val="18"/>
                <w:szCs w:val="18"/>
                <w:color w:val="auto"/>
                <w:w w:val="97"/>
              </w:rPr>
              <w:t>*101.LAB</w:t>
            </w:r>
          </w:p>
        </w:tc>
        <w:tc>
          <w:tcPr>
            <w:tcW w:w="6800" w:type="dxa"/>
            <w:vAlign w:val="bottom"/>
            <w:gridSpan w:val="5"/>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940" w:type="dxa"/>
            <w:vAlign w:val="bottom"/>
          </w:tcPr>
          <w:p>
            <w:pPr>
              <w:jc w:val="right"/>
              <w:ind w:right="90"/>
              <w:spacing w:after="0"/>
              <w:rPr>
                <w:sz w:val="20"/>
                <w:szCs w:val="20"/>
                <w:color w:val="auto"/>
              </w:rPr>
            </w:pPr>
            <w:r>
              <w:rPr>
                <w:rFonts w:ascii="Arial" w:cs="Arial" w:eastAsia="Arial" w:hAnsi="Arial"/>
                <w:sz w:val="18"/>
                <w:szCs w:val="18"/>
                <w:color w:val="auto"/>
                <w:w w:val="93"/>
              </w:rPr>
              <w:t>*101.PRE</w:t>
            </w:r>
          </w:p>
        </w:tc>
        <w:tc>
          <w:tcPr>
            <w:tcW w:w="68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+Management Contract or Compensatory Plan.</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 Paper filing.</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340"/>
          </w:cols>
          <w:pgMar w:left="240" w:top="125" w:right="319" w:bottom="528"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340"/>
          </w:cols>
          <w:pgMar w:left="240" w:top="125" w:right="319" w:bottom="528"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Matrix Service Company has duly caused this report to be signed on its behalf by the undersigned, thereunto duly authorized.</w:t>
      </w:r>
    </w:p>
    <w:p>
      <w:pPr>
        <w:spacing w:after="0" w:line="275" w:lineRule="exact"/>
        <w:rPr>
          <w:sz w:val="20"/>
          <w:szCs w:val="20"/>
          <w:color w:val="auto"/>
        </w:rPr>
      </w:pPr>
    </w:p>
    <w:p>
      <w:pPr>
        <w:ind w:left="7020"/>
        <w:spacing w:after="0"/>
        <w:rPr>
          <w:sz w:val="20"/>
          <w:szCs w:val="20"/>
          <w:color w:val="auto"/>
        </w:rPr>
      </w:pPr>
      <w:r>
        <w:rPr>
          <w:rFonts w:ascii="Arial" w:cs="Arial" w:eastAsia="Arial" w:hAnsi="Arial"/>
          <w:sz w:val="18"/>
          <w:szCs w:val="18"/>
          <w:b w:val="1"/>
          <w:bCs w:val="1"/>
          <w:color w:val="auto"/>
        </w:rPr>
        <w:t>Matrix Service Company</w:t>
      </w:r>
    </w:p>
    <w:p>
      <w:pPr>
        <w:spacing w:after="0" w:line="387" w:lineRule="exact"/>
        <w:rPr>
          <w:sz w:val="20"/>
          <w:szCs w:val="20"/>
          <w:color w:val="auto"/>
        </w:rPr>
      </w:pPr>
    </w:p>
    <w:p>
      <w:pPr>
        <w:ind w:left="40"/>
        <w:spacing w:after="0"/>
        <w:tabs>
          <w:tab w:leader="none" w:pos="7200" w:val="left"/>
          <w:tab w:leader="none" w:pos="8880" w:val="left"/>
        </w:tabs>
        <w:rPr>
          <w:sz w:val="20"/>
          <w:szCs w:val="20"/>
          <w:color w:val="auto"/>
        </w:rPr>
      </w:pPr>
      <w:r>
        <w:rPr>
          <w:rFonts w:ascii="Arial" w:cs="Arial" w:eastAsia="Arial" w:hAnsi="Arial"/>
          <w:sz w:val="18"/>
          <w:szCs w:val="18"/>
          <w:color w:val="auto"/>
        </w:rPr>
        <w:t>Date : September 12,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b w:val="1"/>
          <w:bCs w:val="1"/>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34290</wp:posOffset>
            </wp:positionV>
            <wp:extent cx="23152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2"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John R. Hewitt, President and</w:t>
      </w:r>
    </w:p>
    <w:p>
      <w:pPr>
        <w:spacing w:after="0" w:line="4"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Chief Executive Officer</w:t>
      </w:r>
    </w:p>
    <w:p>
      <w:pPr>
        <w:spacing w:after="0" w:line="16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w w:val="88"/>
              </w:rPr>
              <w:t>Signatures</w:t>
            </w:r>
          </w:p>
        </w:tc>
        <w:tc>
          <w:tcPr>
            <w:tcW w:w="1560" w:type="dxa"/>
            <w:vAlign w:val="bottom"/>
          </w:tcPr>
          <w:p>
            <w:pPr>
              <w:spacing w:after="0"/>
              <w:rPr>
                <w:sz w:val="14"/>
                <w:szCs w:val="14"/>
                <w:color w:val="auto"/>
              </w:rPr>
            </w:pPr>
          </w:p>
        </w:tc>
        <w:tc>
          <w:tcPr>
            <w:tcW w:w="5000" w:type="dxa"/>
            <w:vAlign w:val="bottom"/>
            <w:gridSpan w:val="3"/>
          </w:tcPr>
          <w:p>
            <w:pPr>
              <w:jc w:val="center"/>
              <w:ind w:left="71"/>
              <w:spacing w:after="0"/>
              <w:rPr>
                <w:sz w:val="20"/>
                <w:szCs w:val="20"/>
                <w:color w:val="auto"/>
              </w:rPr>
            </w:pPr>
            <w:r>
              <w:rPr>
                <w:rFonts w:ascii="Arial" w:cs="Arial" w:eastAsia="Arial" w:hAnsi="Arial"/>
                <w:sz w:val="14"/>
                <w:szCs w:val="14"/>
                <w:b w:val="1"/>
                <w:bCs w:val="1"/>
                <w:color w:val="auto"/>
                <w:w w:val="97"/>
              </w:rPr>
              <w:t>Title</w:t>
            </w:r>
          </w:p>
        </w:tc>
        <w:tc>
          <w:tcPr>
            <w:tcW w:w="2160" w:type="dxa"/>
            <w:vAlign w:val="bottom"/>
            <w:gridSpan w:val="3"/>
          </w:tcPr>
          <w:p>
            <w:pPr>
              <w:jc w:val="center"/>
              <w:ind w:left="632"/>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320" w:type="dxa"/>
            <w:vAlign w:val="bottom"/>
          </w:tcPr>
          <w:p>
            <w:pPr>
              <w:ind w:left="1040"/>
              <w:spacing w:after="0"/>
              <w:rPr>
                <w:sz w:val="20"/>
                <w:szCs w:val="20"/>
                <w:color w:val="auto"/>
              </w:rPr>
            </w:pPr>
            <w:r>
              <w:rPr>
                <w:rFonts w:ascii="Arial" w:cs="Arial" w:eastAsia="Arial" w:hAnsi="Arial"/>
                <w:sz w:val="18"/>
                <w:szCs w:val="18"/>
                <w:b w:val="1"/>
                <w:bCs w:val="1"/>
                <w:color w:val="auto"/>
              </w:rPr>
              <w:t>/S/</w:t>
            </w:r>
          </w:p>
        </w:tc>
        <w:tc>
          <w:tcPr>
            <w:tcW w:w="2460" w:type="dxa"/>
            <w:vAlign w:val="bottom"/>
            <w:gridSpan w:val="3"/>
          </w:tcPr>
          <w:p>
            <w:pPr>
              <w:ind w:left="100"/>
              <w:spacing w:after="0"/>
              <w:rPr>
                <w:sz w:val="20"/>
                <w:szCs w:val="20"/>
                <w:color w:val="auto"/>
              </w:rPr>
            </w:pPr>
            <w:r>
              <w:rPr>
                <w:rFonts w:ascii="Arial" w:cs="Arial" w:eastAsia="Arial" w:hAnsi="Arial"/>
                <w:sz w:val="18"/>
                <w:szCs w:val="18"/>
                <w:b w:val="1"/>
                <w:bCs w:val="1"/>
                <w:color w:val="auto"/>
              </w:rPr>
              <w:t>Tom E. Maxwell</w:t>
            </w:r>
          </w:p>
        </w:tc>
        <w:tc>
          <w:tcPr>
            <w:tcW w:w="5000" w:type="dxa"/>
            <w:vAlign w:val="bottom"/>
            <w:gridSpan w:val="3"/>
          </w:tcPr>
          <w:p>
            <w:pPr>
              <w:jc w:val="center"/>
              <w:ind w:left="71"/>
              <w:spacing w:after="0"/>
              <w:rPr>
                <w:sz w:val="20"/>
                <w:szCs w:val="20"/>
                <w:color w:val="auto"/>
              </w:rPr>
            </w:pPr>
            <w:r>
              <w:rPr>
                <w:rFonts w:ascii="Arial" w:cs="Arial" w:eastAsia="Arial" w:hAnsi="Arial"/>
                <w:sz w:val="18"/>
                <w:szCs w:val="18"/>
                <w:color w:val="auto"/>
                <w:w w:val="92"/>
              </w:rPr>
              <w:t>Chairman of the Board of Directors</w:t>
            </w:r>
          </w:p>
        </w:tc>
        <w:tc>
          <w:tcPr>
            <w:tcW w:w="216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September 12, 2018</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80" w:type="dxa"/>
            <w:vAlign w:val="bottom"/>
            <w:gridSpan w:val="4"/>
          </w:tcPr>
          <w:p>
            <w:pPr>
              <w:ind w:left="1040"/>
              <w:spacing w:after="0"/>
              <w:rPr>
                <w:sz w:val="20"/>
                <w:szCs w:val="20"/>
                <w:color w:val="auto"/>
              </w:rPr>
            </w:pPr>
            <w:r>
              <w:rPr>
                <w:rFonts w:ascii="Arial" w:cs="Arial" w:eastAsia="Arial" w:hAnsi="Arial"/>
                <w:sz w:val="14"/>
                <w:szCs w:val="14"/>
                <w:b w:val="1"/>
                <w:bCs w:val="1"/>
                <w:color w:val="auto"/>
              </w:rPr>
              <w:t>Tom E. Maxwell</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1320" w:type="dxa"/>
            <w:vAlign w:val="bottom"/>
          </w:tcPr>
          <w:p>
            <w:pPr>
              <w:ind w:left="1040"/>
              <w:spacing w:after="0"/>
              <w:rPr>
                <w:sz w:val="20"/>
                <w:szCs w:val="20"/>
                <w:color w:val="auto"/>
              </w:rPr>
            </w:pPr>
            <w:r>
              <w:rPr>
                <w:rFonts w:ascii="Arial" w:cs="Arial" w:eastAsia="Arial" w:hAnsi="Arial"/>
                <w:sz w:val="18"/>
                <w:szCs w:val="18"/>
                <w:b w:val="1"/>
                <w:bCs w:val="1"/>
                <w:color w:val="auto"/>
              </w:rPr>
              <w:t>/S/</w:t>
            </w:r>
          </w:p>
        </w:tc>
        <w:tc>
          <w:tcPr>
            <w:tcW w:w="2460" w:type="dxa"/>
            <w:vAlign w:val="bottom"/>
            <w:gridSpan w:val="3"/>
          </w:tcPr>
          <w:p>
            <w:pPr>
              <w:ind w:left="100"/>
              <w:spacing w:after="0"/>
              <w:rPr>
                <w:sz w:val="20"/>
                <w:szCs w:val="20"/>
                <w:color w:val="auto"/>
              </w:rPr>
            </w:pPr>
            <w:r>
              <w:rPr>
                <w:rFonts w:ascii="Arial" w:cs="Arial" w:eastAsia="Arial" w:hAnsi="Arial"/>
                <w:sz w:val="18"/>
                <w:szCs w:val="18"/>
                <w:b w:val="1"/>
                <w:bCs w:val="1"/>
                <w:color w:val="auto"/>
              </w:rPr>
              <w:t>John R. Hewitt</w:t>
            </w:r>
          </w:p>
        </w:tc>
        <w:tc>
          <w:tcPr>
            <w:tcW w:w="5000" w:type="dxa"/>
            <w:vAlign w:val="bottom"/>
            <w:gridSpan w:val="3"/>
          </w:tcPr>
          <w:p>
            <w:pPr>
              <w:jc w:val="center"/>
              <w:ind w:left="71"/>
              <w:spacing w:after="0"/>
              <w:rPr>
                <w:sz w:val="20"/>
                <w:szCs w:val="20"/>
                <w:color w:val="auto"/>
              </w:rPr>
            </w:pPr>
            <w:r>
              <w:rPr>
                <w:rFonts w:ascii="Arial" w:cs="Arial" w:eastAsia="Arial" w:hAnsi="Arial"/>
                <w:sz w:val="18"/>
                <w:szCs w:val="18"/>
                <w:color w:val="auto"/>
                <w:w w:val="92"/>
              </w:rPr>
              <w:t>President, Chief Executive Officer and Director</w:t>
            </w:r>
          </w:p>
        </w:tc>
        <w:tc>
          <w:tcPr>
            <w:tcW w:w="216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September 12, 2018</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0" w:type="dxa"/>
            <w:vAlign w:val="bottom"/>
            <w:gridSpan w:val="3"/>
            <w:vMerge w:val="restart"/>
          </w:tcPr>
          <w:p>
            <w:pPr>
              <w:jc w:val="center"/>
              <w:ind w:left="51"/>
              <w:spacing w:after="0"/>
              <w:rPr>
                <w:sz w:val="20"/>
                <w:szCs w:val="20"/>
                <w:color w:val="auto"/>
              </w:rPr>
            </w:pPr>
            <w:r>
              <w:rPr>
                <w:rFonts w:ascii="Arial" w:cs="Arial" w:eastAsia="Arial" w:hAnsi="Arial"/>
                <w:sz w:val="18"/>
                <w:szCs w:val="18"/>
                <w:color w:val="auto"/>
                <w:w w:val="94"/>
              </w:rPr>
              <w:t>(Principal Executive Officer)</w:t>
            </w: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80" w:type="dxa"/>
            <w:vAlign w:val="bottom"/>
            <w:gridSpan w:val="4"/>
          </w:tcPr>
          <w:p>
            <w:pPr>
              <w:ind w:left="1040"/>
              <w:spacing w:after="0"/>
              <w:rPr>
                <w:sz w:val="20"/>
                <w:szCs w:val="20"/>
                <w:color w:val="auto"/>
              </w:rPr>
            </w:pPr>
            <w:r>
              <w:rPr>
                <w:rFonts w:ascii="Arial" w:cs="Arial" w:eastAsia="Arial" w:hAnsi="Arial"/>
                <w:sz w:val="14"/>
                <w:szCs w:val="14"/>
                <w:b w:val="1"/>
                <w:bCs w:val="1"/>
                <w:color w:val="auto"/>
              </w:rPr>
              <w:t>John R. Hewitt</w:t>
            </w:r>
          </w:p>
        </w:tc>
        <w:tc>
          <w:tcPr>
            <w:tcW w:w="5000" w:type="dxa"/>
            <w:vAlign w:val="bottom"/>
            <w:gridSpan w:val="3"/>
            <w:vMerge w:val="continue"/>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0"/>
        </w:trPr>
        <w:tc>
          <w:tcPr>
            <w:tcW w:w="1320" w:type="dxa"/>
            <w:vAlign w:val="bottom"/>
            <w:vMerge w:val="restart"/>
          </w:tcPr>
          <w:p>
            <w:pPr>
              <w:ind w:left="1040"/>
              <w:spacing w:after="0"/>
              <w:rPr>
                <w:sz w:val="20"/>
                <w:szCs w:val="20"/>
                <w:color w:val="auto"/>
              </w:rPr>
            </w:pPr>
            <w:r>
              <w:rPr>
                <w:rFonts w:ascii="Arial" w:cs="Arial" w:eastAsia="Arial" w:hAnsi="Arial"/>
                <w:sz w:val="18"/>
                <w:szCs w:val="18"/>
                <w:b w:val="1"/>
                <w:bCs w:val="1"/>
                <w:color w:val="auto"/>
              </w:rPr>
              <w:t>/S/</w:t>
            </w:r>
          </w:p>
        </w:tc>
        <w:tc>
          <w:tcPr>
            <w:tcW w:w="246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Kevin S. Cavanah</w:t>
            </w:r>
          </w:p>
        </w:tc>
        <w:tc>
          <w:tcPr>
            <w:tcW w:w="5000" w:type="dxa"/>
            <w:vAlign w:val="bottom"/>
            <w:gridSpan w:val="3"/>
          </w:tcPr>
          <w:p>
            <w:pPr>
              <w:jc w:val="center"/>
              <w:ind w:left="71"/>
              <w:spacing w:after="0"/>
              <w:rPr>
                <w:sz w:val="20"/>
                <w:szCs w:val="20"/>
                <w:color w:val="auto"/>
              </w:rPr>
            </w:pPr>
            <w:r>
              <w:rPr>
                <w:rFonts w:ascii="Arial" w:cs="Arial" w:eastAsia="Arial" w:hAnsi="Arial"/>
                <w:sz w:val="18"/>
                <w:szCs w:val="18"/>
                <w:color w:val="auto"/>
                <w:w w:val="89"/>
              </w:rPr>
              <w:t>Vice President</w:t>
            </w:r>
          </w:p>
        </w:tc>
        <w:tc>
          <w:tcPr>
            <w:tcW w:w="216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September 12, 2018</w:t>
            </w:r>
          </w:p>
        </w:tc>
        <w:tc>
          <w:tcPr>
            <w:tcW w:w="0" w:type="dxa"/>
            <w:vAlign w:val="bottom"/>
          </w:tcPr>
          <w:p>
            <w:pPr>
              <w:spacing w:after="0"/>
              <w:rPr>
                <w:sz w:val="1"/>
                <w:szCs w:val="1"/>
                <w:color w:val="auto"/>
              </w:rPr>
            </w:pPr>
          </w:p>
        </w:tc>
      </w:tr>
      <w:tr>
        <w:trPr>
          <w:trHeight w:val="230"/>
        </w:trPr>
        <w:tc>
          <w:tcPr>
            <w:tcW w:w="1320" w:type="dxa"/>
            <w:vAlign w:val="bottom"/>
            <w:vMerge w:val="continue"/>
          </w:tcPr>
          <w:p>
            <w:pPr>
              <w:spacing w:after="0"/>
              <w:rPr>
                <w:sz w:val="20"/>
                <w:szCs w:val="20"/>
                <w:color w:val="auto"/>
              </w:rPr>
            </w:pPr>
          </w:p>
        </w:tc>
        <w:tc>
          <w:tcPr>
            <w:tcW w:w="2460" w:type="dxa"/>
            <w:vAlign w:val="bottom"/>
            <w:gridSpan w:val="3"/>
            <w:vMerge w:val="continue"/>
          </w:tcPr>
          <w:p>
            <w:pPr>
              <w:spacing w:after="0"/>
              <w:rPr>
                <w:sz w:val="20"/>
                <w:szCs w:val="20"/>
                <w:color w:val="auto"/>
              </w:rPr>
            </w:pPr>
          </w:p>
        </w:tc>
        <w:tc>
          <w:tcPr>
            <w:tcW w:w="5000" w:type="dxa"/>
            <w:vAlign w:val="bottom"/>
            <w:gridSpan w:val="3"/>
          </w:tcPr>
          <w:p>
            <w:pPr>
              <w:jc w:val="center"/>
              <w:ind w:left="51"/>
              <w:spacing w:after="0"/>
              <w:rPr>
                <w:sz w:val="20"/>
                <w:szCs w:val="20"/>
                <w:color w:val="auto"/>
              </w:rPr>
            </w:pPr>
            <w:r>
              <w:rPr>
                <w:rFonts w:ascii="Arial" w:cs="Arial" w:eastAsia="Arial" w:hAnsi="Arial"/>
                <w:sz w:val="18"/>
                <w:szCs w:val="18"/>
                <w:color w:val="auto"/>
                <w:w w:val="93"/>
              </w:rPr>
              <w:t>and Chief Financial Officer</w:t>
            </w: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0" w:type="dxa"/>
            <w:vAlign w:val="bottom"/>
            <w:gridSpan w:val="3"/>
            <w:vMerge w:val="restart"/>
          </w:tcPr>
          <w:p>
            <w:pPr>
              <w:jc w:val="center"/>
              <w:ind w:left="51"/>
              <w:spacing w:after="0"/>
              <w:rPr>
                <w:sz w:val="20"/>
                <w:szCs w:val="20"/>
                <w:color w:val="auto"/>
              </w:rPr>
            </w:pPr>
            <w:r>
              <w:rPr>
                <w:rFonts w:ascii="Arial" w:cs="Arial" w:eastAsia="Arial" w:hAnsi="Arial"/>
                <w:sz w:val="18"/>
                <w:szCs w:val="18"/>
                <w:color w:val="auto"/>
                <w:w w:val="93"/>
              </w:rPr>
              <w:t>(Principal Accounting and</w:t>
            </w: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gridSpan w:val="4"/>
          </w:tcPr>
          <w:p>
            <w:pPr>
              <w:ind w:left="1040"/>
              <w:spacing w:after="0"/>
              <w:rPr>
                <w:sz w:val="20"/>
                <w:szCs w:val="20"/>
                <w:color w:val="auto"/>
              </w:rPr>
            </w:pPr>
            <w:r>
              <w:rPr>
                <w:rFonts w:ascii="Arial" w:cs="Arial" w:eastAsia="Arial" w:hAnsi="Arial"/>
                <w:sz w:val="14"/>
                <w:szCs w:val="14"/>
                <w:b w:val="1"/>
                <w:bCs w:val="1"/>
                <w:color w:val="auto"/>
              </w:rPr>
              <w:t>Kevin S. Cavanah</w:t>
            </w:r>
          </w:p>
        </w:tc>
        <w:tc>
          <w:tcPr>
            <w:tcW w:w="5000" w:type="dxa"/>
            <w:vAlign w:val="bottom"/>
            <w:gridSpan w:val="3"/>
            <w:vMerge w:val="continue"/>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000" w:type="dxa"/>
            <w:vAlign w:val="bottom"/>
            <w:gridSpan w:val="3"/>
          </w:tcPr>
          <w:p>
            <w:pPr>
              <w:jc w:val="center"/>
              <w:ind w:left="51"/>
              <w:spacing w:after="0"/>
              <w:rPr>
                <w:sz w:val="20"/>
                <w:szCs w:val="20"/>
                <w:color w:val="auto"/>
              </w:rPr>
            </w:pPr>
            <w:r>
              <w:rPr>
                <w:rFonts w:ascii="Arial" w:cs="Arial" w:eastAsia="Arial" w:hAnsi="Arial"/>
                <w:sz w:val="18"/>
                <w:szCs w:val="18"/>
                <w:color w:val="auto"/>
                <w:w w:val="94"/>
              </w:rPr>
              <w:t>Principal Financial Officer)</w:t>
            </w: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20" w:type="dxa"/>
            <w:vAlign w:val="bottom"/>
          </w:tcPr>
          <w:p>
            <w:pPr>
              <w:ind w:left="1040"/>
              <w:spacing w:after="0"/>
              <w:rPr>
                <w:sz w:val="20"/>
                <w:szCs w:val="20"/>
                <w:color w:val="auto"/>
              </w:rPr>
            </w:pPr>
            <w:r>
              <w:rPr>
                <w:rFonts w:ascii="Arial" w:cs="Arial" w:eastAsia="Arial" w:hAnsi="Arial"/>
                <w:sz w:val="18"/>
                <w:szCs w:val="18"/>
                <w:b w:val="1"/>
                <w:bCs w:val="1"/>
                <w:color w:val="auto"/>
              </w:rPr>
              <w:t>/S/</w:t>
            </w:r>
          </w:p>
        </w:tc>
        <w:tc>
          <w:tcPr>
            <w:tcW w:w="2460" w:type="dxa"/>
            <w:vAlign w:val="bottom"/>
            <w:gridSpan w:val="3"/>
          </w:tcPr>
          <w:p>
            <w:pPr>
              <w:ind w:left="100"/>
              <w:spacing w:after="0"/>
              <w:rPr>
                <w:sz w:val="20"/>
                <w:szCs w:val="20"/>
                <w:color w:val="auto"/>
              </w:rPr>
            </w:pPr>
            <w:r>
              <w:rPr>
                <w:rFonts w:ascii="Arial" w:cs="Arial" w:eastAsia="Arial" w:hAnsi="Arial"/>
                <w:sz w:val="18"/>
                <w:szCs w:val="18"/>
                <w:b w:val="1"/>
                <w:bCs w:val="1"/>
                <w:color w:val="auto"/>
              </w:rPr>
              <w:t>Martha Z. Carnes</w:t>
            </w:r>
          </w:p>
        </w:tc>
        <w:tc>
          <w:tcPr>
            <w:tcW w:w="5000" w:type="dxa"/>
            <w:vAlign w:val="bottom"/>
            <w:gridSpan w:val="3"/>
          </w:tcPr>
          <w:p>
            <w:pPr>
              <w:jc w:val="center"/>
              <w:ind w:left="71"/>
              <w:spacing w:after="0"/>
              <w:rPr>
                <w:sz w:val="20"/>
                <w:szCs w:val="20"/>
                <w:color w:val="auto"/>
              </w:rPr>
            </w:pPr>
            <w:r>
              <w:rPr>
                <w:rFonts w:ascii="Arial" w:cs="Arial" w:eastAsia="Arial" w:hAnsi="Arial"/>
                <w:sz w:val="18"/>
                <w:szCs w:val="18"/>
                <w:color w:val="auto"/>
                <w:w w:val="95"/>
              </w:rPr>
              <w:t>Director</w:t>
            </w:r>
          </w:p>
        </w:tc>
        <w:tc>
          <w:tcPr>
            <w:tcW w:w="216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September 12, 2018</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780" w:type="dxa"/>
            <w:vAlign w:val="bottom"/>
            <w:gridSpan w:val="4"/>
          </w:tcPr>
          <w:p>
            <w:pPr>
              <w:ind w:left="1040"/>
              <w:spacing w:after="0"/>
              <w:rPr>
                <w:sz w:val="20"/>
                <w:szCs w:val="20"/>
                <w:color w:val="auto"/>
              </w:rPr>
            </w:pPr>
            <w:r>
              <w:rPr>
                <w:rFonts w:ascii="Arial" w:cs="Arial" w:eastAsia="Arial" w:hAnsi="Arial"/>
                <w:sz w:val="14"/>
                <w:szCs w:val="14"/>
                <w:b w:val="1"/>
                <w:bCs w:val="1"/>
                <w:color w:val="auto"/>
              </w:rPr>
              <w:t>Martha Z. Carnes</w:t>
            </w:r>
          </w:p>
        </w:tc>
        <w:tc>
          <w:tcPr>
            <w:tcW w:w="2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9"/>
        </w:trPr>
        <w:tc>
          <w:tcPr>
            <w:tcW w:w="1320" w:type="dxa"/>
            <w:vAlign w:val="bottom"/>
          </w:tcPr>
          <w:p>
            <w:pPr>
              <w:ind w:left="1040"/>
              <w:spacing w:after="0"/>
              <w:rPr>
                <w:sz w:val="20"/>
                <w:szCs w:val="20"/>
                <w:color w:val="auto"/>
              </w:rPr>
            </w:pPr>
            <w:r>
              <w:rPr>
                <w:rFonts w:ascii="Arial" w:cs="Arial" w:eastAsia="Arial" w:hAnsi="Arial"/>
                <w:sz w:val="18"/>
                <w:szCs w:val="18"/>
                <w:b w:val="1"/>
                <w:bCs w:val="1"/>
                <w:color w:val="auto"/>
              </w:rPr>
              <w:t>/S/</w:t>
            </w:r>
          </w:p>
        </w:tc>
        <w:tc>
          <w:tcPr>
            <w:tcW w:w="2460" w:type="dxa"/>
            <w:vAlign w:val="bottom"/>
            <w:gridSpan w:val="3"/>
          </w:tcPr>
          <w:p>
            <w:pPr>
              <w:ind w:left="100"/>
              <w:spacing w:after="0"/>
              <w:rPr>
                <w:sz w:val="20"/>
                <w:szCs w:val="20"/>
                <w:color w:val="auto"/>
              </w:rPr>
            </w:pPr>
            <w:r>
              <w:rPr>
                <w:rFonts w:ascii="Arial" w:cs="Arial" w:eastAsia="Arial" w:hAnsi="Arial"/>
                <w:sz w:val="18"/>
                <w:szCs w:val="18"/>
                <w:b w:val="1"/>
                <w:bCs w:val="1"/>
                <w:color w:val="auto"/>
              </w:rPr>
              <w:t>John D. Chandler</w:t>
            </w:r>
          </w:p>
        </w:tc>
        <w:tc>
          <w:tcPr>
            <w:tcW w:w="5000" w:type="dxa"/>
            <w:vAlign w:val="bottom"/>
            <w:gridSpan w:val="3"/>
          </w:tcPr>
          <w:p>
            <w:pPr>
              <w:jc w:val="center"/>
              <w:ind w:left="71"/>
              <w:spacing w:after="0"/>
              <w:rPr>
                <w:sz w:val="20"/>
                <w:szCs w:val="20"/>
                <w:color w:val="auto"/>
              </w:rPr>
            </w:pPr>
            <w:r>
              <w:rPr>
                <w:rFonts w:ascii="Arial" w:cs="Arial" w:eastAsia="Arial" w:hAnsi="Arial"/>
                <w:sz w:val="18"/>
                <w:szCs w:val="18"/>
                <w:color w:val="auto"/>
                <w:w w:val="95"/>
              </w:rPr>
              <w:t>Director</w:t>
            </w:r>
          </w:p>
        </w:tc>
        <w:tc>
          <w:tcPr>
            <w:tcW w:w="216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September 12, 2018</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780" w:type="dxa"/>
            <w:vAlign w:val="bottom"/>
            <w:gridSpan w:val="4"/>
          </w:tcPr>
          <w:p>
            <w:pPr>
              <w:ind w:left="1040"/>
              <w:spacing w:after="0"/>
              <w:rPr>
                <w:sz w:val="20"/>
                <w:szCs w:val="20"/>
                <w:color w:val="auto"/>
              </w:rPr>
            </w:pPr>
            <w:r>
              <w:rPr>
                <w:rFonts w:ascii="Arial" w:cs="Arial" w:eastAsia="Arial" w:hAnsi="Arial"/>
                <w:sz w:val="14"/>
                <w:szCs w:val="14"/>
                <w:b w:val="1"/>
                <w:bCs w:val="1"/>
                <w:color w:val="auto"/>
              </w:rPr>
              <w:t>John D. Chandler</w:t>
            </w:r>
          </w:p>
        </w:tc>
        <w:tc>
          <w:tcPr>
            <w:tcW w:w="2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9"/>
        </w:trPr>
        <w:tc>
          <w:tcPr>
            <w:tcW w:w="1320" w:type="dxa"/>
            <w:vAlign w:val="bottom"/>
          </w:tcPr>
          <w:p>
            <w:pPr>
              <w:ind w:left="1040"/>
              <w:spacing w:after="0"/>
              <w:rPr>
                <w:sz w:val="20"/>
                <w:szCs w:val="20"/>
                <w:color w:val="auto"/>
              </w:rPr>
            </w:pPr>
            <w:r>
              <w:rPr>
                <w:rFonts w:ascii="Arial" w:cs="Arial" w:eastAsia="Arial" w:hAnsi="Arial"/>
                <w:sz w:val="18"/>
                <w:szCs w:val="18"/>
                <w:b w:val="1"/>
                <w:bCs w:val="1"/>
                <w:color w:val="auto"/>
              </w:rPr>
              <w:t>/S/</w:t>
            </w:r>
          </w:p>
        </w:tc>
        <w:tc>
          <w:tcPr>
            <w:tcW w:w="2460" w:type="dxa"/>
            <w:vAlign w:val="bottom"/>
            <w:gridSpan w:val="3"/>
          </w:tcPr>
          <w:p>
            <w:pPr>
              <w:ind w:left="100"/>
              <w:spacing w:after="0"/>
              <w:rPr>
                <w:sz w:val="20"/>
                <w:szCs w:val="20"/>
                <w:color w:val="auto"/>
              </w:rPr>
            </w:pPr>
            <w:r>
              <w:rPr>
                <w:rFonts w:ascii="Arial" w:cs="Arial" w:eastAsia="Arial" w:hAnsi="Arial"/>
                <w:sz w:val="18"/>
                <w:szCs w:val="18"/>
                <w:b w:val="1"/>
                <w:bCs w:val="1"/>
                <w:color w:val="auto"/>
              </w:rPr>
              <w:t>John W. Gibson</w:t>
            </w:r>
          </w:p>
        </w:tc>
        <w:tc>
          <w:tcPr>
            <w:tcW w:w="5000" w:type="dxa"/>
            <w:vAlign w:val="bottom"/>
            <w:gridSpan w:val="3"/>
          </w:tcPr>
          <w:p>
            <w:pPr>
              <w:jc w:val="center"/>
              <w:ind w:left="71"/>
              <w:spacing w:after="0"/>
              <w:rPr>
                <w:sz w:val="20"/>
                <w:szCs w:val="20"/>
                <w:color w:val="auto"/>
              </w:rPr>
            </w:pPr>
            <w:r>
              <w:rPr>
                <w:rFonts w:ascii="Arial" w:cs="Arial" w:eastAsia="Arial" w:hAnsi="Arial"/>
                <w:sz w:val="18"/>
                <w:szCs w:val="18"/>
                <w:color w:val="auto"/>
                <w:w w:val="95"/>
              </w:rPr>
              <w:t>Director</w:t>
            </w:r>
          </w:p>
        </w:tc>
        <w:tc>
          <w:tcPr>
            <w:tcW w:w="216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September 12, 2018</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780" w:type="dxa"/>
            <w:vAlign w:val="bottom"/>
            <w:gridSpan w:val="4"/>
          </w:tcPr>
          <w:p>
            <w:pPr>
              <w:ind w:left="1040"/>
              <w:spacing w:after="0"/>
              <w:rPr>
                <w:sz w:val="20"/>
                <w:szCs w:val="20"/>
                <w:color w:val="auto"/>
              </w:rPr>
            </w:pPr>
            <w:r>
              <w:rPr>
                <w:rFonts w:ascii="Arial" w:cs="Arial" w:eastAsia="Arial" w:hAnsi="Arial"/>
                <w:sz w:val="14"/>
                <w:szCs w:val="14"/>
                <w:b w:val="1"/>
                <w:bCs w:val="1"/>
                <w:color w:val="auto"/>
              </w:rPr>
              <w:t>John W. Gibson</w:t>
            </w:r>
          </w:p>
        </w:tc>
        <w:tc>
          <w:tcPr>
            <w:tcW w:w="2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9"/>
        </w:trPr>
        <w:tc>
          <w:tcPr>
            <w:tcW w:w="1320" w:type="dxa"/>
            <w:vAlign w:val="bottom"/>
          </w:tcPr>
          <w:p>
            <w:pPr>
              <w:ind w:left="1040"/>
              <w:spacing w:after="0"/>
              <w:rPr>
                <w:sz w:val="20"/>
                <w:szCs w:val="20"/>
                <w:color w:val="auto"/>
              </w:rPr>
            </w:pPr>
            <w:r>
              <w:rPr>
                <w:rFonts w:ascii="Arial" w:cs="Arial" w:eastAsia="Arial" w:hAnsi="Arial"/>
                <w:sz w:val="18"/>
                <w:szCs w:val="18"/>
                <w:b w:val="1"/>
                <w:bCs w:val="1"/>
                <w:color w:val="auto"/>
              </w:rPr>
              <w:t>/S/</w:t>
            </w:r>
          </w:p>
        </w:tc>
        <w:tc>
          <w:tcPr>
            <w:tcW w:w="2460" w:type="dxa"/>
            <w:vAlign w:val="bottom"/>
            <w:gridSpan w:val="3"/>
          </w:tcPr>
          <w:p>
            <w:pPr>
              <w:ind w:left="100"/>
              <w:spacing w:after="0"/>
              <w:rPr>
                <w:sz w:val="20"/>
                <w:szCs w:val="20"/>
                <w:color w:val="auto"/>
              </w:rPr>
            </w:pPr>
            <w:r>
              <w:rPr>
                <w:rFonts w:ascii="Arial" w:cs="Arial" w:eastAsia="Arial" w:hAnsi="Arial"/>
                <w:sz w:val="18"/>
                <w:szCs w:val="18"/>
                <w:b w:val="1"/>
                <w:bCs w:val="1"/>
                <w:color w:val="auto"/>
              </w:rPr>
              <w:t>Liane K. Hinrichs</w:t>
            </w:r>
          </w:p>
        </w:tc>
        <w:tc>
          <w:tcPr>
            <w:tcW w:w="5000" w:type="dxa"/>
            <w:vAlign w:val="bottom"/>
            <w:gridSpan w:val="3"/>
          </w:tcPr>
          <w:p>
            <w:pPr>
              <w:jc w:val="center"/>
              <w:ind w:left="71"/>
              <w:spacing w:after="0"/>
              <w:rPr>
                <w:sz w:val="20"/>
                <w:szCs w:val="20"/>
                <w:color w:val="auto"/>
              </w:rPr>
            </w:pPr>
            <w:r>
              <w:rPr>
                <w:rFonts w:ascii="Arial" w:cs="Arial" w:eastAsia="Arial" w:hAnsi="Arial"/>
                <w:sz w:val="18"/>
                <w:szCs w:val="18"/>
                <w:color w:val="auto"/>
                <w:w w:val="95"/>
              </w:rPr>
              <w:t>Director</w:t>
            </w:r>
          </w:p>
        </w:tc>
        <w:tc>
          <w:tcPr>
            <w:tcW w:w="216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September 12, 2018</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80" w:type="dxa"/>
            <w:vAlign w:val="bottom"/>
            <w:gridSpan w:val="4"/>
          </w:tcPr>
          <w:p>
            <w:pPr>
              <w:ind w:left="1040"/>
              <w:spacing w:after="0"/>
              <w:rPr>
                <w:sz w:val="20"/>
                <w:szCs w:val="20"/>
                <w:color w:val="auto"/>
              </w:rPr>
            </w:pPr>
            <w:r>
              <w:rPr>
                <w:rFonts w:ascii="Arial" w:cs="Arial" w:eastAsia="Arial" w:hAnsi="Arial"/>
                <w:sz w:val="14"/>
                <w:szCs w:val="14"/>
                <w:b w:val="1"/>
                <w:bCs w:val="1"/>
                <w:color w:val="auto"/>
              </w:rPr>
              <w:t>Liane K. Hinrichs</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1320" w:type="dxa"/>
            <w:vAlign w:val="bottom"/>
          </w:tcPr>
          <w:p>
            <w:pPr>
              <w:ind w:left="1040"/>
              <w:spacing w:after="0"/>
              <w:rPr>
                <w:sz w:val="20"/>
                <w:szCs w:val="20"/>
                <w:color w:val="auto"/>
              </w:rPr>
            </w:pPr>
            <w:r>
              <w:rPr>
                <w:rFonts w:ascii="Arial" w:cs="Arial" w:eastAsia="Arial" w:hAnsi="Arial"/>
                <w:sz w:val="18"/>
                <w:szCs w:val="18"/>
                <w:b w:val="1"/>
                <w:bCs w:val="1"/>
                <w:color w:val="auto"/>
              </w:rPr>
              <w:t>/S/</w:t>
            </w:r>
          </w:p>
        </w:tc>
        <w:tc>
          <w:tcPr>
            <w:tcW w:w="2460" w:type="dxa"/>
            <w:vAlign w:val="bottom"/>
            <w:gridSpan w:val="3"/>
          </w:tcPr>
          <w:p>
            <w:pPr>
              <w:ind w:left="100"/>
              <w:spacing w:after="0"/>
              <w:rPr>
                <w:sz w:val="20"/>
                <w:szCs w:val="20"/>
                <w:color w:val="auto"/>
              </w:rPr>
            </w:pPr>
            <w:r>
              <w:rPr>
                <w:rFonts w:ascii="Arial" w:cs="Arial" w:eastAsia="Arial" w:hAnsi="Arial"/>
                <w:sz w:val="18"/>
                <w:szCs w:val="18"/>
                <w:b w:val="1"/>
                <w:bCs w:val="1"/>
                <w:color w:val="auto"/>
              </w:rPr>
              <w:t>James H. Miller</w:t>
            </w:r>
          </w:p>
        </w:tc>
        <w:tc>
          <w:tcPr>
            <w:tcW w:w="5000" w:type="dxa"/>
            <w:vAlign w:val="bottom"/>
            <w:gridSpan w:val="3"/>
          </w:tcPr>
          <w:p>
            <w:pPr>
              <w:jc w:val="center"/>
              <w:ind w:left="71"/>
              <w:spacing w:after="0"/>
              <w:rPr>
                <w:sz w:val="20"/>
                <w:szCs w:val="20"/>
                <w:color w:val="auto"/>
              </w:rPr>
            </w:pPr>
            <w:r>
              <w:rPr>
                <w:rFonts w:ascii="Arial" w:cs="Arial" w:eastAsia="Arial" w:hAnsi="Arial"/>
                <w:sz w:val="18"/>
                <w:szCs w:val="18"/>
                <w:color w:val="auto"/>
                <w:w w:val="95"/>
              </w:rPr>
              <w:t>Director</w:t>
            </w:r>
          </w:p>
        </w:tc>
        <w:tc>
          <w:tcPr>
            <w:tcW w:w="216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September 12, 2018</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80" w:type="dxa"/>
            <w:vAlign w:val="bottom"/>
            <w:gridSpan w:val="4"/>
          </w:tcPr>
          <w:p>
            <w:pPr>
              <w:ind w:left="1040"/>
              <w:spacing w:after="0"/>
              <w:rPr>
                <w:sz w:val="20"/>
                <w:szCs w:val="20"/>
                <w:color w:val="auto"/>
              </w:rPr>
            </w:pPr>
            <w:r>
              <w:rPr>
                <w:rFonts w:ascii="Arial" w:cs="Arial" w:eastAsia="Arial" w:hAnsi="Arial"/>
                <w:sz w:val="14"/>
                <w:szCs w:val="14"/>
                <w:b w:val="1"/>
                <w:bCs w:val="1"/>
                <w:color w:val="auto"/>
              </w:rPr>
              <w:t>James H. Miller</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1320" w:type="dxa"/>
            <w:vAlign w:val="bottom"/>
          </w:tcPr>
          <w:p>
            <w:pPr>
              <w:ind w:left="1040"/>
              <w:spacing w:after="0"/>
              <w:rPr>
                <w:sz w:val="20"/>
                <w:szCs w:val="20"/>
                <w:color w:val="auto"/>
              </w:rPr>
            </w:pPr>
            <w:r>
              <w:rPr>
                <w:rFonts w:ascii="Arial" w:cs="Arial" w:eastAsia="Arial" w:hAnsi="Arial"/>
                <w:sz w:val="18"/>
                <w:szCs w:val="18"/>
                <w:b w:val="1"/>
                <w:bCs w:val="1"/>
                <w:color w:val="auto"/>
              </w:rPr>
              <w:t>/S/</w:t>
            </w:r>
          </w:p>
        </w:tc>
        <w:tc>
          <w:tcPr>
            <w:tcW w:w="2460" w:type="dxa"/>
            <w:vAlign w:val="bottom"/>
            <w:gridSpan w:val="3"/>
          </w:tcPr>
          <w:p>
            <w:pPr>
              <w:ind w:left="100"/>
              <w:spacing w:after="0"/>
              <w:rPr>
                <w:sz w:val="20"/>
                <w:szCs w:val="20"/>
                <w:color w:val="auto"/>
              </w:rPr>
            </w:pPr>
            <w:r>
              <w:rPr>
                <w:rFonts w:ascii="Arial" w:cs="Arial" w:eastAsia="Arial" w:hAnsi="Arial"/>
                <w:sz w:val="18"/>
                <w:szCs w:val="18"/>
                <w:b w:val="1"/>
                <w:bCs w:val="1"/>
                <w:color w:val="auto"/>
              </w:rPr>
              <w:t>Jim W. Mogg</w:t>
            </w:r>
          </w:p>
        </w:tc>
        <w:tc>
          <w:tcPr>
            <w:tcW w:w="5000" w:type="dxa"/>
            <w:vAlign w:val="bottom"/>
            <w:gridSpan w:val="3"/>
          </w:tcPr>
          <w:p>
            <w:pPr>
              <w:jc w:val="center"/>
              <w:ind w:left="71"/>
              <w:spacing w:after="0"/>
              <w:rPr>
                <w:sz w:val="20"/>
                <w:szCs w:val="20"/>
                <w:color w:val="auto"/>
              </w:rPr>
            </w:pPr>
            <w:r>
              <w:rPr>
                <w:rFonts w:ascii="Arial" w:cs="Arial" w:eastAsia="Arial" w:hAnsi="Arial"/>
                <w:sz w:val="18"/>
                <w:szCs w:val="18"/>
                <w:color w:val="auto"/>
                <w:w w:val="95"/>
              </w:rPr>
              <w:t>Director</w:t>
            </w:r>
          </w:p>
        </w:tc>
        <w:tc>
          <w:tcPr>
            <w:tcW w:w="216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September 12, 2018</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80" w:type="dxa"/>
            <w:vAlign w:val="bottom"/>
            <w:gridSpan w:val="4"/>
          </w:tcPr>
          <w:p>
            <w:pPr>
              <w:ind w:left="1040"/>
              <w:spacing w:after="0"/>
              <w:rPr>
                <w:sz w:val="20"/>
                <w:szCs w:val="20"/>
                <w:color w:val="auto"/>
              </w:rPr>
            </w:pPr>
            <w:r>
              <w:rPr>
                <w:rFonts w:ascii="Arial" w:cs="Arial" w:eastAsia="Arial" w:hAnsi="Arial"/>
                <w:sz w:val="14"/>
                <w:szCs w:val="14"/>
                <w:b w:val="1"/>
                <w:bCs w:val="1"/>
                <w:color w:val="auto"/>
              </w:rPr>
              <w:t>Jim W. Mogg</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360" w:lineRule="exact"/>
        <w:rPr>
          <w:sz w:val="20"/>
          <w:szCs w:val="20"/>
          <w:color w:val="auto"/>
        </w:rPr>
      </w:pPr>
    </w:p>
    <w:p>
      <w:pPr>
        <w:ind w:left="10240"/>
        <w:spacing w:after="0"/>
        <w:rPr>
          <w:sz w:val="20"/>
          <w:szCs w:val="20"/>
          <w:color w:val="auto"/>
        </w:rPr>
      </w:pPr>
      <w:r>
        <w:rPr>
          <w:rFonts w:ascii="Arial" w:cs="Arial" w:eastAsia="Arial" w:hAnsi="Arial"/>
          <w:sz w:val="22"/>
          <w:szCs w:val="22"/>
          <w:color w:val="auto"/>
        </w:rPr>
        <w:t>Grantee:</w:t>
      </w:r>
    </w:p>
    <w:p>
      <w:pPr>
        <w:spacing w:after="0" w:line="22" w:lineRule="exact"/>
        <w:rPr>
          <w:sz w:val="20"/>
          <w:szCs w:val="20"/>
          <w:color w:val="auto"/>
        </w:rPr>
      </w:pPr>
    </w:p>
    <w:p>
      <w:pPr>
        <w:ind w:left="10240"/>
        <w:spacing w:after="0"/>
        <w:rPr>
          <w:sz w:val="20"/>
          <w:szCs w:val="20"/>
          <w:color w:val="auto"/>
        </w:rPr>
      </w:pPr>
      <w:r>
        <w:rPr>
          <w:rFonts w:ascii="Arial" w:cs="Arial" w:eastAsia="Arial" w:hAnsi="Arial"/>
          <w:sz w:val="22"/>
          <w:szCs w:val="22"/>
          <w:color w:val="auto"/>
        </w:rPr>
        <w:t>Shares: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MATRIX SERVICE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__, 201_10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«Grantee»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«Address2»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«City», «State» «PostalCode»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Dear «FirstName»:</w:t>
      </w:r>
    </w:p>
    <w:p>
      <w:pPr>
        <w:spacing w:after="0" w:line="214" w:lineRule="exact"/>
        <w:rPr>
          <w:sz w:val="20"/>
          <w:szCs w:val="20"/>
          <w:color w:val="auto"/>
        </w:rPr>
      </w:pPr>
    </w:p>
    <w:p>
      <w:pPr>
        <w:jc w:val="both"/>
        <w:ind w:firstLine="656"/>
        <w:spacing w:after="0" w:line="249" w:lineRule="auto"/>
        <w:tabs>
          <w:tab w:leader="none" w:pos="1017"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Award</w:t>
      </w:r>
      <w:r>
        <w:rPr>
          <w:rFonts w:ascii="Arial" w:cs="Arial" w:eastAsia="Arial" w:hAnsi="Arial"/>
          <w:sz w:val="22"/>
          <w:szCs w:val="22"/>
          <w:color w:val="auto"/>
        </w:rPr>
        <w:t>. The awards set forth in this Award Agreement (the "</w:t>
      </w:r>
      <w:r>
        <w:rPr>
          <w:rFonts w:ascii="Arial" w:cs="Arial" w:eastAsia="Arial" w:hAnsi="Arial"/>
          <w:sz w:val="22"/>
          <w:szCs w:val="22"/>
          <w:u w:val="single" w:color="auto"/>
          <w:color w:val="auto"/>
        </w:rPr>
        <w:t>Award Agreement</w:t>
      </w:r>
      <w:r>
        <w:rPr>
          <w:rFonts w:ascii="Arial" w:cs="Arial" w:eastAsia="Arial" w:hAnsi="Arial"/>
          <w:sz w:val="22"/>
          <w:szCs w:val="22"/>
          <w:color w:val="auto"/>
        </w:rPr>
        <w:t>") are subject to your acceptance of and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all of the applicable terms, conditions, and restrictions described in the 2016 Stock and Incentive Compensation Plan (the "</w:t>
      </w:r>
      <w:r>
        <w:rPr>
          <w:rFonts w:ascii="Arial" w:cs="Arial" w:eastAsia="Arial" w:hAnsi="Arial"/>
          <w:sz w:val="22"/>
          <w:szCs w:val="22"/>
          <w:u w:val="single" w:color="auto"/>
          <w:color w:val="auto"/>
        </w:rPr>
        <w:t>Plan</w:t>
      </w:r>
      <w:r>
        <w:rPr>
          <w:rFonts w:ascii="Arial" w:cs="Arial" w:eastAsia="Arial" w:hAnsi="Arial"/>
          <w:sz w:val="22"/>
          <w:szCs w:val="22"/>
          <w:color w:val="auto"/>
        </w:rPr>
        <w:t>"), of Matrix Service Company,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 copy of which is on file with, and may be obtained from, the Secretary of the Company, and to your acceptance of and agreement to the further terms, conditions, and restrictions described in this Award Agreement. To the extent that any provision of this Award Agreement conflicts with the expressly applicable terms of the Plan, it is hereby acknowledged and agreed that those terms of the Plan shall control and, if necessary, the applicable provisions of this Award Agreement shall be hereby deemed amended so as to carry out the purpose and intent of the Plan.</w:t>
      </w:r>
    </w:p>
    <w:p>
      <w:pPr>
        <w:spacing w:after="0" w:line="182" w:lineRule="exact"/>
        <w:rPr>
          <w:rFonts w:ascii="Arial" w:cs="Arial" w:eastAsia="Arial" w:hAnsi="Arial"/>
          <w:sz w:val="22"/>
          <w:szCs w:val="22"/>
          <w:color w:val="auto"/>
        </w:rPr>
      </w:pPr>
    </w:p>
    <w:p>
      <w:pPr>
        <w:ind w:left="1000" w:hanging="344"/>
        <w:spacing w:after="0"/>
        <w:tabs>
          <w:tab w:leader="none" w:pos="1000"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Restricted Stock Units and Cash-Based Long-Term Incentive Award.</w:t>
      </w:r>
    </w:p>
    <w:p>
      <w:pPr>
        <w:spacing w:after="0" w:line="233" w:lineRule="exact"/>
        <w:rPr>
          <w:rFonts w:ascii="Arial" w:cs="Arial" w:eastAsia="Arial" w:hAnsi="Arial"/>
          <w:sz w:val="22"/>
          <w:szCs w:val="22"/>
          <w:color w:val="auto"/>
        </w:rPr>
      </w:pPr>
    </w:p>
    <w:p>
      <w:pPr>
        <w:jc w:val="both"/>
        <w:ind w:left="660" w:firstLine="645"/>
        <w:spacing w:after="0" w:line="295" w:lineRule="auto"/>
        <w:tabs>
          <w:tab w:leader="none" w:pos="1742" w:val="left"/>
        </w:tabs>
        <w:numPr>
          <w:ilvl w:val="1"/>
          <w:numId w:val="46"/>
        </w:numPr>
        <w:rPr>
          <w:rFonts w:ascii="Arial" w:cs="Arial" w:eastAsia="Arial" w:hAnsi="Arial"/>
          <w:sz w:val="19"/>
          <w:szCs w:val="19"/>
          <w:color w:val="auto"/>
        </w:rPr>
      </w:pPr>
      <w:r>
        <w:rPr>
          <w:rFonts w:ascii="Arial" w:cs="Arial" w:eastAsia="Arial" w:hAnsi="Arial"/>
          <w:sz w:val="19"/>
          <w:szCs w:val="19"/>
          <w:b w:val="1"/>
          <w:bCs w:val="1"/>
          <w:color w:val="auto"/>
        </w:rPr>
        <w:t xml:space="preserve">Restricted Stock Units and Performance Units Awards. </w:t>
      </w:r>
      <w:r>
        <w:rPr>
          <w:rFonts w:ascii="Arial" w:cs="Arial" w:eastAsia="Arial" w:hAnsi="Arial"/>
          <w:sz w:val="19"/>
          <w:szCs w:val="19"/>
          <w:color w:val="auto"/>
        </w:rPr>
        <w:t>The Company hereby grants to you an aggregate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up to </w:t>
      </w:r>
      <w:r>
        <w:rPr>
          <w:rFonts w:ascii="Arial" w:cs="Arial" w:eastAsia="Arial" w:hAnsi="Arial"/>
          <w:sz w:val="19"/>
          <w:szCs w:val="19"/>
          <w:color w:val="auto"/>
          <w:highlight w:val="yellow"/>
        </w:rPr>
        <w:t>«Shares»</w:t>
      </w:r>
      <w:r>
        <w:rPr>
          <w:rFonts w:ascii="Arial" w:cs="Arial" w:eastAsia="Arial" w:hAnsi="Arial"/>
          <w:sz w:val="19"/>
          <w:szCs w:val="19"/>
          <w:color w:val="auto"/>
        </w:rPr>
        <w:t xml:space="preserve"> restricted stock units (individually, an "</w:t>
      </w:r>
      <w:r>
        <w:rPr>
          <w:rFonts w:ascii="Arial" w:cs="Arial" w:eastAsia="Arial" w:hAnsi="Arial"/>
          <w:sz w:val="19"/>
          <w:szCs w:val="19"/>
          <w:u w:val="single" w:color="auto"/>
          <w:color w:val="auto"/>
        </w:rPr>
        <w:t>RSU</w:t>
      </w:r>
      <w:r>
        <w:rPr>
          <w:rFonts w:ascii="Arial" w:cs="Arial" w:eastAsia="Arial" w:hAnsi="Arial"/>
          <w:sz w:val="19"/>
          <w:szCs w:val="19"/>
          <w:color w:val="auto"/>
        </w:rPr>
        <w:t>," and collectively, "</w:t>
      </w:r>
      <w:r>
        <w:rPr>
          <w:rFonts w:ascii="Arial" w:cs="Arial" w:eastAsia="Arial" w:hAnsi="Arial"/>
          <w:sz w:val="19"/>
          <w:szCs w:val="19"/>
          <w:u w:val="single" w:color="auto"/>
          <w:color w:val="auto"/>
        </w:rPr>
        <w:t>RSUs</w:t>
      </w:r>
      <w:r>
        <w:rPr>
          <w:rFonts w:ascii="Arial" w:cs="Arial" w:eastAsia="Arial" w:hAnsi="Arial"/>
          <w:sz w:val="19"/>
          <w:szCs w:val="19"/>
          <w:color w:val="auto"/>
        </w:rPr>
        <w:t>") as more specifically set forth in Section 2(f). Each RSU entitles you to receive one share of common stock, par value $.01 per share, of the Company (the "</w:t>
      </w:r>
      <w:r>
        <w:rPr>
          <w:rFonts w:ascii="Arial" w:cs="Arial" w:eastAsia="Arial" w:hAnsi="Arial"/>
          <w:sz w:val="19"/>
          <w:szCs w:val="19"/>
          <w:u w:val="single" w:color="auto"/>
          <w:color w:val="auto"/>
        </w:rPr>
        <w:t>Shares</w:t>
      </w:r>
      <w:r>
        <w:rPr>
          <w:rFonts w:ascii="Arial" w:cs="Arial" w:eastAsia="Arial" w:hAnsi="Arial"/>
          <w:sz w:val="19"/>
          <w:szCs w:val="19"/>
          <w:color w:val="auto"/>
        </w:rPr>
        <w:t xml:space="preserve">") at such time as the restrictions described in Section 2(e)(ii) lapse as described in Section 2(f)(i). In addition, the Company hereby grants to you an aggregate of up to </w:t>
      </w:r>
      <w:r>
        <w:rPr>
          <w:rFonts w:ascii="Arial" w:cs="Arial" w:eastAsia="Arial" w:hAnsi="Arial"/>
          <w:sz w:val="19"/>
          <w:szCs w:val="19"/>
          <w:color w:val="auto"/>
          <w:highlight w:val="yellow"/>
        </w:rPr>
        <w:t>«Shares»</w:t>
      </w:r>
      <w:r>
        <w:rPr>
          <w:rFonts w:ascii="Arial" w:cs="Arial" w:eastAsia="Arial" w:hAnsi="Arial"/>
          <w:sz w:val="19"/>
          <w:szCs w:val="19"/>
          <w:color w:val="auto"/>
        </w:rPr>
        <w:t xml:space="preserve"> performance units (individually, a "</w:t>
      </w:r>
      <w:r>
        <w:rPr>
          <w:rFonts w:ascii="Arial" w:cs="Arial" w:eastAsia="Arial" w:hAnsi="Arial"/>
          <w:sz w:val="19"/>
          <w:szCs w:val="19"/>
          <w:u w:val="single" w:color="auto"/>
          <w:color w:val="auto"/>
        </w:rPr>
        <w:t>Performance Unit</w:t>
      </w:r>
      <w:r>
        <w:rPr>
          <w:rFonts w:ascii="Arial" w:cs="Arial" w:eastAsia="Arial" w:hAnsi="Arial"/>
          <w:sz w:val="19"/>
          <w:szCs w:val="19"/>
          <w:color w:val="auto"/>
        </w:rPr>
        <w:t>," and collectively, "</w:t>
      </w:r>
      <w:r>
        <w:rPr>
          <w:rFonts w:ascii="Arial" w:cs="Arial" w:eastAsia="Arial" w:hAnsi="Arial"/>
          <w:sz w:val="19"/>
          <w:szCs w:val="19"/>
          <w:u w:val="single" w:color="auto"/>
          <w:color w:val="auto"/>
        </w:rPr>
        <w:t>Performance Units</w:t>
      </w:r>
      <w:r>
        <w:rPr>
          <w:rFonts w:ascii="Arial" w:cs="Arial" w:eastAsia="Arial" w:hAnsi="Arial"/>
          <w:sz w:val="19"/>
          <w:szCs w:val="19"/>
          <w:color w:val="auto"/>
        </w:rPr>
        <w:t>"). Each Performance Unit entitles you to receive up to two Shares at such time as the restrictions described in Section 2(e)(ii) lapse as described in Section 2(f)(ii).</w:t>
      </w:r>
    </w:p>
    <w:p>
      <w:pPr>
        <w:spacing w:after="0" w:line="145" w:lineRule="exact"/>
        <w:rPr>
          <w:rFonts w:ascii="Arial" w:cs="Arial" w:eastAsia="Arial" w:hAnsi="Arial"/>
          <w:sz w:val="19"/>
          <w:szCs w:val="19"/>
          <w:color w:val="auto"/>
        </w:rPr>
      </w:pPr>
    </w:p>
    <w:p>
      <w:pPr>
        <w:jc w:val="both"/>
        <w:ind w:left="660" w:firstLine="658"/>
        <w:spacing w:after="0" w:line="295" w:lineRule="auto"/>
        <w:tabs>
          <w:tab w:leader="none" w:pos="1862" w:val="left"/>
        </w:tabs>
        <w:numPr>
          <w:ilvl w:val="2"/>
          <w:numId w:val="46"/>
        </w:numPr>
        <w:rPr>
          <w:rFonts w:ascii="Arial" w:cs="Arial" w:eastAsia="Arial" w:hAnsi="Arial"/>
          <w:sz w:val="19"/>
          <w:szCs w:val="19"/>
          <w:color w:val="auto"/>
        </w:rPr>
      </w:pPr>
      <w:r>
        <w:rPr>
          <w:rFonts w:ascii="Arial" w:cs="Arial" w:eastAsia="Arial" w:hAnsi="Arial"/>
          <w:sz w:val="19"/>
          <w:szCs w:val="19"/>
          <w:b w:val="1"/>
          <w:bCs w:val="1"/>
          <w:color w:val="auto"/>
        </w:rPr>
        <w:t xml:space="preserve">Form of Restricted Stock; Possession of Certificates. </w:t>
      </w:r>
      <w:r>
        <w:rPr>
          <w:rFonts w:ascii="Arial" w:cs="Arial" w:eastAsia="Arial" w:hAnsi="Arial"/>
          <w:sz w:val="19"/>
          <w:szCs w:val="19"/>
          <w:color w:val="auto"/>
        </w:rPr>
        <w:t>The Company shall issue the Shares you become</w:t>
      </w:r>
      <w:r>
        <w:rPr>
          <w:rFonts w:ascii="Arial" w:cs="Arial" w:eastAsia="Arial" w:hAnsi="Arial"/>
          <w:sz w:val="19"/>
          <w:szCs w:val="19"/>
          <w:b w:val="1"/>
          <w:bCs w:val="1"/>
          <w:color w:val="auto"/>
        </w:rPr>
        <w:t xml:space="preserve"> </w:t>
      </w:r>
      <w:r>
        <w:rPr>
          <w:rFonts w:ascii="Arial" w:cs="Arial" w:eastAsia="Arial" w:hAnsi="Arial"/>
          <w:sz w:val="19"/>
          <w:szCs w:val="19"/>
          <w:color w:val="auto"/>
        </w:rPr>
        <w:t>entitled to receive hereunder by book-entry registration or by issuance of a certificate or certificates for the Shares in your name as soon as practicable after the restrictions in Section 2(e)(ii) lapse as described in Section 2(f). In the event the Company issues a certificate or certificates for the Shares, such certificates shall be subject to such stop transfer orders and other restrictions as the committee of the Board of Directors that administers the Plan may deem necessary or advisable under the Plan and rules, regulations and other requirements of the Securities and Exchange Commission, any stock exchange upon which such Shares are then listed, and any applicable foreign, federal or state securities laws.</w:t>
      </w:r>
    </w:p>
    <w:p>
      <w:pPr>
        <w:sectPr>
          <w:pgSz w:w="11900" w:h="16838" w:orient="portrait"/>
          <w:cols w:equalWidth="0" w:num="1">
            <w:col w:w="11420"/>
          </w:cols>
          <w:pgMar w:left="240" w:top="742" w:right="239" w:bottom="1440" w:gutter="0" w:footer="0" w:header="0"/>
        </w:sectPr>
      </w:pPr>
    </w:p>
    <w:bookmarkStart w:id="86" w:name="page87"/>
    <w:bookmarkEnd w:id="86"/>
    <w:p>
      <w:pPr>
        <w:jc w:val="both"/>
        <w:ind w:left="-540" w:firstLine="645"/>
        <w:spacing w:after="0" w:line="256" w:lineRule="auto"/>
        <w:tabs>
          <w:tab w:leader="none" w:pos="528"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 xml:space="preserve">Stockholder Rights Prior to Issuance of Shares. </w:t>
      </w:r>
      <w:r>
        <w:rPr>
          <w:rFonts w:ascii="Arial" w:cs="Arial" w:eastAsia="Arial" w:hAnsi="Arial"/>
          <w:sz w:val="22"/>
          <w:szCs w:val="22"/>
          <w:color w:val="auto"/>
        </w:rPr>
        <w:t>Neither you nor any of your beneficiaries shall be deemed to</w:t>
      </w:r>
      <w:r>
        <w:rPr>
          <w:rFonts w:ascii="Arial" w:cs="Arial" w:eastAsia="Arial" w:hAnsi="Arial"/>
          <w:sz w:val="22"/>
          <w:szCs w:val="22"/>
          <w:b w:val="1"/>
          <w:bCs w:val="1"/>
          <w:color w:val="auto"/>
        </w:rPr>
        <w:t xml:space="preserve"> </w:t>
      </w:r>
      <w:r>
        <w:rPr>
          <w:rFonts w:ascii="Arial" w:cs="Arial" w:eastAsia="Arial" w:hAnsi="Arial"/>
          <w:sz w:val="22"/>
          <w:szCs w:val="22"/>
          <w:color w:val="auto"/>
        </w:rPr>
        <w:t>have any voting rights, rights to receive dividends or other rights as a stockholder of the Company with respect to any Shares covered by the RSUs or the Performance Units until the date of book-entry registration or issuance by the Company of a certificate to you for such Shares.</w:t>
      </w:r>
    </w:p>
    <w:p>
      <w:pPr>
        <w:spacing w:after="0" w:line="176" w:lineRule="exact"/>
        <w:rPr>
          <w:rFonts w:ascii="Arial" w:cs="Arial" w:eastAsia="Arial" w:hAnsi="Arial"/>
          <w:sz w:val="22"/>
          <w:szCs w:val="22"/>
          <w:color w:val="auto"/>
        </w:rPr>
      </w:pPr>
    </w:p>
    <w:p>
      <w:pPr>
        <w:jc w:val="both"/>
        <w:ind w:left="-540" w:firstLine="645"/>
        <w:spacing w:after="0" w:line="262" w:lineRule="auto"/>
        <w:tabs>
          <w:tab w:leader="none" w:pos="635" w:val="left"/>
        </w:tabs>
        <w:numPr>
          <w:ilvl w:val="0"/>
          <w:numId w:val="47"/>
        </w:numPr>
        <w:rPr>
          <w:rFonts w:ascii="Arial" w:cs="Arial" w:eastAsia="Arial" w:hAnsi="Arial"/>
          <w:sz w:val="21"/>
          <w:szCs w:val="21"/>
          <w:color w:val="auto"/>
        </w:rPr>
      </w:pPr>
      <w:r>
        <w:rPr>
          <w:rFonts w:ascii="Arial" w:cs="Arial" w:eastAsia="Arial" w:hAnsi="Arial"/>
          <w:sz w:val="21"/>
          <w:szCs w:val="21"/>
          <w:b w:val="1"/>
          <w:bCs w:val="1"/>
          <w:color w:val="auto"/>
        </w:rPr>
        <w:t xml:space="preserve">Cash-Based Long-Term Incentive Award. </w:t>
      </w:r>
      <w:r>
        <w:rPr>
          <w:rFonts w:ascii="Arial" w:cs="Arial" w:eastAsia="Arial" w:hAnsi="Arial"/>
          <w:sz w:val="21"/>
          <w:szCs w:val="21"/>
          <w:color w:val="auto"/>
        </w:rPr>
        <w:t>In addition to the RSUs and Performance Units,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hereby grants to you a cash-based long-term incentive award, hereinafter referred to as the "</w:t>
      </w:r>
      <w:r>
        <w:rPr>
          <w:rFonts w:ascii="Arial" w:cs="Arial" w:eastAsia="Arial" w:hAnsi="Arial"/>
          <w:sz w:val="21"/>
          <w:szCs w:val="21"/>
          <w:u w:val="single" w:color="auto"/>
          <w:color w:val="auto"/>
        </w:rPr>
        <w:t>Performance Cash Award</w:t>
      </w:r>
      <w:r>
        <w:rPr>
          <w:rFonts w:ascii="Arial" w:cs="Arial" w:eastAsia="Arial" w:hAnsi="Arial"/>
          <w:sz w:val="21"/>
          <w:szCs w:val="21"/>
          <w:color w:val="auto"/>
        </w:rPr>
        <w:t xml:space="preserve">." The minimum award is zero, the target award is </w:t>
      </w:r>
      <w:r>
        <w:rPr>
          <w:rFonts w:ascii="Arial" w:cs="Arial" w:eastAsia="Arial" w:hAnsi="Arial"/>
          <w:sz w:val="21"/>
          <w:szCs w:val="21"/>
          <w:color w:val="auto"/>
          <w:highlight w:val="yellow"/>
        </w:rPr>
        <w:t>$[[ ]]</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Target Award</w:t>
      </w:r>
      <w:r>
        <w:rPr>
          <w:rFonts w:ascii="Arial" w:cs="Arial" w:eastAsia="Arial" w:hAnsi="Arial"/>
          <w:sz w:val="21"/>
          <w:szCs w:val="21"/>
          <w:color w:val="auto"/>
        </w:rPr>
        <w:t xml:space="preserve">") and the maximum award is </w:t>
      </w:r>
      <w:r>
        <w:rPr>
          <w:rFonts w:ascii="Arial" w:cs="Arial" w:eastAsia="Arial" w:hAnsi="Arial"/>
          <w:sz w:val="21"/>
          <w:szCs w:val="21"/>
          <w:color w:val="auto"/>
          <w:highlight w:val="yellow"/>
        </w:rPr>
        <w:t>$[[ ]]</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Maximum</w:t>
      </w:r>
      <w:r>
        <w:rPr>
          <w:rFonts w:ascii="Arial" w:cs="Arial" w:eastAsia="Arial" w:hAnsi="Arial"/>
          <w:sz w:val="21"/>
          <w:szCs w:val="21"/>
          <w:color w:val="auto"/>
        </w:rPr>
        <w:t xml:space="preserve"> </w:t>
      </w:r>
      <w:r>
        <w:rPr>
          <w:rFonts w:ascii="Arial" w:cs="Arial" w:eastAsia="Arial" w:hAnsi="Arial"/>
          <w:sz w:val="21"/>
          <w:szCs w:val="21"/>
          <w:u w:val="single" w:color="auto"/>
          <w:color w:val="auto"/>
        </w:rPr>
        <w:t>Award</w:t>
      </w:r>
      <w:r>
        <w:rPr>
          <w:rFonts w:ascii="Arial" w:cs="Arial" w:eastAsia="Arial" w:hAnsi="Arial"/>
          <w:sz w:val="21"/>
          <w:szCs w:val="21"/>
          <w:color w:val="auto"/>
        </w:rPr>
        <w:t>"). The amount that will be paid in respect of the Performance Cash Award will be determined based on the Company's Return on Invested Capital ("</w:t>
      </w:r>
      <w:r>
        <w:rPr>
          <w:rFonts w:ascii="Arial" w:cs="Arial" w:eastAsia="Arial" w:hAnsi="Arial"/>
          <w:sz w:val="21"/>
          <w:szCs w:val="21"/>
          <w:u w:val="single" w:color="auto"/>
          <w:color w:val="auto"/>
        </w:rPr>
        <w:t>ROIC</w:t>
      </w:r>
      <w:r>
        <w:rPr>
          <w:rFonts w:ascii="Arial" w:cs="Arial" w:eastAsia="Arial" w:hAnsi="Arial"/>
          <w:sz w:val="21"/>
          <w:szCs w:val="21"/>
          <w:color w:val="auto"/>
        </w:rPr>
        <w:t>"), as otherwise set forth herein and more fully described below. This Performance Cash Award entitles you to receive up to the Maximum Award at such time as the restrictions described in Section 2(e) lapse as described in Section 2(f) if the Maximum Performance Goal (as defined below) for ROIC established by the Committee is achieved.</w:t>
      </w:r>
    </w:p>
    <w:p>
      <w:pPr>
        <w:spacing w:after="0" w:line="173" w:lineRule="exact"/>
        <w:rPr>
          <w:rFonts w:ascii="Arial" w:cs="Arial" w:eastAsia="Arial" w:hAnsi="Arial"/>
          <w:sz w:val="21"/>
          <w:szCs w:val="21"/>
          <w:color w:val="auto"/>
        </w:rPr>
      </w:pPr>
    </w:p>
    <w:p>
      <w:pPr>
        <w:ind w:left="520" w:hanging="415"/>
        <w:spacing w:after="0"/>
        <w:tabs>
          <w:tab w:leader="none" w:pos="520"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Restrictions.</w:t>
      </w:r>
    </w:p>
    <w:p>
      <w:pPr>
        <w:spacing w:after="0" w:line="239" w:lineRule="exact"/>
        <w:rPr>
          <w:rFonts w:ascii="Arial" w:cs="Arial" w:eastAsia="Arial" w:hAnsi="Arial"/>
          <w:sz w:val="22"/>
          <w:szCs w:val="22"/>
          <w:color w:val="auto"/>
        </w:rPr>
      </w:pPr>
    </w:p>
    <w:p>
      <w:pPr>
        <w:jc w:val="both"/>
        <w:ind w:left="100" w:firstLine="653"/>
        <w:spacing w:after="0" w:line="260" w:lineRule="auto"/>
        <w:tabs>
          <w:tab w:leader="none" w:pos="1213" w:val="left"/>
        </w:tabs>
        <w:numPr>
          <w:ilvl w:val="2"/>
          <w:numId w:val="47"/>
        </w:numPr>
        <w:rPr>
          <w:rFonts w:ascii="Arial" w:cs="Arial" w:eastAsia="Arial" w:hAnsi="Arial"/>
          <w:sz w:val="22"/>
          <w:szCs w:val="22"/>
          <w:color w:val="auto"/>
        </w:rPr>
      </w:pPr>
      <w:r>
        <w:rPr>
          <w:rFonts w:ascii="Arial" w:cs="Arial" w:eastAsia="Arial" w:hAnsi="Arial"/>
          <w:sz w:val="22"/>
          <w:szCs w:val="22"/>
          <w:color w:val="auto"/>
        </w:rPr>
        <w:t>Your ownership of the RSUs and Performance Units and your right to receive the Performance Cash Award shall be subject to the restrictions set forth in subsection (ii) of this Section 2(e) until such restrictions lapse pursuant to the terms of Section 2(f).</w:t>
      </w:r>
    </w:p>
    <w:p>
      <w:pPr>
        <w:spacing w:after="0" w:line="177" w:lineRule="exact"/>
        <w:rPr>
          <w:rFonts w:ascii="Arial" w:cs="Arial" w:eastAsia="Arial" w:hAnsi="Arial"/>
          <w:sz w:val="22"/>
          <w:szCs w:val="22"/>
          <w:color w:val="auto"/>
        </w:rPr>
      </w:pPr>
    </w:p>
    <w:p>
      <w:pPr>
        <w:ind w:left="1200" w:hanging="447"/>
        <w:spacing w:after="0"/>
        <w:tabs>
          <w:tab w:leader="none" w:pos="1200" w:val="left"/>
        </w:tabs>
        <w:numPr>
          <w:ilvl w:val="2"/>
          <w:numId w:val="47"/>
        </w:numPr>
        <w:rPr>
          <w:rFonts w:ascii="Arial" w:cs="Arial" w:eastAsia="Arial" w:hAnsi="Arial"/>
          <w:sz w:val="22"/>
          <w:szCs w:val="22"/>
          <w:color w:val="auto"/>
        </w:rPr>
      </w:pPr>
      <w:r>
        <w:rPr>
          <w:rFonts w:ascii="Arial" w:cs="Arial" w:eastAsia="Arial" w:hAnsi="Arial"/>
          <w:sz w:val="22"/>
          <w:szCs w:val="22"/>
          <w:color w:val="auto"/>
        </w:rPr>
        <w:t>The restrictions referred to in subsection (i) of this Section 2(e) are as follows:</w:t>
      </w:r>
    </w:p>
    <w:p>
      <w:pPr>
        <w:spacing w:after="0" w:line="233" w:lineRule="exact"/>
        <w:rPr>
          <w:rFonts w:ascii="Arial" w:cs="Arial" w:eastAsia="Arial" w:hAnsi="Arial"/>
          <w:sz w:val="22"/>
          <w:szCs w:val="22"/>
          <w:color w:val="auto"/>
        </w:rPr>
      </w:pPr>
    </w:p>
    <w:p>
      <w:pPr>
        <w:jc w:val="both"/>
        <w:ind w:left="760" w:firstLine="641"/>
        <w:spacing w:after="0" w:line="299" w:lineRule="auto"/>
        <w:tabs>
          <w:tab w:leader="none" w:pos="1929" w:val="left"/>
        </w:tabs>
        <w:numPr>
          <w:ilvl w:val="3"/>
          <w:numId w:val="47"/>
        </w:numPr>
        <w:rPr>
          <w:rFonts w:ascii="Arial" w:cs="Arial" w:eastAsia="Arial" w:hAnsi="Arial"/>
          <w:sz w:val="19"/>
          <w:szCs w:val="19"/>
          <w:color w:val="auto"/>
        </w:rPr>
      </w:pPr>
      <w:r>
        <w:rPr>
          <w:rFonts w:ascii="Arial" w:cs="Arial" w:eastAsia="Arial" w:hAnsi="Arial"/>
          <w:sz w:val="19"/>
          <w:szCs w:val="19"/>
          <w:color w:val="auto"/>
        </w:rPr>
        <w:t>At the time of your termination of employment with the Company or an Affiliate, other than a termination of employment that occurs as a result of an event described in any of Subsections (iv) through</w:t>
      </w:r>
    </w:p>
    <w:p>
      <w:pPr>
        <w:jc w:val="both"/>
        <w:ind w:left="760" w:hanging="7"/>
        <w:spacing w:after="0" w:line="245" w:lineRule="auto"/>
        <w:tabs>
          <w:tab w:leader="none" w:pos="1197" w:val="left"/>
        </w:tabs>
        <w:numPr>
          <w:ilvl w:val="2"/>
          <w:numId w:val="48"/>
        </w:numPr>
        <w:rPr>
          <w:rFonts w:ascii="Arial" w:cs="Arial" w:eastAsia="Arial" w:hAnsi="Arial"/>
          <w:sz w:val="22"/>
          <w:szCs w:val="22"/>
          <w:color w:val="auto"/>
        </w:rPr>
      </w:pPr>
      <w:r>
        <w:rPr>
          <w:rFonts w:ascii="Arial" w:cs="Arial" w:eastAsia="Arial" w:hAnsi="Arial"/>
          <w:sz w:val="22"/>
          <w:szCs w:val="22"/>
          <w:color w:val="auto"/>
        </w:rPr>
        <w:t>of Section 2(f), you shall forfeit the RSUs, Performance Units and the Performance Cash Award to the Company and all of your rights thereto shall terminate without any payment of consideration by the Company.</w:t>
      </w:r>
    </w:p>
    <w:p>
      <w:pPr>
        <w:spacing w:after="0" w:line="193" w:lineRule="exact"/>
        <w:rPr>
          <w:rFonts w:ascii="Arial" w:cs="Arial" w:eastAsia="Arial" w:hAnsi="Arial"/>
          <w:sz w:val="22"/>
          <w:szCs w:val="22"/>
          <w:color w:val="auto"/>
        </w:rPr>
      </w:pPr>
    </w:p>
    <w:p>
      <w:pPr>
        <w:jc w:val="both"/>
        <w:ind w:left="760" w:firstLine="655"/>
        <w:spacing w:after="0" w:line="294" w:lineRule="auto"/>
        <w:tabs>
          <w:tab w:leader="none" w:pos="1917" w:val="left"/>
        </w:tabs>
        <w:numPr>
          <w:ilvl w:val="3"/>
          <w:numId w:val="48"/>
        </w:numPr>
        <w:rPr>
          <w:rFonts w:ascii="Arial" w:cs="Arial" w:eastAsia="Arial" w:hAnsi="Arial"/>
          <w:sz w:val="19"/>
          <w:szCs w:val="19"/>
          <w:color w:val="auto"/>
        </w:rPr>
      </w:pPr>
      <w:r>
        <w:rPr>
          <w:rFonts w:ascii="Arial" w:cs="Arial" w:eastAsia="Arial" w:hAnsi="Arial"/>
          <w:sz w:val="19"/>
          <w:szCs w:val="19"/>
          <w:color w:val="auto"/>
        </w:rPr>
        <w:t>You may not sell, assign, transfer or otherwise dispose of any RSUs or Performance Units, any portion of the Performance Cash Award or any rights under the RSUs, Performance Units or Performance Cash Award. No RSU, Performance Unit or Performance Cash Award and no rights under any such RSU, Performance Unit or Performance Cash Award may be pledged, alienated, attached or otherwise encumbered, other than by will or the laws of descent and distribution. If you or anyone claiming under or through you attempts to violate this Section 2(e)(ii)(B), such attempted violation shall be null and void and without effect, and all of the Company's obligations hereunder shall terminate.</w:t>
      </w:r>
    </w:p>
    <w:p>
      <w:pPr>
        <w:spacing w:after="0" w:line="146" w:lineRule="exact"/>
        <w:rPr>
          <w:rFonts w:ascii="Arial" w:cs="Arial" w:eastAsia="Arial" w:hAnsi="Arial"/>
          <w:sz w:val="19"/>
          <w:szCs w:val="19"/>
          <w:color w:val="auto"/>
        </w:rPr>
      </w:pPr>
    </w:p>
    <w:p>
      <w:pPr>
        <w:ind w:left="500" w:hanging="395"/>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b w:val="1"/>
          <w:bCs w:val="1"/>
          <w:color w:val="auto"/>
        </w:rPr>
        <w:t>Lapse of Restrictions.</w:t>
      </w:r>
    </w:p>
    <w:p>
      <w:pPr>
        <w:spacing w:after="0" w:line="239" w:lineRule="exact"/>
        <w:rPr>
          <w:rFonts w:ascii="Arial" w:cs="Arial" w:eastAsia="Arial" w:hAnsi="Arial"/>
          <w:sz w:val="22"/>
          <w:szCs w:val="22"/>
          <w:color w:val="auto"/>
        </w:rPr>
      </w:pPr>
    </w:p>
    <w:p>
      <w:pPr>
        <w:jc w:val="both"/>
        <w:ind w:left="100" w:firstLine="626"/>
        <w:spacing w:after="0" w:line="254" w:lineRule="auto"/>
        <w:tabs>
          <w:tab w:leader="none" w:pos="1308"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restrictions described in Section 2(e)(ii) shall lapse with respect to the RSUs in four equal installments of 25 percent each on each of the first, second, third and fourth anniversaries of the date of this Award Agreement, such that the restrictions set forth in Section 2(e)(ii) shall have lapsed with respect to 100 percent of the RSUs on the fourth anniversary of the date of this Award Agreement.</w:t>
      </w:r>
    </w:p>
    <w:p>
      <w:pPr>
        <w:sectPr>
          <w:pgSz w:w="11900" w:h="16838" w:orient="portrait"/>
          <w:cols w:equalWidth="0" w:num="1">
            <w:col w:w="10220"/>
          </w:cols>
          <w:pgMar w:left="1440" w:top="963" w:right="239" w:bottom="1440" w:gutter="0" w:footer="0" w:header="0"/>
        </w:sectPr>
      </w:pPr>
    </w:p>
    <w:bookmarkStart w:id="87" w:name="page88"/>
    <w:bookmarkEnd w:id="87"/>
    <w:p>
      <w:pPr>
        <w:jc w:val="both"/>
        <w:ind w:left="200" w:firstLine="626"/>
        <w:spacing w:after="0" w:line="254" w:lineRule="auto"/>
        <w:tabs>
          <w:tab w:leader="none" w:pos="1333"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restrictions described in Section 2(e)(ii) shall lapse with respect to the Performance Units on the third anniversary of the date of this Award Agreement (the "</w:t>
      </w:r>
      <w:r>
        <w:rPr>
          <w:rFonts w:ascii="Arial" w:cs="Arial" w:eastAsia="Arial" w:hAnsi="Arial"/>
          <w:sz w:val="22"/>
          <w:szCs w:val="22"/>
          <w:u w:val="single" w:color="auto"/>
          <w:color w:val="auto"/>
        </w:rPr>
        <w:t>Measurement Date</w:t>
      </w:r>
      <w:r>
        <w:rPr>
          <w:rFonts w:ascii="Arial" w:cs="Arial" w:eastAsia="Arial" w:hAnsi="Arial"/>
          <w:sz w:val="22"/>
          <w:szCs w:val="22"/>
          <w:color w:val="auto"/>
        </w:rPr>
        <w:t>"), but only if and to the extent the Committee certifies in writing that the "</w:t>
      </w:r>
      <w:r>
        <w:rPr>
          <w:rFonts w:ascii="Arial" w:cs="Arial" w:eastAsia="Arial" w:hAnsi="Arial"/>
          <w:sz w:val="22"/>
          <w:szCs w:val="22"/>
          <w:u w:val="single" w:color="auto"/>
          <w:color w:val="auto"/>
        </w:rPr>
        <w:t>Shareholder Return Goals</w:t>
      </w:r>
      <w:r>
        <w:rPr>
          <w:rFonts w:ascii="Arial" w:cs="Arial" w:eastAsia="Arial" w:hAnsi="Arial"/>
          <w:sz w:val="22"/>
          <w:szCs w:val="22"/>
          <w:color w:val="auto"/>
        </w:rPr>
        <w:t>" set forth in this subsection (ii) are met. The Shareholder Return Goals are as follows: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380" w:type="dxa"/>
            <w:vAlign w:val="bottom"/>
            <w:gridSpan w:val="3"/>
          </w:tcPr>
          <w:p>
            <w:pPr>
              <w:jc w:val="center"/>
              <w:ind w:left="247"/>
              <w:spacing w:after="0"/>
              <w:rPr>
                <w:sz w:val="20"/>
                <w:szCs w:val="20"/>
                <w:color w:val="auto"/>
              </w:rPr>
            </w:pPr>
            <w:r>
              <w:rPr>
                <w:rFonts w:ascii="Arial" w:cs="Arial" w:eastAsia="Arial" w:hAnsi="Arial"/>
                <w:sz w:val="22"/>
                <w:szCs w:val="22"/>
                <w:b w:val="1"/>
                <w:bCs w:val="1"/>
                <w:color w:val="auto"/>
                <w:w w:val="87"/>
              </w:rPr>
              <w:t>Percentage of Performance Units</w:t>
            </w: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2200" w:type="dxa"/>
            <w:vAlign w:val="bottom"/>
            <w:gridSpan w:val="2"/>
          </w:tcPr>
          <w:p>
            <w:pPr>
              <w:jc w:val="center"/>
              <w:ind w:right="1060"/>
              <w:spacing w:after="0" w:line="243" w:lineRule="exact"/>
              <w:rPr>
                <w:sz w:val="20"/>
                <w:szCs w:val="20"/>
                <w:color w:val="auto"/>
              </w:rPr>
            </w:pPr>
            <w:r>
              <w:rPr>
                <w:rFonts w:ascii="Arial" w:cs="Arial" w:eastAsia="Arial" w:hAnsi="Arial"/>
                <w:sz w:val="22"/>
                <w:szCs w:val="22"/>
                <w:b w:val="1"/>
                <w:bCs w:val="1"/>
                <w:color w:val="auto"/>
                <w:w w:val="88"/>
              </w:rPr>
              <w:t>Shareholder</w:t>
            </w:r>
          </w:p>
        </w:tc>
        <w:tc>
          <w:tcPr>
            <w:tcW w:w="480" w:type="dxa"/>
            <w:vAlign w:val="bottom"/>
          </w:tcPr>
          <w:p>
            <w:pPr>
              <w:spacing w:after="0"/>
              <w:rPr>
                <w:sz w:val="21"/>
                <w:szCs w:val="21"/>
                <w:color w:val="auto"/>
              </w:rPr>
            </w:pPr>
          </w:p>
        </w:tc>
        <w:tc>
          <w:tcPr>
            <w:tcW w:w="2360" w:type="dxa"/>
            <w:vAlign w:val="bottom"/>
            <w:gridSpan w:val="2"/>
          </w:tcPr>
          <w:p>
            <w:pPr>
              <w:jc w:val="center"/>
              <w:ind w:right="520"/>
              <w:spacing w:after="0" w:line="243" w:lineRule="exact"/>
              <w:rPr>
                <w:sz w:val="20"/>
                <w:szCs w:val="20"/>
                <w:color w:val="auto"/>
              </w:rPr>
            </w:pPr>
            <w:r>
              <w:rPr>
                <w:rFonts w:ascii="Arial" w:cs="Arial" w:eastAsia="Arial" w:hAnsi="Arial"/>
                <w:sz w:val="22"/>
                <w:szCs w:val="22"/>
                <w:b w:val="1"/>
                <w:bCs w:val="1"/>
                <w:color w:val="auto"/>
                <w:w w:val="91"/>
              </w:rPr>
              <w:t>Total</w:t>
            </w:r>
          </w:p>
        </w:tc>
        <w:tc>
          <w:tcPr>
            <w:tcW w:w="760" w:type="dxa"/>
            <w:vAlign w:val="bottom"/>
          </w:tcPr>
          <w:p>
            <w:pPr>
              <w:spacing w:after="0"/>
              <w:rPr>
                <w:sz w:val="21"/>
                <w:szCs w:val="21"/>
                <w:color w:val="auto"/>
              </w:rPr>
            </w:pPr>
          </w:p>
        </w:tc>
        <w:tc>
          <w:tcPr>
            <w:tcW w:w="2620" w:type="dxa"/>
            <w:vAlign w:val="bottom"/>
            <w:gridSpan w:val="2"/>
          </w:tcPr>
          <w:p>
            <w:pPr>
              <w:jc w:val="center"/>
              <w:ind w:right="420"/>
              <w:spacing w:after="0" w:line="243" w:lineRule="exact"/>
              <w:rPr>
                <w:sz w:val="20"/>
                <w:szCs w:val="20"/>
                <w:color w:val="auto"/>
              </w:rPr>
            </w:pPr>
            <w:r>
              <w:rPr>
                <w:rFonts w:ascii="Arial" w:cs="Arial" w:eastAsia="Arial" w:hAnsi="Arial"/>
                <w:sz w:val="22"/>
                <w:szCs w:val="22"/>
                <w:b w:val="1"/>
                <w:bCs w:val="1"/>
                <w:color w:val="auto"/>
                <w:w w:val="94"/>
              </w:rPr>
              <w:t>for Which</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160" w:type="dxa"/>
            <w:vAlign w:val="bottom"/>
          </w:tcPr>
          <w:p>
            <w:pPr>
              <w:jc w:val="center"/>
              <w:spacing w:after="0" w:line="230" w:lineRule="exact"/>
              <w:rPr>
                <w:sz w:val="20"/>
                <w:szCs w:val="20"/>
                <w:color w:val="auto"/>
              </w:rPr>
            </w:pPr>
            <w:r>
              <w:rPr>
                <w:rFonts w:ascii="Arial" w:cs="Arial" w:eastAsia="Arial" w:hAnsi="Arial"/>
                <w:sz w:val="22"/>
                <w:szCs w:val="22"/>
                <w:b w:val="1"/>
                <w:bCs w:val="1"/>
                <w:color w:val="auto"/>
                <w:w w:val="92"/>
              </w:rPr>
              <w:t>Return Goal</w:t>
            </w:r>
          </w:p>
        </w:tc>
        <w:tc>
          <w:tcPr>
            <w:tcW w:w="1040" w:type="dxa"/>
            <w:vAlign w:val="bottom"/>
          </w:tcPr>
          <w:p>
            <w:pPr>
              <w:spacing w:after="0"/>
              <w:rPr>
                <w:sz w:val="20"/>
                <w:szCs w:val="20"/>
                <w:color w:val="auto"/>
              </w:rPr>
            </w:pPr>
          </w:p>
        </w:tc>
        <w:tc>
          <w:tcPr>
            <w:tcW w:w="2840" w:type="dxa"/>
            <w:vAlign w:val="bottom"/>
            <w:gridSpan w:val="3"/>
          </w:tcPr>
          <w:p>
            <w:pPr>
              <w:jc w:val="center"/>
              <w:ind w:right="40"/>
              <w:spacing w:after="0" w:line="230" w:lineRule="exact"/>
              <w:rPr>
                <w:sz w:val="20"/>
                <w:szCs w:val="20"/>
                <w:color w:val="auto"/>
              </w:rPr>
            </w:pPr>
            <w:r>
              <w:rPr>
                <w:rFonts w:ascii="Arial" w:cs="Arial" w:eastAsia="Arial" w:hAnsi="Arial"/>
                <w:sz w:val="22"/>
                <w:szCs w:val="22"/>
                <w:b w:val="1"/>
                <w:bCs w:val="1"/>
                <w:color w:val="auto"/>
                <w:w w:val="89"/>
              </w:rPr>
              <w:t>Shareholder Return</w:t>
            </w:r>
          </w:p>
        </w:tc>
        <w:tc>
          <w:tcPr>
            <w:tcW w:w="760" w:type="dxa"/>
            <w:vAlign w:val="bottom"/>
          </w:tcPr>
          <w:p>
            <w:pPr>
              <w:spacing w:after="0"/>
              <w:rPr>
                <w:sz w:val="20"/>
                <w:szCs w:val="20"/>
                <w:color w:val="auto"/>
              </w:rPr>
            </w:pPr>
          </w:p>
        </w:tc>
        <w:tc>
          <w:tcPr>
            <w:tcW w:w="2620" w:type="dxa"/>
            <w:vAlign w:val="bottom"/>
            <w:gridSpan w:val="2"/>
          </w:tcPr>
          <w:p>
            <w:pPr>
              <w:jc w:val="center"/>
              <w:ind w:right="420"/>
              <w:spacing w:after="0" w:line="230" w:lineRule="exact"/>
              <w:rPr>
                <w:sz w:val="20"/>
                <w:szCs w:val="20"/>
                <w:color w:val="auto"/>
              </w:rPr>
            </w:pPr>
            <w:r>
              <w:rPr>
                <w:rFonts w:ascii="Arial" w:cs="Arial" w:eastAsia="Arial" w:hAnsi="Arial"/>
                <w:sz w:val="22"/>
                <w:szCs w:val="22"/>
                <w:b w:val="1"/>
                <w:bCs w:val="1"/>
                <w:color w:val="auto"/>
                <w:w w:val="87"/>
              </w:rPr>
              <w:t>Conditions are Satisfied</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6"/>
        </w:trPr>
        <w:tc>
          <w:tcPr>
            <w:tcW w:w="294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Threshold Total Shareholder Return</w:t>
            </w:r>
          </w:p>
        </w:tc>
        <w:tc>
          <w:tcPr>
            <w:tcW w:w="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200" w:type="dxa"/>
            <w:vAlign w:val="bottom"/>
            <w:gridSpan w:val="2"/>
          </w:tcPr>
          <w:p>
            <w:pPr>
              <w:jc w:val="center"/>
              <w:ind w:right="1060"/>
              <w:spacing w:after="0"/>
              <w:rPr>
                <w:sz w:val="20"/>
                <w:szCs w:val="20"/>
                <w:color w:val="auto"/>
              </w:rPr>
            </w:pPr>
            <w:r>
              <w:rPr>
                <w:rFonts w:ascii="Arial" w:cs="Arial" w:eastAsia="Arial" w:hAnsi="Arial"/>
                <w:sz w:val="18"/>
                <w:szCs w:val="18"/>
                <w:color w:val="auto"/>
                <w:w w:val="89"/>
              </w:rPr>
              <w:t>Goal</w:t>
            </w:r>
          </w:p>
        </w:tc>
        <w:tc>
          <w:tcPr>
            <w:tcW w:w="284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____ percentile of Peer Group</w:t>
            </w:r>
          </w:p>
        </w:tc>
        <w:tc>
          <w:tcPr>
            <w:tcW w:w="2960" w:type="dxa"/>
            <w:vAlign w:val="bottom"/>
            <w:gridSpan w:val="2"/>
          </w:tcPr>
          <w:p>
            <w:pPr>
              <w:jc w:val="center"/>
              <w:ind w:left="667"/>
              <w:spacing w:after="0"/>
              <w:rPr>
                <w:sz w:val="20"/>
                <w:szCs w:val="20"/>
                <w:color w:val="auto"/>
              </w:rPr>
            </w:pPr>
            <w:r>
              <w:rPr>
                <w:rFonts w:ascii="Arial" w:cs="Arial" w:eastAsia="Arial" w:hAnsi="Arial"/>
                <w:sz w:val="18"/>
                <w:szCs w:val="18"/>
                <w:color w:val="auto"/>
                <w:w w:val="88"/>
              </w:rPr>
              <w:t>__%</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94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Above Threshold Total Shareholder</w:t>
            </w:r>
          </w:p>
        </w:tc>
        <w:tc>
          <w:tcPr>
            <w:tcW w:w="4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200" w:type="dxa"/>
            <w:vAlign w:val="bottom"/>
            <w:gridSpan w:val="2"/>
          </w:tcPr>
          <w:p>
            <w:pPr>
              <w:jc w:val="center"/>
              <w:ind w:right="1060"/>
              <w:spacing w:after="0"/>
              <w:rPr>
                <w:sz w:val="20"/>
                <w:szCs w:val="20"/>
                <w:color w:val="auto"/>
              </w:rPr>
            </w:pPr>
            <w:r>
              <w:rPr>
                <w:rFonts w:ascii="Arial" w:cs="Arial" w:eastAsia="Arial" w:hAnsi="Arial"/>
                <w:sz w:val="18"/>
                <w:szCs w:val="18"/>
                <w:color w:val="auto"/>
                <w:w w:val="92"/>
              </w:rPr>
              <w:t>Return Goal</w:t>
            </w:r>
          </w:p>
        </w:tc>
        <w:tc>
          <w:tcPr>
            <w:tcW w:w="284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____ percentile of Peer Group</w:t>
            </w:r>
          </w:p>
        </w:tc>
        <w:tc>
          <w:tcPr>
            <w:tcW w:w="2960" w:type="dxa"/>
            <w:vAlign w:val="bottom"/>
            <w:gridSpan w:val="2"/>
          </w:tcPr>
          <w:p>
            <w:pPr>
              <w:jc w:val="center"/>
              <w:ind w:left="667"/>
              <w:spacing w:after="0"/>
              <w:rPr>
                <w:sz w:val="20"/>
                <w:szCs w:val="20"/>
                <w:color w:val="auto"/>
              </w:rPr>
            </w:pPr>
            <w:r>
              <w:rPr>
                <w:rFonts w:ascii="Arial" w:cs="Arial" w:eastAsia="Arial" w:hAnsi="Arial"/>
                <w:sz w:val="18"/>
                <w:szCs w:val="18"/>
                <w:color w:val="auto"/>
                <w:w w:val="88"/>
              </w:rPr>
              <w:t>__%</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60" w:type="dxa"/>
            <w:vAlign w:val="bottom"/>
            <w:gridSpan w:val="2"/>
          </w:tcPr>
          <w:p>
            <w:pPr>
              <w:jc w:val="center"/>
              <w:ind w:left="647"/>
              <w:spacing w:after="0"/>
              <w:rPr>
                <w:sz w:val="20"/>
                <w:szCs w:val="20"/>
                <w:color w:val="auto"/>
              </w:rPr>
            </w:pPr>
            <w:r>
              <w:rPr>
                <w:rFonts w:ascii="Arial" w:cs="Arial" w:eastAsia="Arial" w:hAnsi="Arial"/>
                <w:sz w:val="18"/>
                <w:szCs w:val="18"/>
                <w:color w:val="auto"/>
                <w:w w:val="91"/>
              </w:rPr>
              <w:t>___%</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294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Target Total Shareholder Return</w:t>
            </w:r>
          </w:p>
        </w:tc>
        <w:tc>
          <w:tcPr>
            <w:tcW w:w="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200" w:type="dxa"/>
            <w:vAlign w:val="bottom"/>
            <w:gridSpan w:val="2"/>
          </w:tcPr>
          <w:p>
            <w:pPr>
              <w:jc w:val="center"/>
              <w:ind w:right="1060"/>
              <w:spacing w:after="0"/>
              <w:rPr>
                <w:sz w:val="20"/>
                <w:szCs w:val="20"/>
                <w:color w:val="auto"/>
              </w:rPr>
            </w:pPr>
            <w:r>
              <w:rPr>
                <w:rFonts w:ascii="Arial" w:cs="Arial" w:eastAsia="Arial" w:hAnsi="Arial"/>
                <w:sz w:val="18"/>
                <w:szCs w:val="18"/>
                <w:color w:val="auto"/>
                <w:w w:val="89"/>
              </w:rPr>
              <w:t>Goal</w:t>
            </w:r>
          </w:p>
        </w:tc>
        <w:tc>
          <w:tcPr>
            <w:tcW w:w="284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____ percentile of Peer Group</w:t>
            </w:r>
          </w:p>
        </w:tc>
        <w:tc>
          <w:tcPr>
            <w:tcW w:w="2960" w:type="dxa"/>
            <w:vAlign w:val="bottom"/>
            <w:gridSpan w:val="2"/>
            <w:vMerge w:val="restart"/>
          </w:tcPr>
          <w:p>
            <w:pPr>
              <w:jc w:val="center"/>
              <w:ind w:left="647"/>
              <w:spacing w:after="0"/>
              <w:rPr>
                <w:sz w:val="20"/>
                <w:szCs w:val="20"/>
                <w:color w:val="auto"/>
              </w:rPr>
            </w:pPr>
            <w:r>
              <w:rPr>
                <w:rFonts w:ascii="Arial" w:cs="Arial" w:eastAsia="Arial" w:hAnsi="Arial"/>
                <w:sz w:val="18"/>
                <w:szCs w:val="18"/>
                <w:color w:val="auto"/>
                <w:w w:val="91"/>
              </w:rPr>
              <w:t>___%</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94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Above Target Total Shareholder</w:t>
            </w:r>
          </w:p>
        </w:tc>
        <w:tc>
          <w:tcPr>
            <w:tcW w:w="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200" w:type="dxa"/>
            <w:vAlign w:val="bottom"/>
            <w:gridSpan w:val="2"/>
          </w:tcPr>
          <w:p>
            <w:pPr>
              <w:jc w:val="center"/>
              <w:ind w:right="1060"/>
              <w:spacing w:after="0"/>
              <w:rPr>
                <w:sz w:val="20"/>
                <w:szCs w:val="20"/>
                <w:color w:val="auto"/>
              </w:rPr>
            </w:pPr>
            <w:r>
              <w:rPr>
                <w:rFonts w:ascii="Arial" w:cs="Arial" w:eastAsia="Arial" w:hAnsi="Arial"/>
                <w:sz w:val="18"/>
                <w:szCs w:val="18"/>
                <w:color w:val="auto"/>
                <w:w w:val="92"/>
              </w:rPr>
              <w:t>Return Goal</w:t>
            </w:r>
          </w:p>
        </w:tc>
        <w:tc>
          <w:tcPr>
            <w:tcW w:w="284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____ percentile of Peer Group</w:t>
            </w:r>
          </w:p>
        </w:tc>
        <w:tc>
          <w:tcPr>
            <w:tcW w:w="2960" w:type="dxa"/>
            <w:vAlign w:val="bottom"/>
            <w:gridSpan w:val="2"/>
            <w:vMerge w:val="restart"/>
          </w:tcPr>
          <w:p>
            <w:pPr>
              <w:jc w:val="center"/>
              <w:ind w:left="647"/>
              <w:spacing w:after="0"/>
              <w:rPr>
                <w:sz w:val="20"/>
                <w:szCs w:val="20"/>
                <w:color w:val="auto"/>
              </w:rPr>
            </w:pPr>
            <w:r>
              <w:rPr>
                <w:rFonts w:ascii="Arial" w:cs="Arial" w:eastAsia="Arial" w:hAnsi="Arial"/>
                <w:sz w:val="18"/>
                <w:szCs w:val="18"/>
                <w:color w:val="auto"/>
                <w:w w:val="91"/>
              </w:rPr>
              <w:t>___%</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40" w:type="dxa"/>
            <w:vAlign w:val="bottom"/>
            <w:gridSpan w:val="3"/>
            <w:vMerge w:val="restart"/>
          </w:tcPr>
          <w:p>
            <w:pPr>
              <w:jc w:val="center"/>
              <w:ind w:right="320"/>
              <w:spacing w:after="0"/>
              <w:rPr>
                <w:sz w:val="20"/>
                <w:szCs w:val="20"/>
                <w:color w:val="auto"/>
              </w:rPr>
            </w:pPr>
            <w:r>
              <w:rPr>
                <w:rFonts w:ascii="Arial" w:cs="Arial" w:eastAsia="Arial" w:hAnsi="Arial"/>
                <w:sz w:val="18"/>
                <w:szCs w:val="18"/>
                <w:color w:val="auto"/>
                <w:w w:val="91"/>
              </w:rPr>
              <w:t>Maximum Total Shareholder Return</w:t>
            </w:r>
          </w:p>
        </w:tc>
        <w:tc>
          <w:tcPr>
            <w:tcW w:w="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4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200" w:type="dxa"/>
            <w:vAlign w:val="bottom"/>
            <w:gridSpan w:val="2"/>
          </w:tcPr>
          <w:p>
            <w:pPr>
              <w:jc w:val="center"/>
              <w:ind w:right="1060"/>
              <w:spacing w:after="0"/>
              <w:rPr>
                <w:sz w:val="20"/>
                <w:szCs w:val="20"/>
                <w:color w:val="auto"/>
              </w:rPr>
            </w:pPr>
            <w:r>
              <w:rPr>
                <w:rFonts w:ascii="Arial" w:cs="Arial" w:eastAsia="Arial" w:hAnsi="Arial"/>
                <w:sz w:val="18"/>
                <w:szCs w:val="18"/>
                <w:color w:val="auto"/>
                <w:w w:val="89"/>
              </w:rPr>
              <w:t>Goal</w:t>
            </w:r>
          </w:p>
        </w:tc>
        <w:tc>
          <w:tcPr>
            <w:tcW w:w="2840" w:type="dxa"/>
            <w:vAlign w:val="bottom"/>
            <w:gridSpan w:val="3"/>
            <w:vMerge w:val="restart"/>
          </w:tcPr>
          <w:p>
            <w:pPr>
              <w:jc w:val="center"/>
              <w:ind w:right="60"/>
              <w:spacing w:after="0"/>
              <w:rPr>
                <w:sz w:val="20"/>
                <w:szCs w:val="20"/>
                <w:color w:val="auto"/>
              </w:rPr>
            </w:pPr>
            <w:r>
              <w:rPr>
                <w:rFonts w:ascii="Arial" w:cs="Arial" w:eastAsia="Arial" w:hAnsi="Arial"/>
                <w:sz w:val="18"/>
                <w:szCs w:val="18"/>
                <w:color w:val="auto"/>
                <w:w w:val="90"/>
              </w:rPr>
              <w:t>____ percentile of Peer Group</w:t>
            </w:r>
          </w:p>
        </w:tc>
        <w:tc>
          <w:tcPr>
            <w:tcW w:w="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40" w:type="dxa"/>
            <w:vAlign w:val="bottom"/>
            <w:gridSpan w:val="3"/>
            <w:vMerge w:val="continue"/>
          </w:tcPr>
          <w:p>
            <w:pPr>
              <w:spacing w:after="0"/>
              <w:rPr>
                <w:sz w:val="18"/>
                <w:szCs w:val="18"/>
                <w:color w:val="auto"/>
              </w:rPr>
            </w:pPr>
          </w:p>
        </w:tc>
        <w:tc>
          <w:tcPr>
            <w:tcW w:w="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jc w:val="both"/>
        <w:ind w:left="180" w:firstLine="648"/>
        <w:spacing w:after="0" w:line="285" w:lineRule="auto"/>
        <w:rPr>
          <w:sz w:val="20"/>
          <w:szCs w:val="20"/>
          <w:color w:val="auto"/>
        </w:rPr>
      </w:pPr>
      <w:r>
        <w:rPr>
          <w:rFonts w:ascii="Arial" w:cs="Arial" w:eastAsia="Arial" w:hAnsi="Arial"/>
          <w:sz w:val="19"/>
          <w:szCs w:val="19"/>
          <w:color w:val="auto"/>
        </w:rPr>
        <w:t>The Committee shall certify on a nondiscretionary basis whether and the extent to which the Shareholder Return Goals have been met on or before the date on which the Company is required to make a book-entry registration or issue a certificate for Shares relating to the achievement of Shareholder Return Goals as set forth in Section 2(f)(viii). In the event the Committee certifies that the Threshold Total Shareholder Return Goal has not been met, then all of the Performance Units will be forfeited to the Company. In the event the Committee certifies that the Company has achieved the Maximum Total Shareholder Return Goal, the conditions shall be deemed to have been satisfied and the restrictions on a number of Performance Units equal to all of the Performance Units multiplied by two shall be removed as of the Measurement Date. In the event the Committee certifies that the Company has achieved a Total Shareholder Return that is between any of the Total Shareholder Return Goals set forth above, then the conditions with respect to the Performance Units shall be deemed to have been met for the number of Performance Units determined by linear interpolation between such Shareholder Return Goals and the restrictions on such Performance Units shall be removed as of the Measurement Date and the remainder of the Performance Units will be forfeited to the Company. The Committee has the final authority to determine on a nondiscretionary basis whether the Shareholder Return Goals have been met and to what extent. Notwithstanding the foregoing or any other provision of this Award Agreement to the contrary, in the event that the Committee certifies that the Company has achieved a Total Shareholder Return which is above the ____ percentile of the Peer Group but the Total Shareholder Return of the Company is less than zero, then the conditions with respect to the</w:t>
      </w:r>
    </w:p>
    <w:p>
      <w:pPr>
        <w:sectPr>
          <w:pgSz w:w="11900" w:h="16838" w:orient="portrait"/>
          <w:cols w:equalWidth="0" w:num="1">
            <w:col w:w="10320"/>
          </w:cols>
          <w:pgMar w:left="1340" w:top="753" w:right="239" w:bottom="1440" w:gutter="0" w:footer="0" w:header="0"/>
        </w:sectPr>
      </w:pPr>
    </w:p>
    <w:bookmarkStart w:id="88" w:name="page89"/>
    <w:bookmarkEnd w:id="88"/>
    <w:p>
      <w:pPr>
        <w:jc w:val="both"/>
        <w:ind w:left="80"/>
        <w:spacing w:after="0" w:line="253" w:lineRule="auto"/>
        <w:rPr>
          <w:sz w:val="20"/>
          <w:szCs w:val="20"/>
          <w:color w:val="auto"/>
        </w:rPr>
      </w:pPr>
      <w:r>
        <w:rPr>
          <w:rFonts w:ascii="Arial" w:cs="Arial" w:eastAsia="Arial" w:hAnsi="Arial"/>
          <w:sz w:val="22"/>
          <w:szCs w:val="22"/>
          <w:color w:val="auto"/>
        </w:rPr>
        <w:t>Performance Units shall be deemed to have been satisfied and the restrictions on a number of Performance Units equal to the Above Target Total Shareholder Return Goal shall be removed as of the Measurement Date and the remainder of the Performance Units will be forfeited to the Company.</w:t>
      </w:r>
    </w:p>
    <w:p>
      <w:pPr>
        <w:spacing w:after="0" w:line="132" w:lineRule="exact"/>
        <w:rPr>
          <w:sz w:val="20"/>
          <w:szCs w:val="20"/>
          <w:color w:val="auto"/>
        </w:rPr>
      </w:pPr>
    </w:p>
    <w:p>
      <w:pPr>
        <w:jc w:val="both"/>
        <w:ind w:left="100" w:firstLine="648"/>
        <w:spacing w:after="0" w:line="253" w:lineRule="auto"/>
        <w:rPr>
          <w:sz w:val="20"/>
          <w:szCs w:val="20"/>
          <w:color w:val="auto"/>
        </w:rPr>
      </w:pPr>
      <w:r>
        <w:rPr>
          <w:rFonts w:ascii="Arial" w:cs="Arial" w:eastAsia="Arial" w:hAnsi="Arial"/>
          <w:sz w:val="22"/>
          <w:szCs w:val="22"/>
          <w:color w:val="auto"/>
        </w:rPr>
        <w:t>For purposes of measuring the Shareholder Return Goals with respect to the Company and each of the companies in the Peer Group: "</w:t>
      </w:r>
      <w:r>
        <w:rPr>
          <w:rFonts w:ascii="Arial" w:cs="Arial" w:eastAsia="Arial" w:hAnsi="Arial"/>
          <w:sz w:val="22"/>
          <w:szCs w:val="22"/>
          <w:u w:val="single" w:color="auto"/>
          <w:color w:val="auto"/>
        </w:rPr>
        <w:t>Total Shareholder Return</w:t>
      </w:r>
      <w:r>
        <w:rPr>
          <w:rFonts w:ascii="Arial" w:cs="Arial" w:eastAsia="Arial" w:hAnsi="Arial"/>
          <w:sz w:val="22"/>
          <w:szCs w:val="22"/>
          <w:color w:val="auto"/>
        </w:rPr>
        <w:t>" shall mean the total shareholder return calculated by subtracting 1 from the following fraction:</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Numerator: Ending Stock Value</w:t>
      </w:r>
    </w:p>
    <w:p>
      <w:pPr>
        <w:spacing w:after="0" w:line="24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Denominator: Beginning Stock Value</w:t>
      </w:r>
    </w:p>
    <w:p>
      <w:pPr>
        <w:spacing w:after="0" w:line="247" w:lineRule="exact"/>
        <w:rPr>
          <w:sz w:val="20"/>
          <w:szCs w:val="20"/>
          <w:color w:val="auto"/>
        </w:rPr>
      </w:pPr>
    </w:p>
    <w:p>
      <w:pPr>
        <w:jc w:val="both"/>
        <w:ind w:left="10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Beginning Stock Value</w:t>
      </w:r>
      <w:r>
        <w:rPr>
          <w:rFonts w:ascii="Arial" w:cs="Arial" w:eastAsia="Arial" w:hAnsi="Arial"/>
          <w:sz w:val="19"/>
          <w:szCs w:val="19"/>
          <w:color w:val="auto"/>
        </w:rPr>
        <w:t>" shall mean, with respect to the Company and each of the companies in the Peer Group, $100, invested in common stock at the average closing stock price of such company for each of the trading days in the period covering April, May and June of ____; "</w:t>
      </w:r>
      <w:r>
        <w:rPr>
          <w:rFonts w:ascii="Arial" w:cs="Arial" w:eastAsia="Arial" w:hAnsi="Arial"/>
          <w:sz w:val="19"/>
          <w:szCs w:val="19"/>
          <w:u w:val="single" w:color="auto"/>
          <w:color w:val="auto"/>
        </w:rPr>
        <w:t>Ending Stock Value</w:t>
      </w:r>
      <w:r>
        <w:rPr>
          <w:rFonts w:ascii="Arial" w:cs="Arial" w:eastAsia="Arial" w:hAnsi="Arial"/>
          <w:sz w:val="19"/>
          <w:szCs w:val="19"/>
          <w:color w:val="auto"/>
        </w:rPr>
        <w:t>" shall mean, with respect to the</w:t>
      </w:r>
    </w:p>
    <w:p>
      <w:pPr>
        <w:spacing w:after="0" w:line="1" w:lineRule="exact"/>
        <w:rPr>
          <w:sz w:val="20"/>
          <w:szCs w:val="20"/>
          <w:color w:val="auto"/>
        </w:rPr>
      </w:pPr>
    </w:p>
    <w:p>
      <w:pPr>
        <w:jc w:val="both"/>
        <w:ind w:left="100"/>
        <w:spacing w:after="0" w:line="281" w:lineRule="auto"/>
        <w:rPr>
          <w:sz w:val="20"/>
          <w:szCs w:val="20"/>
          <w:color w:val="auto"/>
        </w:rPr>
      </w:pPr>
      <w:r>
        <w:rPr>
          <w:rFonts w:ascii="Arial" w:cs="Arial" w:eastAsia="Arial" w:hAnsi="Arial"/>
          <w:sz w:val="19"/>
          <w:szCs w:val="19"/>
          <w:color w:val="auto"/>
        </w:rPr>
        <w:t>Company and each of the companies in the Peer Group, the average closing stock price of such company of one share of common stock for each of the trading days in the period covering April, May and June of ____ multiplied</w:t>
      </w:r>
    </w:p>
    <w:p>
      <w:pPr>
        <w:spacing w:after="0" w:line="2" w:lineRule="exact"/>
        <w:rPr>
          <w:sz w:val="20"/>
          <w:szCs w:val="20"/>
          <w:color w:val="auto"/>
        </w:rPr>
      </w:pPr>
    </w:p>
    <w:p>
      <w:pPr>
        <w:jc w:val="both"/>
        <w:ind w:left="100"/>
        <w:spacing w:after="0" w:line="281" w:lineRule="auto"/>
        <w:rPr>
          <w:sz w:val="20"/>
          <w:szCs w:val="20"/>
          <w:color w:val="auto"/>
        </w:rPr>
      </w:pPr>
      <w:r>
        <w:rPr>
          <w:rFonts w:ascii="Arial" w:cs="Arial" w:eastAsia="Arial" w:hAnsi="Arial"/>
          <w:sz w:val="19"/>
          <w:szCs w:val="19"/>
          <w:color w:val="auto"/>
        </w:rPr>
        <w:t>by the sum of the number of shares represented by the Beginning Stock Value initial $100 investment plus such additional shares resulting from all dividends paid on common stock during the three-year measurement period being treated as though they are reinvested on the applicable ex-dividend dates at the applicable closing prices on such dates; and "</w:t>
      </w:r>
      <w:r>
        <w:rPr>
          <w:rFonts w:ascii="Arial" w:cs="Arial" w:eastAsia="Arial" w:hAnsi="Arial"/>
          <w:sz w:val="19"/>
          <w:szCs w:val="19"/>
          <w:u w:val="single" w:color="auto"/>
          <w:color w:val="auto"/>
        </w:rPr>
        <w:t>Peer Group</w:t>
      </w:r>
      <w:r>
        <w:rPr>
          <w:rFonts w:ascii="Arial" w:cs="Arial" w:eastAsia="Arial" w:hAnsi="Arial"/>
          <w:sz w:val="19"/>
          <w:szCs w:val="19"/>
          <w:color w:val="auto"/>
        </w:rPr>
        <w:t>" shall mean ________. The Company's ranking relative to members of the Peer Group</w:t>
      </w:r>
    </w:p>
    <w:p>
      <w:pPr>
        <w:spacing w:after="0" w:line="3" w:lineRule="exact"/>
        <w:rPr>
          <w:sz w:val="20"/>
          <w:szCs w:val="20"/>
          <w:color w:val="auto"/>
        </w:rPr>
      </w:pPr>
    </w:p>
    <w:p>
      <w:pPr>
        <w:jc w:val="both"/>
        <w:ind w:left="100"/>
        <w:spacing w:after="0" w:line="281" w:lineRule="auto"/>
        <w:rPr>
          <w:sz w:val="20"/>
          <w:szCs w:val="20"/>
          <w:color w:val="auto"/>
        </w:rPr>
      </w:pPr>
      <w:r>
        <w:rPr>
          <w:rFonts w:ascii="Arial" w:cs="Arial" w:eastAsia="Arial" w:hAnsi="Arial"/>
          <w:sz w:val="19"/>
          <w:szCs w:val="19"/>
          <w:color w:val="auto"/>
        </w:rPr>
        <w:t>will be determined by listing the Company and members of the Peer Group from highest to lowest Total Shareholder Return achieved by the respective company and counting down from the company with the highest Total Shareholder Return to the Company's position within such list. In all events, the Total Shareholder Return of any member of the Peer Group shall be adjusted to give effect to any stock dividends, stock splits, reverse stock splits and similar transactions. If a company or companies in the Peer Group files for bankruptcy at any time prior to</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19"/>
          <w:szCs w:val="19"/>
          <w:color w:val="auto"/>
        </w:rPr>
        <w:t>_________ (the "Performance Period Termination Date"), then such company or companies shall have the lowest</w:t>
      </w:r>
    </w:p>
    <w:p>
      <w:pPr>
        <w:spacing w:after="0" w:line="38" w:lineRule="exact"/>
        <w:rPr>
          <w:sz w:val="20"/>
          <w:szCs w:val="20"/>
          <w:color w:val="auto"/>
        </w:rPr>
      </w:pPr>
    </w:p>
    <w:p>
      <w:pPr>
        <w:jc w:val="both"/>
        <w:ind w:left="100"/>
        <w:spacing w:after="0" w:line="302" w:lineRule="auto"/>
        <w:rPr>
          <w:sz w:val="20"/>
          <w:szCs w:val="20"/>
          <w:color w:val="auto"/>
        </w:rPr>
      </w:pPr>
      <w:r>
        <w:rPr>
          <w:rFonts w:ascii="Arial" w:cs="Arial" w:eastAsia="Arial" w:hAnsi="Arial"/>
          <w:sz w:val="19"/>
          <w:szCs w:val="19"/>
          <w:color w:val="auto"/>
        </w:rPr>
        <w:t>ranking in the Peer Group. If the common stock of a company or companies in the Peer Group ceases to trade on a national securities exchange as a result of a going private transaction or other acquisition at any time prior to the Performance Period Termination Date, then such company or companies shall be removed from the Peer Group.</w:t>
      </w:r>
    </w:p>
    <w:p>
      <w:pPr>
        <w:spacing w:after="0" w:line="170" w:lineRule="exact"/>
        <w:rPr>
          <w:sz w:val="20"/>
          <w:szCs w:val="20"/>
          <w:color w:val="auto"/>
        </w:rPr>
      </w:pPr>
    </w:p>
    <w:p>
      <w:pPr>
        <w:jc w:val="both"/>
        <w:ind w:left="80" w:firstLine="646"/>
        <w:spacing w:after="0" w:line="254" w:lineRule="auto"/>
        <w:tabs>
          <w:tab w:leader="none" w:pos="1232"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restrictions described in Section 2(e)(ii) shall lapse with respect to the Performance Cash Award on the second anniversary of the date of this Award Agreement (the "</w:t>
      </w:r>
      <w:r>
        <w:rPr>
          <w:rFonts w:ascii="Arial" w:cs="Arial" w:eastAsia="Arial" w:hAnsi="Arial"/>
          <w:sz w:val="22"/>
          <w:szCs w:val="22"/>
          <w:u w:val="single" w:color="auto"/>
          <w:color w:val="auto"/>
        </w:rPr>
        <w:t>ROIC Measurement Date</w:t>
      </w:r>
      <w:r>
        <w:rPr>
          <w:rFonts w:ascii="Arial" w:cs="Arial" w:eastAsia="Arial" w:hAnsi="Arial"/>
          <w:sz w:val="22"/>
          <w:szCs w:val="22"/>
          <w:color w:val="auto"/>
        </w:rPr>
        <w:t xml:space="preserve">"), but only if and to the extent the Committee certifies in writing that the </w:t>
      </w:r>
      <w:r>
        <w:rPr>
          <w:rFonts w:ascii="Arial" w:cs="Arial" w:eastAsia="Arial" w:hAnsi="Arial"/>
          <w:sz w:val="22"/>
          <w:szCs w:val="22"/>
          <w:u w:val="single" w:color="auto"/>
          <w:color w:val="auto"/>
        </w:rPr>
        <w:t>ROIC Performance Goals</w:t>
      </w:r>
      <w:r>
        <w:rPr>
          <w:rFonts w:ascii="Arial" w:cs="Arial" w:eastAsia="Arial" w:hAnsi="Arial"/>
          <w:sz w:val="22"/>
          <w:szCs w:val="22"/>
          <w:color w:val="auto"/>
        </w:rPr>
        <w:t xml:space="preserve"> set forth in this subsection (iii) are met. The ROIC Performance Goals are as follows:</w:t>
      </w:r>
    </w:p>
    <w:p>
      <w:pPr>
        <w:sectPr>
          <w:pgSz w:w="11900" w:h="16838" w:orient="portrait"/>
          <w:cols w:equalWidth="0" w:num="1">
            <w:col w:w="10220"/>
          </w:cols>
          <w:pgMar w:left="1440" w:top="915" w:right="239" w:bottom="1440" w:gutter="0" w:footer="0" w:header="0"/>
        </w:sectPr>
      </w:pPr>
    </w:p>
    <w:bookmarkStart w:id="89" w:name="page90"/>
    <w:bookmarkEnd w:id="89"/>
    <w:tbl>
      <w:tblPr>
        <w:tblLayout w:type="fixed"/>
        <w:tblInd w:w="900" w:type="dxa"/>
        <w:tblCellMar>
          <w:top w:w="0" w:type="dxa"/>
          <w:left w:w="0" w:type="dxa"/>
          <w:bottom w:w="0" w:type="dxa"/>
          <w:right w:w="0" w:type="dxa"/>
        </w:tblCellMar>
      </w:tblPr>
      <w:tr>
        <w:trPr>
          <w:trHeight w:val="253"/>
        </w:trPr>
        <w:tc>
          <w:tcPr>
            <w:tcW w:w="9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180" w:type="dxa"/>
            <w:vAlign w:val="bottom"/>
            <w:gridSpan w:val="3"/>
          </w:tcPr>
          <w:p>
            <w:pPr>
              <w:jc w:val="center"/>
              <w:ind w:left="572"/>
              <w:spacing w:after="0"/>
              <w:rPr>
                <w:sz w:val="20"/>
                <w:szCs w:val="20"/>
                <w:color w:val="auto"/>
              </w:rPr>
            </w:pPr>
            <w:r>
              <w:rPr>
                <w:rFonts w:ascii="Arial" w:cs="Arial" w:eastAsia="Arial" w:hAnsi="Arial"/>
                <w:sz w:val="22"/>
                <w:szCs w:val="22"/>
                <w:b w:val="1"/>
                <w:bCs w:val="1"/>
                <w:color w:val="auto"/>
                <w:w w:val="87"/>
              </w:rPr>
              <w:t>Percentage of Performance</w:t>
            </w:r>
          </w:p>
        </w:tc>
      </w:tr>
      <w:tr>
        <w:trPr>
          <w:trHeight w:val="243"/>
        </w:trPr>
        <w:tc>
          <w:tcPr>
            <w:tcW w:w="9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360" w:type="dxa"/>
            <w:vAlign w:val="bottom"/>
            <w:gridSpan w:val="2"/>
          </w:tcPr>
          <w:p>
            <w:pPr>
              <w:jc w:val="center"/>
              <w:ind w:right="140"/>
              <w:spacing w:after="0" w:line="243" w:lineRule="exact"/>
              <w:rPr>
                <w:sz w:val="20"/>
                <w:szCs w:val="20"/>
                <w:color w:val="auto"/>
              </w:rPr>
            </w:pPr>
            <w:r>
              <w:rPr>
                <w:rFonts w:ascii="Arial" w:cs="Arial" w:eastAsia="Arial" w:hAnsi="Arial"/>
                <w:sz w:val="22"/>
                <w:szCs w:val="22"/>
                <w:b w:val="1"/>
                <w:bCs w:val="1"/>
                <w:color w:val="auto"/>
                <w:w w:val="91"/>
              </w:rPr>
              <w:t>Cash Award for Which</w:t>
            </w:r>
          </w:p>
        </w:tc>
      </w:tr>
      <w:tr>
        <w:trPr>
          <w:trHeight w:val="230"/>
        </w:trPr>
        <w:tc>
          <w:tcPr>
            <w:tcW w:w="940" w:type="dxa"/>
            <w:vAlign w:val="bottom"/>
          </w:tcPr>
          <w:p>
            <w:pPr>
              <w:spacing w:after="0"/>
              <w:rPr>
                <w:sz w:val="20"/>
                <w:szCs w:val="20"/>
                <w:color w:val="auto"/>
              </w:rPr>
            </w:pPr>
            <w:r>
              <w:rPr>
                <w:rFonts w:ascii="Arial" w:cs="Arial" w:eastAsia="Arial" w:hAnsi="Arial"/>
                <w:sz w:val="18"/>
                <w:szCs w:val="18"/>
                <w:b w:val="1"/>
                <w:bCs w:val="1"/>
                <w:color w:val="auto"/>
                <w:w w:val="95"/>
              </w:rPr>
              <w:t>ROIC Level</w:t>
            </w:r>
          </w:p>
        </w:tc>
        <w:tc>
          <w:tcPr>
            <w:tcW w:w="2040" w:type="dxa"/>
            <w:vAlign w:val="bottom"/>
          </w:tcPr>
          <w:p>
            <w:pPr>
              <w:spacing w:after="0"/>
              <w:rPr>
                <w:sz w:val="20"/>
                <w:szCs w:val="20"/>
                <w:color w:val="auto"/>
              </w:rPr>
            </w:pP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Average ROIC</w:t>
            </w:r>
          </w:p>
        </w:tc>
        <w:tc>
          <w:tcPr>
            <w:tcW w:w="820" w:type="dxa"/>
            <w:vAlign w:val="bottom"/>
          </w:tcPr>
          <w:p>
            <w:pPr>
              <w:spacing w:after="0"/>
              <w:rPr>
                <w:sz w:val="20"/>
                <w:szCs w:val="20"/>
                <w:color w:val="auto"/>
              </w:rPr>
            </w:pPr>
          </w:p>
        </w:tc>
        <w:tc>
          <w:tcPr>
            <w:tcW w:w="2360" w:type="dxa"/>
            <w:vAlign w:val="bottom"/>
            <w:gridSpan w:val="2"/>
          </w:tcPr>
          <w:p>
            <w:pPr>
              <w:jc w:val="center"/>
              <w:ind w:right="140"/>
              <w:spacing w:after="0" w:line="230" w:lineRule="exact"/>
              <w:rPr>
                <w:sz w:val="20"/>
                <w:szCs w:val="20"/>
                <w:color w:val="auto"/>
              </w:rPr>
            </w:pPr>
            <w:r>
              <w:rPr>
                <w:rFonts w:ascii="Arial" w:cs="Arial" w:eastAsia="Arial" w:hAnsi="Arial"/>
                <w:sz w:val="22"/>
                <w:szCs w:val="22"/>
                <w:b w:val="1"/>
                <w:bCs w:val="1"/>
                <w:color w:val="auto"/>
                <w:w w:val="88"/>
              </w:rPr>
              <w:t>Conditions are Satisfied</w:t>
            </w:r>
          </w:p>
        </w:tc>
      </w:tr>
      <w:tr>
        <w:trPr>
          <w:trHeight w:val="20"/>
        </w:trPr>
        <w:tc>
          <w:tcPr>
            <w:tcW w:w="9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4280" w:val="left"/>
          <w:tab w:leader="none" w:pos="7500" w:val="left"/>
        </w:tabs>
        <w:rPr>
          <w:sz w:val="20"/>
          <w:szCs w:val="20"/>
          <w:color w:val="auto"/>
        </w:rPr>
      </w:pPr>
      <w:r>
        <w:rPr>
          <w:rFonts w:ascii="Arial" w:cs="Arial" w:eastAsia="Arial" w:hAnsi="Arial"/>
          <w:sz w:val="18"/>
          <w:szCs w:val="18"/>
          <w:color w:val="auto"/>
        </w:rPr>
        <w:t>Threshold ROIC Goal</w:t>
      </w:r>
      <w:r>
        <w:rPr>
          <w:sz w:val="20"/>
          <w:szCs w:val="20"/>
          <w:color w:val="auto"/>
        </w:rPr>
        <w:tab/>
      </w:r>
      <w:r>
        <w:rPr>
          <w:rFonts w:ascii="Arial" w:cs="Arial" w:eastAsia="Arial" w:hAnsi="Arial"/>
          <w:sz w:val="18"/>
          <w:szCs w:val="18"/>
          <w:color w:val="auto"/>
        </w:rPr>
        <w:t>__%</w:t>
      </w:r>
      <w:r>
        <w:rPr>
          <w:sz w:val="20"/>
          <w:szCs w:val="20"/>
          <w:color w:val="auto"/>
        </w:rPr>
        <w:tab/>
      </w:r>
      <w:r>
        <w:rPr>
          <w:rFonts w:ascii="Arial" w:cs="Arial" w:eastAsia="Arial" w:hAnsi="Arial"/>
          <w:sz w:val="16"/>
          <w:szCs w:val="16"/>
          <w:color w:val="auto"/>
        </w:rPr>
        <w:t>___%</w:t>
      </w:r>
    </w:p>
    <w:p>
      <w:pPr>
        <w:sectPr>
          <w:pgSz w:w="11900" w:h="16838" w:orient="portrait"/>
          <w:cols w:equalWidth="0" w:num="1">
            <w:col w:w="10340"/>
          </w:cols>
          <w:pgMar w:left="1320" w:top="12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Target ROIC Goal</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Maximum ROIC Goal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__%</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___%</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___%</w:t>
      </w:r>
    </w:p>
    <w:p>
      <w:pPr>
        <w:spacing w:after="0" w:line="211" w:lineRule="exact"/>
        <w:rPr>
          <w:sz w:val="20"/>
          <w:szCs w:val="20"/>
          <w:color w:val="auto"/>
        </w:rPr>
      </w:pPr>
    </w:p>
    <w:p>
      <w:pPr>
        <w:sectPr>
          <w:pgSz w:w="11900" w:h="16838" w:orient="portrait"/>
          <w:cols w:equalWidth="0" w:num="3">
            <w:col w:w="3760" w:space="720"/>
            <w:col w:w="2320" w:space="720"/>
            <w:col w:w="2820"/>
          </w:cols>
          <w:pgMar w:left="1320" w:top="1264" w:right="239" w:bottom="1440" w:gutter="0" w:footer="0" w:header="0"/>
          <w:type w:val="continuous"/>
        </w:sectPr>
      </w:pPr>
    </w:p>
    <w:p>
      <w:pPr>
        <w:spacing w:after="0" w:line="178" w:lineRule="exact"/>
        <w:rPr>
          <w:sz w:val="20"/>
          <w:szCs w:val="20"/>
          <w:color w:val="auto"/>
        </w:rPr>
      </w:pPr>
    </w:p>
    <w:p>
      <w:pPr>
        <w:jc w:val="both"/>
        <w:ind w:left="200" w:firstLine="648"/>
        <w:spacing w:after="0" w:line="286" w:lineRule="auto"/>
        <w:rPr>
          <w:sz w:val="20"/>
          <w:szCs w:val="20"/>
          <w:color w:val="auto"/>
        </w:rPr>
      </w:pPr>
      <w:r>
        <w:rPr>
          <w:rFonts w:ascii="Arial" w:cs="Arial" w:eastAsia="Arial" w:hAnsi="Arial"/>
          <w:sz w:val="19"/>
          <w:szCs w:val="19"/>
          <w:color w:val="auto"/>
        </w:rPr>
        <w:t>The Committee shall certify on a nondiscretionary basis whether and the extent to which the ROIC Performance Goals have been met on or before the date on which the Company is required to issue you a check in redemption of your Performance Cash Award as set forth in Section 2(f)(viii). In the event the Committee certifies that the Threshold ROIC Performance Goal has not been met, then all of the Performance Cash Award will be forfeited to the Company. In the event the Committee certifies that the Maximum ROIC Goal has been met, the conditions shall be deemed to have been met for a Performance Cash Award equal to ___% of the Target Performance Cash Award. In the event the Committee certifies that the Company has achieved an ROIC that is between the Threshold ROIC Performance Goal and the Target ROIC Performance Goal or between the Target ROIC Performance Goal and the Maximum ROIC Performance Goal set forth above, then the conditions with respect to the Performance Cash Award shall be deemed to have been met for a percentage of the Performance Cash Award determined by linear interpolation between such ROIC Performance Goals and the restrictions on such Performance Cash Award shall be removed as of the ROIC Measurement Date and the remainder of the Performance Cash Award will be forfeited. The Committee has the final authority to determine on a nondiscretionary basis whether the ROIC Performance Goals have been met and to what extent.</w:t>
      </w:r>
    </w:p>
    <w:p>
      <w:pPr>
        <w:spacing w:after="0" w:line="109" w:lineRule="exact"/>
        <w:rPr>
          <w:sz w:val="20"/>
          <w:szCs w:val="20"/>
          <w:color w:val="auto"/>
        </w:rPr>
      </w:pPr>
    </w:p>
    <w:p>
      <w:pPr>
        <w:jc w:val="both"/>
        <w:ind w:left="200" w:firstLine="648"/>
        <w:spacing w:after="0" w:line="253" w:lineRule="auto"/>
        <w:rPr>
          <w:sz w:val="20"/>
          <w:szCs w:val="20"/>
          <w:color w:val="auto"/>
        </w:rPr>
      </w:pPr>
      <w:r>
        <w:rPr>
          <w:rFonts w:ascii="Arial" w:cs="Arial" w:eastAsia="Arial" w:hAnsi="Arial"/>
          <w:sz w:val="22"/>
          <w:szCs w:val="22"/>
          <w:color w:val="auto"/>
        </w:rPr>
        <w:t>For purposes of measuring the ROIC Performance Goals, "</w:t>
      </w:r>
      <w:r>
        <w:rPr>
          <w:rFonts w:ascii="Arial" w:cs="Arial" w:eastAsia="Arial" w:hAnsi="Arial"/>
          <w:sz w:val="22"/>
          <w:szCs w:val="22"/>
          <w:u w:val="single" w:color="auto"/>
          <w:color w:val="auto"/>
        </w:rPr>
        <w:t>Average ROIC</w:t>
      </w:r>
      <w:r>
        <w:rPr>
          <w:rFonts w:ascii="Arial" w:cs="Arial" w:eastAsia="Arial" w:hAnsi="Arial"/>
          <w:sz w:val="22"/>
          <w:szCs w:val="22"/>
          <w:color w:val="auto"/>
        </w:rPr>
        <w:t>" shall mean average ROIC for fiscal ____ and fiscal ____. ROIC will be calculated quarterly as follows and Average ROIC for the full fiscal year shall represent the average of the four quarterly calculations:</w:t>
      </w:r>
    </w:p>
    <w:p>
      <w:pPr>
        <w:spacing w:after="0" w:line="132" w:lineRule="exact"/>
        <w:rPr>
          <w:sz w:val="20"/>
          <w:szCs w:val="20"/>
          <w:color w:val="auto"/>
        </w:rPr>
      </w:pPr>
    </w:p>
    <w:p>
      <w:pPr>
        <w:ind w:left="840"/>
        <w:spacing w:after="0"/>
        <w:rPr>
          <w:sz w:val="20"/>
          <w:szCs w:val="20"/>
          <w:color w:val="auto"/>
        </w:rPr>
      </w:pPr>
      <w:r>
        <w:rPr>
          <w:rFonts w:ascii="Arial" w:cs="Arial" w:eastAsia="Arial" w:hAnsi="Arial"/>
          <w:sz w:val="22"/>
          <w:szCs w:val="22"/>
          <w:color w:val="auto"/>
        </w:rPr>
        <w:t>Fiscal ____ ROIC:</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22"/>
          <w:szCs w:val="22"/>
          <w:color w:val="auto"/>
        </w:rPr>
        <w:t>Numerator: Fiscal ____ operating Income x (1 - Tax Rate)</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9"/>
          <w:szCs w:val="19"/>
          <w:color w:val="auto"/>
        </w:rPr>
        <w:t>Denominator: Fiscal ____ average quarterly invested capital. The quarterly invested capital is calculated as</w:t>
      </w:r>
    </w:p>
    <w:p>
      <w:pPr>
        <w:spacing w:after="0" w:line="56" w:lineRule="exact"/>
        <w:rPr>
          <w:sz w:val="20"/>
          <w:szCs w:val="20"/>
          <w:color w:val="auto"/>
        </w:rPr>
      </w:pPr>
    </w:p>
    <w:p>
      <w:pPr>
        <w:ind w:left="840"/>
        <w:spacing w:after="0" w:line="323" w:lineRule="auto"/>
        <w:rPr>
          <w:sz w:val="20"/>
          <w:szCs w:val="20"/>
          <w:color w:val="auto"/>
        </w:rPr>
      </w:pPr>
      <w:r>
        <w:rPr>
          <w:rFonts w:ascii="Arial" w:cs="Arial" w:eastAsia="Arial" w:hAnsi="Arial"/>
          <w:sz w:val="19"/>
          <w:szCs w:val="19"/>
          <w:color w:val="auto"/>
        </w:rPr>
        <w:t>follows: (prior quarter-end Total Assets + current quarter-end Total Assets/2) - (prior quarter-end Current Liabilities + current quarter-end Current liabilities/2) - (prior quarter-end Cash + current quarter-end Cash/2)</w:t>
      </w:r>
    </w:p>
    <w:p>
      <w:pPr>
        <w:spacing w:after="0" w:line="69" w:lineRule="exact"/>
        <w:rPr>
          <w:sz w:val="20"/>
          <w:szCs w:val="20"/>
          <w:color w:val="auto"/>
        </w:rPr>
      </w:pPr>
    </w:p>
    <w:p>
      <w:pPr>
        <w:ind w:left="840"/>
        <w:spacing w:after="0"/>
        <w:rPr>
          <w:sz w:val="20"/>
          <w:szCs w:val="20"/>
          <w:color w:val="auto"/>
        </w:rPr>
      </w:pPr>
      <w:r>
        <w:rPr>
          <w:rFonts w:ascii="Arial" w:cs="Arial" w:eastAsia="Arial" w:hAnsi="Arial"/>
          <w:sz w:val="22"/>
          <w:szCs w:val="22"/>
          <w:color w:val="auto"/>
        </w:rPr>
        <w:t>Fiscal ____ ROIC:</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22"/>
          <w:szCs w:val="22"/>
          <w:color w:val="auto"/>
        </w:rPr>
        <w:t>Numerator: Fiscal ____ operating Income x (1 - Tax Rate)</w:t>
      </w:r>
    </w:p>
    <w:p>
      <w:pPr>
        <w:sectPr>
          <w:pgSz w:w="11900" w:h="16838" w:orient="portrait"/>
          <w:cols w:equalWidth="0" w:num="1">
            <w:col w:w="10340"/>
          </w:cols>
          <w:pgMar w:left="1320" w:top="1264" w:right="239" w:bottom="1440" w:gutter="0" w:footer="0" w:header="0"/>
          <w:type w:val="continuous"/>
        </w:sectPr>
      </w:pPr>
    </w:p>
    <w:bookmarkStart w:id="90" w:name="page91"/>
    <w:bookmarkEnd w:id="90"/>
    <w:p>
      <w:pPr>
        <w:ind w:left="720"/>
        <w:spacing w:after="0"/>
        <w:rPr>
          <w:sz w:val="20"/>
          <w:szCs w:val="20"/>
          <w:color w:val="auto"/>
        </w:rPr>
      </w:pPr>
      <w:r>
        <w:rPr>
          <w:rFonts w:ascii="Arial" w:cs="Arial" w:eastAsia="Arial" w:hAnsi="Arial"/>
          <w:sz w:val="19"/>
          <w:szCs w:val="19"/>
          <w:color w:val="auto"/>
        </w:rPr>
        <w:t>Denominator: Fiscal ____ average quarterly invested capital. The quarterly invested capital is calculated as</w:t>
      </w:r>
    </w:p>
    <w:p>
      <w:pPr>
        <w:spacing w:after="0" w:line="56" w:lineRule="exact"/>
        <w:rPr>
          <w:sz w:val="20"/>
          <w:szCs w:val="20"/>
          <w:color w:val="auto"/>
        </w:rPr>
      </w:pPr>
    </w:p>
    <w:p>
      <w:pPr>
        <w:ind w:left="720"/>
        <w:spacing w:after="0" w:line="323" w:lineRule="auto"/>
        <w:rPr>
          <w:sz w:val="20"/>
          <w:szCs w:val="20"/>
          <w:color w:val="auto"/>
        </w:rPr>
      </w:pPr>
      <w:r>
        <w:rPr>
          <w:rFonts w:ascii="Arial" w:cs="Arial" w:eastAsia="Arial" w:hAnsi="Arial"/>
          <w:sz w:val="19"/>
          <w:szCs w:val="19"/>
          <w:color w:val="auto"/>
        </w:rPr>
        <w:t>follows: (prior quarter-end Total Assets + current quarter-end Total Assets/2) - (prior quarter-end Current Liabilities + current quarter-end Current liabilities/2) - (prior quarter-end Cash + current quarter-end Cash/2)</w:t>
      </w:r>
    </w:p>
    <w:p>
      <w:pPr>
        <w:spacing w:after="0" w:line="6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Average ROIC is then calculated as follows: (Fiscal ____ ROIC + Fiscal ____ ROIC)/2</w:t>
      </w:r>
    </w:p>
    <w:p>
      <w:pPr>
        <w:spacing w:after="0" w:line="166" w:lineRule="exact"/>
        <w:rPr>
          <w:sz w:val="20"/>
          <w:szCs w:val="20"/>
          <w:color w:val="auto"/>
        </w:rPr>
      </w:pPr>
    </w:p>
    <w:p>
      <w:pPr>
        <w:jc w:val="both"/>
        <w:ind w:left="100"/>
        <w:spacing w:after="0" w:line="253" w:lineRule="auto"/>
        <w:rPr>
          <w:sz w:val="20"/>
          <w:szCs w:val="20"/>
          <w:color w:val="auto"/>
        </w:rPr>
      </w:pPr>
      <w:r>
        <w:rPr>
          <w:rFonts w:ascii="Arial" w:cs="Arial" w:eastAsia="Arial" w:hAnsi="Arial"/>
          <w:sz w:val="22"/>
          <w:szCs w:val="22"/>
          <w:color w:val="auto"/>
        </w:rPr>
        <w:t>The foregoing calculation shall exclude the effect of any acquisitions in the fiscal year of the acquisition which may occur on or before the ROIC Measurement Date regardless of whether such acquisition takes the form of a merger, consolidation, asset purchase or stock purchase.</w:t>
      </w:r>
    </w:p>
    <w:p>
      <w:pPr>
        <w:spacing w:after="0" w:line="132" w:lineRule="exact"/>
        <w:rPr>
          <w:sz w:val="20"/>
          <w:szCs w:val="20"/>
          <w:color w:val="auto"/>
        </w:rPr>
      </w:pPr>
    </w:p>
    <w:p>
      <w:pPr>
        <w:jc w:val="both"/>
        <w:ind w:left="80" w:firstLine="646"/>
        <w:spacing w:after="0" w:line="254" w:lineRule="auto"/>
        <w:tabs>
          <w:tab w:leader="none" w:pos="1342" w:val="left"/>
        </w:tabs>
        <w:numPr>
          <w:ilvl w:val="0"/>
          <w:numId w:val="52"/>
        </w:numPr>
        <w:rPr>
          <w:rFonts w:ascii="Arial" w:cs="Arial" w:eastAsia="Arial" w:hAnsi="Arial"/>
          <w:sz w:val="22"/>
          <w:szCs w:val="22"/>
          <w:color w:val="auto"/>
        </w:rPr>
      </w:pPr>
      <w:r>
        <w:rPr>
          <w:rFonts w:ascii="Arial" w:cs="Arial" w:eastAsia="Arial" w:hAnsi="Arial"/>
          <w:sz w:val="22"/>
          <w:szCs w:val="22"/>
          <w:color w:val="auto"/>
        </w:rPr>
        <w:t>Notwithstanding the provisions of subsections (i), (ii) and (iii) of this Section 2(f), the restrictions described in Section 2(e)(ii) shall lapse with respect to the RSUs, the Performance Units and the Performance Cash Award (as if each of the Target Total Shareholder Return Goal and Target Performance Cash Award had been met) upon the occurrence of any of the following events:</w:t>
      </w:r>
    </w:p>
    <w:p>
      <w:pPr>
        <w:spacing w:after="0" w:line="131" w:lineRule="exact"/>
        <w:rPr>
          <w:sz w:val="20"/>
          <w:szCs w:val="20"/>
          <w:color w:val="auto"/>
        </w:rPr>
      </w:pPr>
    </w:p>
    <w:p>
      <w:pPr>
        <w:ind w:left="1180" w:hanging="427"/>
        <w:spacing w:after="0"/>
        <w:tabs>
          <w:tab w:leader="none" w:pos="11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Your death or "</w:t>
      </w:r>
      <w:r>
        <w:rPr>
          <w:rFonts w:ascii="Arial" w:cs="Arial" w:eastAsia="Arial" w:hAnsi="Arial"/>
          <w:sz w:val="22"/>
          <w:szCs w:val="22"/>
          <w:u w:val="single" w:color="auto"/>
          <w:color w:val="auto"/>
        </w:rPr>
        <w:t>Disability</w:t>
      </w:r>
      <w:r>
        <w:rPr>
          <w:rFonts w:ascii="Arial" w:cs="Arial" w:eastAsia="Arial" w:hAnsi="Arial"/>
          <w:sz w:val="22"/>
          <w:szCs w:val="22"/>
          <w:color w:val="auto"/>
        </w:rPr>
        <w:t>"; or</w:t>
      </w:r>
    </w:p>
    <w:p>
      <w:pPr>
        <w:spacing w:after="0" w:line="179" w:lineRule="exact"/>
        <w:rPr>
          <w:rFonts w:ascii="Arial" w:cs="Arial" w:eastAsia="Arial" w:hAnsi="Arial"/>
          <w:sz w:val="22"/>
          <w:szCs w:val="22"/>
          <w:color w:val="auto"/>
        </w:rPr>
      </w:pPr>
    </w:p>
    <w:p>
      <w:pPr>
        <w:ind w:left="1180" w:hanging="427"/>
        <w:spacing w:after="0"/>
        <w:tabs>
          <w:tab w:leader="none" w:pos="11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A Change of Control of the Company.</w:t>
      </w:r>
    </w:p>
    <w:p>
      <w:pPr>
        <w:spacing w:after="0" w:line="179" w:lineRule="exact"/>
        <w:rPr>
          <w:sz w:val="20"/>
          <w:szCs w:val="20"/>
          <w:color w:val="auto"/>
        </w:rPr>
      </w:pPr>
    </w:p>
    <w:p>
      <w:pPr>
        <w:jc w:val="both"/>
        <w:ind w:left="80" w:firstLine="648"/>
        <w:spacing w:after="0" w:line="260" w:lineRule="auto"/>
        <w:rPr>
          <w:sz w:val="20"/>
          <w:szCs w:val="20"/>
          <w:color w:val="auto"/>
        </w:rPr>
      </w:pPr>
      <w:r>
        <w:rPr>
          <w:rFonts w:ascii="Arial" w:cs="Arial" w:eastAsia="Arial" w:hAnsi="Arial"/>
          <w:sz w:val="21"/>
          <w:szCs w:val="21"/>
          <w:color w:val="auto"/>
        </w:rPr>
        <w:t>The term "</w:t>
      </w:r>
      <w:r>
        <w:rPr>
          <w:rFonts w:ascii="Arial" w:cs="Arial" w:eastAsia="Arial" w:hAnsi="Arial"/>
          <w:sz w:val="21"/>
          <w:szCs w:val="21"/>
          <w:u w:val="single" w:color="auto"/>
          <w:color w:val="auto"/>
        </w:rPr>
        <w:t>Disability</w:t>
      </w:r>
      <w:r>
        <w:rPr>
          <w:rFonts w:ascii="Arial" w:cs="Arial" w:eastAsia="Arial" w:hAnsi="Arial"/>
          <w:sz w:val="21"/>
          <w:szCs w:val="21"/>
          <w:color w:val="auto"/>
        </w:rPr>
        <w:t>" shall mean your inability to engage in any substantial gainful activity by reason of any medically determinable physical or mental impairment which can be expected to result in death, or which has lasted or can be expected to last for a continuous period of not less than 12 months. For purposes of this Section 2(f)(iv), the Target Performance Goal shall be deemed to have been met on the date the restrictions lapse by reason of the occurrence prior to the Measurement Date or ROIC Measurement Date of any of the foregoing events, so that the conditions on issuance of 100 percent of the Performance Units and the Target Performance Cash Award shall be deemed satisfied on the date of such event.</w:t>
      </w:r>
    </w:p>
    <w:p>
      <w:pPr>
        <w:spacing w:after="0" w:line="127" w:lineRule="exact"/>
        <w:rPr>
          <w:sz w:val="20"/>
          <w:szCs w:val="20"/>
          <w:color w:val="auto"/>
        </w:rPr>
      </w:pPr>
    </w:p>
    <w:p>
      <w:pPr>
        <w:jc w:val="both"/>
        <w:ind w:left="80" w:firstLine="646"/>
        <w:spacing w:after="0" w:line="262" w:lineRule="auto"/>
        <w:tabs>
          <w:tab w:leader="none" w:pos="1295" w:val="left"/>
        </w:tabs>
        <w:numPr>
          <w:ilvl w:val="0"/>
          <w:numId w:val="54"/>
        </w:numPr>
        <w:rPr>
          <w:rFonts w:ascii="Arial" w:cs="Arial" w:eastAsia="Arial" w:hAnsi="Arial"/>
          <w:sz w:val="21"/>
          <w:szCs w:val="21"/>
          <w:color w:val="auto"/>
        </w:rPr>
      </w:pPr>
      <w:r>
        <w:rPr>
          <w:rFonts w:ascii="Arial" w:cs="Arial" w:eastAsia="Arial" w:hAnsi="Arial"/>
          <w:sz w:val="21"/>
          <w:szCs w:val="21"/>
          <w:color w:val="auto"/>
        </w:rPr>
        <w:t>Notwithstanding the provisions of subsection (i) of this Section 2(f), upon the occurrence of your "</w:t>
      </w:r>
      <w:r>
        <w:rPr>
          <w:rFonts w:ascii="Arial" w:cs="Arial" w:eastAsia="Arial" w:hAnsi="Arial"/>
          <w:sz w:val="21"/>
          <w:szCs w:val="21"/>
          <w:u w:val="single" w:color="auto"/>
          <w:color w:val="auto"/>
        </w:rPr>
        <w:t>Retirement</w:t>
      </w:r>
      <w:r>
        <w:rPr>
          <w:rFonts w:ascii="Arial" w:cs="Arial" w:eastAsia="Arial" w:hAnsi="Arial"/>
          <w:sz w:val="21"/>
          <w:szCs w:val="21"/>
          <w:color w:val="auto"/>
        </w:rPr>
        <w:t>," the restrictions described in Section 2(e)(ii) automatically and with no exercise of discretion of the Committee shall lapse with respect to all of your remaining RSUs and be settled upon the earliest to occur of (A) the normal lapsing schedule set forth in Section 2(f)(i) hereof, (B) your death and (C) a Change of Control. Notwithstanding any other provision of this subsection (v), in the event that you Retire within one year of the date of this Award Agreement, the restrictions will not lapse on any portion of the RSUs represented by this Award Agreement and all such remaining RSUs shall immediately be forfeited.</w:t>
      </w:r>
    </w:p>
    <w:p>
      <w:pPr>
        <w:spacing w:after="0" w:line="126" w:lineRule="exact"/>
        <w:rPr>
          <w:sz w:val="20"/>
          <w:szCs w:val="20"/>
          <w:color w:val="auto"/>
        </w:rPr>
      </w:pPr>
    </w:p>
    <w:p>
      <w:pPr>
        <w:jc w:val="both"/>
        <w:ind w:left="80" w:firstLine="648"/>
        <w:spacing w:after="0" w:line="271" w:lineRule="auto"/>
        <w:rPr>
          <w:sz w:val="20"/>
          <w:szCs w:val="20"/>
          <w:color w:val="auto"/>
        </w:rPr>
      </w:pPr>
      <w:r>
        <w:rPr>
          <w:rFonts w:ascii="Arial" w:cs="Arial" w:eastAsia="Arial" w:hAnsi="Arial"/>
          <w:sz w:val="21"/>
          <w:szCs w:val="21"/>
          <w:color w:val="auto"/>
        </w:rPr>
        <w:t>The term "</w:t>
      </w:r>
      <w:r>
        <w:rPr>
          <w:rFonts w:ascii="Arial" w:cs="Arial" w:eastAsia="Arial" w:hAnsi="Arial"/>
          <w:sz w:val="21"/>
          <w:szCs w:val="21"/>
          <w:u w:val="single" w:color="auto"/>
          <w:color w:val="auto"/>
        </w:rPr>
        <w:t>Retirement</w:t>
      </w:r>
      <w:r>
        <w:rPr>
          <w:rFonts w:ascii="Arial" w:cs="Arial" w:eastAsia="Arial" w:hAnsi="Arial"/>
          <w:sz w:val="21"/>
          <w:szCs w:val="21"/>
          <w:color w:val="auto"/>
        </w:rPr>
        <w:t>" or "</w:t>
      </w:r>
      <w:r>
        <w:rPr>
          <w:rFonts w:ascii="Arial" w:cs="Arial" w:eastAsia="Arial" w:hAnsi="Arial"/>
          <w:sz w:val="21"/>
          <w:szCs w:val="21"/>
          <w:u w:val="single" w:color="auto"/>
          <w:color w:val="auto"/>
        </w:rPr>
        <w:t>Retire</w:t>
      </w:r>
      <w:r>
        <w:rPr>
          <w:rFonts w:ascii="Arial" w:cs="Arial" w:eastAsia="Arial" w:hAnsi="Arial"/>
          <w:sz w:val="21"/>
          <w:szCs w:val="21"/>
          <w:color w:val="auto"/>
        </w:rPr>
        <w:t>" shall mean your voluntary "</w:t>
      </w:r>
      <w:r>
        <w:rPr>
          <w:rFonts w:ascii="Arial" w:cs="Arial" w:eastAsia="Arial" w:hAnsi="Arial"/>
          <w:sz w:val="21"/>
          <w:szCs w:val="21"/>
          <w:u w:val="single" w:color="auto"/>
          <w:color w:val="auto"/>
        </w:rPr>
        <w:t>Separation from Service</w:t>
      </w:r>
      <w:r>
        <w:rPr>
          <w:rFonts w:ascii="Arial" w:cs="Arial" w:eastAsia="Arial" w:hAnsi="Arial"/>
          <w:sz w:val="21"/>
          <w:szCs w:val="21"/>
          <w:color w:val="auto"/>
        </w:rPr>
        <w:t>" (as defined in Code Section 409A), on or after the date (A) on which you attain age 65 or (B) on which you attain age 60 and have completed at least ten years of continuous service as an employee of the Company or an Affiliate.</w:t>
      </w:r>
    </w:p>
    <w:p>
      <w:pPr>
        <w:spacing w:after="0" w:line="114" w:lineRule="exact"/>
        <w:rPr>
          <w:sz w:val="20"/>
          <w:szCs w:val="20"/>
          <w:color w:val="auto"/>
        </w:rPr>
      </w:pPr>
    </w:p>
    <w:p>
      <w:pPr>
        <w:jc w:val="both"/>
        <w:ind w:left="80" w:firstLine="646"/>
        <w:spacing w:after="0" w:line="300" w:lineRule="auto"/>
        <w:tabs>
          <w:tab w:leader="none" w:pos="1247" w:val="left"/>
        </w:tabs>
        <w:numPr>
          <w:ilvl w:val="0"/>
          <w:numId w:val="55"/>
        </w:numPr>
        <w:rPr>
          <w:rFonts w:ascii="Arial" w:cs="Arial" w:eastAsia="Arial" w:hAnsi="Arial"/>
          <w:sz w:val="19"/>
          <w:szCs w:val="19"/>
          <w:color w:val="auto"/>
        </w:rPr>
      </w:pPr>
      <w:r>
        <w:rPr>
          <w:rFonts w:ascii="Arial" w:cs="Arial" w:eastAsia="Arial" w:hAnsi="Arial"/>
          <w:sz w:val="19"/>
          <w:szCs w:val="19"/>
          <w:color w:val="auto"/>
        </w:rPr>
        <w:t>Notwithstanding the provisions of subsection (ii) of this Section 2(f), in the event that you Retire prior to the Measurement Date and the Committee subsequently determines and certifies that the Company has achieved a Shareholder Return Goal at a level at or above the Threshold Shareholder Return Goal, the restrictions described in Section 2(e)(ii) shall lapse with respect to a pro rata number of Performance Units equal to the total number of Performance Units for which the restrictions would have lapsed on the Measurement Date</w:t>
      </w:r>
    </w:p>
    <w:p>
      <w:pPr>
        <w:sectPr>
          <w:pgSz w:w="11900" w:h="16838" w:orient="portrait"/>
          <w:cols w:equalWidth="0" w:num="1">
            <w:col w:w="10220"/>
          </w:cols>
          <w:pgMar w:left="1440" w:top="915" w:right="239" w:bottom="1440" w:gutter="0" w:footer="0" w:header="0"/>
        </w:sectPr>
      </w:pPr>
    </w:p>
    <w:bookmarkStart w:id="91" w:name="page92"/>
    <w:bookmarkEnd w:id="91"/>
    <w:p>
      <w:pPr>
        <w:jc w:val="both"/>
        <w:ind w:left="624"/>
        <w:spacing w:after="0" w:line="253" w:lineRule="auto"/>
        <w:rPr>
          <w:sz w:val="20"/>
          <w:szCs w:val="20"/>
          <w:color w:val="auto"/>
        </w:rPr>
      </w:pPr>
      <w:r>
        <w:rPr>
          <w:rFonts w:ascii="Arial" w:cs="Arial" w:eastAsia="Arial" w:hAnsi="Arial"/>
          <w:sz w:val="22"/>
          <w:szCs w:val="22"/>
          <w:color w:val="auto"/>
        </w:rPr>
        <w:t>under Subsection (ii) of this Section 2(f) if you had not Retired prior to the Measurement Date, multiplied by a fraction, the numerator of which is equal to the number of full and partial months elapsed from the date of the Award to the date of your Retirement, and the denominator of which is 36.</w:t>
      </w:r>
    </w:p>
    <w:p>
      <w:pPr>
        <w:spacing w:after="0" w:line="132" w:lineRule="exact"/>
        <w:rPr>
          <w:sz w:val="20"/>
          <w:szCs w:val="20"/>
          <w:color w:val="auto"/>
        </w:rPr>
      </w:pPr>
    </w:p>
    <w:p>
      <w:pPr>
        <w:jc w:val="both"/>
        <w:ind w:left="624" w:firstLine="646"/>
        <w:spacing w:after="0" w:line="261" w:lineRule="auto"/>
        <w:tabs>
          <w:tab w:leader="none" w:pos="1824" w:val="left"/>
        </w:tabs>
        <w:numPr>
          <w:ilvl w:val="1"/>
          <w:numId w:val="56"/>
        </w:numPr>
        <w:rPr>
          <w:rFonts w:ascii="Arial" w:cs="Arial" w:eastAsia="Arial" w:hAnsi="Arial"/>
          <w:sz w:val="21"/>
          <w:szCs w:val="21"/>
          <w:color w:val="auto"/>
        </w:rPr>
      </w:pPr>
      <w:r>
        <w:rPr>
          <w:rFonts w:ascii="Arial" w:cs="Arial" w:eastAsia="Arial" w:hAnsi="Arial"/>
          <w:sz w:val="21"/>
          <w:szCs w:val="21"/>
          <w:color w:val="auto"/>
        </w:rPr>
        <w:t>Notwithstanding the provisions of subsection (iii) of this Section 2(f), in the event that you Retire prior to the ROIC Measurement Date and the Committee subsequently determines and certifies that the Company has achieved an ROIC Goal at a level at or above the Threshold ROIC Goal, the restrictions described in Section 2(e)(ii) shall lapse with respect to a pro rata portion of the Performance Cash Award equal to the total dollar amount for which the restrictions would have lapsed on the ROIC Measurement Date under Subsection (iii) of this Section 2(f) if you had not Retired prior to the ROIC Measurement Date, multiplied by a fraction, the numerator of which is equal to the number of full and partial months elapsed from the date of the Award to the date of your Retirement, and the denominator of which is 24.</w:t>
      </w:r>
    </w:p>
    <w:p>
      <w:pPr>
        <w:spacing w:after="0" w:line="127" w:lineRule="exact"/>
        <w:rPr>
          <w:rFonts w:ascii="Arial" w:cs="Arial" w:eastAsia="Arial" w:hAnsi="Arial"/>
          <w:sz w:val="21"/>
          <w:szCs w:val="21"/>
          <w:color w:val="auto"/>
        </w:rPr>
      </w:pPr>
    </w:p>
    <w:p>
      <w:pPr>
        <w:jc w:val="both"/>
        <w:ind w:left="624" w:firstLine="646"/>
        <w:spacing w:after="0" w:line="264" w:lineRule="auto"/>
        <w:tabs>
          <w:tab w:leader="none" w:pos="1951" w:val="left"/>
        </w:tabs>
        <w:numPr>
          <w:ilvl w:val="1"/>
          <w:numId w:val="56"/>
        </w:numPr>
        <w:rPr>
          <w:rFonts w:ascii="Arial" w:cs="Arial" w:eastAsia="Arial" w:hAnsi="Arial"/>
          <w:sz w:val="21"/>
          <w:szCs w:val="21"/>
          <w:color w:val="auto"/>
        </w:rPr>
      </w:pPr>
      <w:r>
        <w:rPr>
          <w:rFonts w:ascii="Arial" w:cs="Arial" w:eastAsia="Arial" w:hAnsi="Arial"/>
          <w:sz w:val="21"/>
          <w:szCs w:val="21"/>
          <w:color w:val="auto"/>
        </w:rPr>
        <w:t>On the date of the lapse of the restrictions in accordance with this Section 2(f), or in any event, no later than the earlier of ninety (90) days after such date or two and one half months following the end of the calendar year in which the restrictions lapsed in accordance with Section 2(f), the Company will make a book-entry registration or will issue you a certificate as provided in Section 2(c) of this Award Agreement for the Shares covered by such RSUs and Performance Units in redemption of such RSUs and Performance Units and will pay you by check in redemption of the Performance Cash Award.</w:t>
      </w:r>
    </w:p>
    <w:p>
      <w:pPr>
        <w:spacing w:after="0" w:line="115" w:lineRule="exact"/>
        <w:rPr>
          <w:rFonts w:ascii="Arial" w:cs="Arial" w:eastAsia="Arial" w:hAnsi="Arial"/>
          <w:sz w:val="21"/>
          <w:szCs w:val="21"/>
          <w:color w:val="auto"/>
        </w:rPr>
      </w:pPr>
    </w:p>
    <w:p>
      <w:pPr>
        <w:jc w:val="both"/>
        <w:ind w:left="-656" w:firstLine="656"/>
        <w:spacing w:after="0" w:line="298" w:lineRule="auto"/>
        <w:tabs>
          <w:tab w:leader="none" w:pos="469" w:val="left"/>
        </w:tabs>
        <w:numPr>
          <w:ilvl w:val="0"/>
          <w:numId w:val="57"/>
        </w:numPr>
        <w:rPr>
          <w:rFonts w:ascii="Arial" w:cs="Arial" w:eastAsia="Arial" w:hAnsi="Arial"/>
          <w:sz w:val="19"/>
          <w:szCs w:val="19"/>
          <w:color w:val="auto"/>
        </w:rPr>
      </w:pPr>
      <w:r>
        <w:rPr>
          <w:rFonts w:ascii="Arial" w:cs="Arial" w:eastAsia="Arial" w:hAnsi="Arial"/>
          <w:sz w:val="19"/>
          <w:szCs w:val="19"/>
          <w:b w:val="1"/>
          <w:bCs w:val="1"/>
          <w:color w:val="auto"/>
        </w:rPr>
        <w:t>Agreement with Respect to Taxes; Share Withholding</w:t>
      </w:r>
      <w:r>
        <w:rPr>
          <w:rFonts w:ascii="Arial" w:cs="Arial" w:eastAsia="Arial" w:hAnsi="Arial"/>
          <w:sz w:val="19"/>
          <w:szCs w:val="19"/>
          <w:color w:val="auto"/>
        </w:rPr>
        <w:t>. You agree that (1) you will pay to the Company or an</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 as the case may be, in cash, or make arrangements satisfactory to the Company or such Affiliate regarding the payment of any taxes of any kind required by law to be withheld by the Company or any of its Affiliates with respect to the Performance Cash Award, the RSUs, the Performance Units and/or the Shares and (2) the Company or any of its Affiliates shall, to the extent permitted by law, have the right to deduct from any payments of any kind otherwise due to you any taxes of any kind required by law to be withheld with respect to the Performance Cash Award, the RSUs, the Performance Units and the Shares.</w:t>
      </w:r>
    </w:p>
    <w:p>
      <w:pPr>
        <w:spacing w:after="0" w:line="87" w:lineRule="exact"/>
        <w:rPr>
          <w:rFonts w:ascii="Arial" w:cs="Arial" w:eastAsia="Arial" w:hAnsi="Arial"/>
          <w:sz w:val="19"/>
          <w:szCs w:val="19"/>
          <w:color w:val="auto"/>
        </w:rPr>
      </w:pPr>
    </w:p>
    <w:p>
      <w:pPr>
        <w:ind w:left="-656" w:firstLine="656"/>
        <w:spacing w:after="0" w:line="282" w:lineRule="auto"/>
        <w:tabs>
          <w:tab w:leader="none" w:pos="375"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 xml:space="preserve">Adjustment of Shares. </w:t>
      </w:r>
      <w:r>
        <w:rPr>
          <w:rFonts w:ascii="Arial" w:cs="Arial" w:eastAsia="Arial" w:hAnsi="Arial"/>
          <w:sz w:val="22"/>
          <w:szCs w:val="22"/>
          <w:color w:val="auto"/>
        </w:rPr>
        <w:t>The number of Shares subject to the RSUs and Performance Units awarded to you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Award Agreement may be adjusted as provided in the Plan.</w:t>
      </w:r>
    </w:p>
    <w:p>
      <w:pPr>
        <w:spacing w:after="0" w:line="94" w:lineRule="exact"/>
        <w:rPr>
          <w:rFonts w:ascii="Arial" w:cs="Arial" w:eastAsia="Arial" w:hAnsi="Arial"/>
          <w:sz w:val="22"/>
          <w:szCs w:val="22"/>
          <w:color w:val="auto"/>
        </w:rPr>
      </w:pPr>
    </w:p>
    <w:p>
      <w:pPr>
        <w:jc w:val="both"/>
        <w:ind w:left="-656" w:firstLine="656"/>
        <w:spacing w:after="0" w:line="302" w:lineRule="auto"/>
        <w:tabs>
          <w:tab w:leader="none" w:pos="415" w:val="left"/>
        </w:tabs>
        <w:numPr>
          <w:ilvl w:val="0"/>
          <w:numId w:val="57"/>
        </w:numPr>
        <w:rPr>
          <w:rFonts w:ascii="Arial" w:cs="Arial" w:eastAsia="Arial" w:hAnsi="Arial"/>
          <w:sz w:val="19"/>
          <w:szCs w:val="19"/>
          <w:color w:val="auto"/>
        </w:rPr>
      </w:pPr>
      <w:r>
        <w:rPr>
          <w:rFonts w:ascii="Arial" w:cs="Arial" w:eastAsia="Arial" w:hAnsi="Arial"/>
          <w:sz w:val="19"/>
          <w:szCs w:val="19"/>
          <w:b w:val="1"/>
          <w:bCs w:val="1"/>
          <w:color w:val="auto"/>
        </w:rPr>
        <w:t xml:space="preserve">Agreement With Respect to Securities Matters. </w:t>
      </w:r>
      <w:r>
        <w:rPr>
          <w:rFonts w:ascii="Arial" w:cs="Arial" w:eastAsia="Arial" w:hAnsi="Arial"/>
          <w:sz w:val="19"/>
          <w:szCs w:val="19"/>
          <w:color w:val="auto"/>
        </w:rPr>
        <w:t>You agree that you will not sell or otherwise transfer any Shares</w:t>
      </w:r>
      <w:r>
        <w:rPr>
          <w:rFonts w:ascii="Arial" w:cs="Arial" w:eastAsia="Arial" w:hAnsi="Arial"/>
          <w:sz w:val="19"/>
          <w:szCs w:val="19"/>
          <w:b w:val="1"/>
          <w:bCs w:val="1"/>
          <w:color w:val="auto"/>
        </w:rPr>
        <w:t xml:space="preserve"> </w:t>
      </w:r>
      <w:r>
        <w:rPr>
          <w:rFonts w:ascii="Arial" w:cs="Arial" w:eastAsia="Arial" w:hAnsi="Arial"/>
          <w:sz w:val="19"/>
          <w:szCs w:val="19"/>
          <w:color w:val="auto"/>
        </w:rPr>
        <w:t>received pursuant to this Award Agreement except pursuant to an effective registration statement under the U.S. Securities Act of 1933, as amended, or pursuant to an applicable exemption from such registration. Unless a registration statement relating to the Shares issuable upon the lapse of the restrictions on the RSUs and Performance Units pursuant to this Award Agreement is in effect at the time of issuance of such Shares, the certificate(s) for the Shares shall contain the following legend:</w:t>
      </w:r>
    </w:p>
    <w:p>
      <w:pPr>
        <w:spacing w:after="0" w:line="90" w:lineRule="exact"/>
        <w:rPr>
          <w:sz w:val="20"/>
          <w:szCs w:val="20"/>
          <w:color w:val="auto"/>
        </w:rPr>
      </w:pPr>
    </w:p>
    <w:p>
      <w:pPr>
        <w:jc w:val="both"/>
        <w:ind w:left="4"/>
        <w:spacing w:after="0" w:line="248" w:lineRule="auto"/>
        <w:rPr>
          <w:sz w:val="20"/>
          <w:szCs w:val="20"/>
          <w:color w:val="auto"/>
        </w:rPr>
      </w:pPr>
      <w:r>
        <w:rPr>
          <w:rFonts w:ascii="Arial" w:cs="Arial" w:eastAsia="Arial" w:hAnsi="Arial"/>
          <w:sz w:val="22"/>
          <w:szCs w:val="22"/>
          <w:color w:val="auto"/>
        </w:rPr>
        <w:t>The securities evidenced by this certificate have not been registered under the Securities Act of 1933 or any other securities laws. These securities have been acquired for investment and may not be sold or transferred for value in the absence of an effective registration of them under the U.S. Securities Act of 1933 and any other applicable securities laws, or receipt by the Company of an opinion of counsel or other evidence acceptable to the Company that such registration is not required under such acts.</w:t>
      </w:r>
    </w:p>
    <w:p>
      <w:pPr>
        <w:sectPr>
          <w:pgSz w:w="11900" w:h="16838" w:orient="portrait"/>
          <w:cols w:equalWidth="0" w:num="1">
            <w:col w:w="10764"/>
          </w:cols>
          <w:pgMar w:left="896" w:top="915" w:right="239" w:bottom="1440" w:gutter="0" w:footer="0" w:header="0"/>
        </w:sectPr>
      </w:pPr>
    </w:p>
    <w:bookmarkStart w:id="92" w:name="page93"/>
    <w:bookmarkEnd w:id="92"/>
    <w:p>
      <w:pPr>
        <w:ind w:left="344" w:hanging="344"/>
        <w:spacing w:after="0"/>
        <w:tabs>
          <w:tab w:leader="none" w:pos="344"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Forfeiture and Clawback.</w:t>
      </w:r>
    </w:p>
    <w:p>
      <w:pPr>
        <w:spacing w:after="0" w:line="185" w:lineRule="exact"/>
        <w:rPr>
          <w:rFonts w:ascii="Arial" w:cs="Arial" w:eastAsia="Arial" w:hAnsi="Arial"/>
          <w:sz w:val="22"/>
          <w:szCs w:val="22"/>
          <w:color w:val="auto"/>
        </w:rPr>
      </w:pPr>
    </w:p>
    <w:p>
      <w:pPr>
        <w:jc w:val="both"/>
        <w:ind w:left="4" w:firstLine="645"/>
        <w:spacing w:after="0" w:line="266" w:lineRule="auto"/>
        <w:tabs>
          <w:tab w:leader="none" w:pos="1500" w:val="left"/>
        </w:tabs>
        <w:numPr>
          <w:ilvl w:val="1"/>
          <w:numId w:val="58"/>
        </w:numPr>
        <w:rPr>
          <w:rFonts w:ascii="Arial" w:cs="Arial" w:eastAsia="Arial" w:hAnsi="Arial"/>
          <w:sz w:val="17"/>
          <w:szCs w:val="17"/>
          <w:color w:val="auto"/>
        </w:rPr>
      </w:pPr>
      <w:r>
        <w:rPr>
          <w:rFonts w:ascii="Arial" w:cs="Arial" w:eastAsia="Arial" w:hAnsi="Arial"/>
          <w:sz w:val="21"/>
          <w:szCs w:val="21"/>
          <w:color w:val="auto"/>
        </w:rPr>
        <w:t>You agree that in the event you violate the confidentiality, non-competition, non-solicitation or non-disparagement provisions of any agreement between you and the Company or any Affiliate, or any plan of the Company or any Affiliate in which you participate, including without limitation, the non-solicitation provisions of Section 7 below, you will forfeit in their entirety the Performance Cash Award, the RSUs and the Performance Units, and all of your rights thereto shall terminate without any payment of consideration by the Company.</w:t>
      </w:r>
    </w:p>
    <w:p>
      <w:pPr>
        <w:spacing w:after="0" w:line="282" w:lineRule="exact"/>
        <w:rPr>
          <w:rFonts w:ascii="Arial" w:cs="Arial" w:eastAsia="Arial" w:hAnsi="Arial"/>
          <w:sz w:val="17"/>
          <w:szCs w:val="17"/>
          <w:color w:val="auto"/>
        </w:rPr>
      </w:pPr>
    </w:p>
    <w:p>
      <w:pPr>
        <w:jc w:val="both"/>
        <w:ind w:left="4" w:firstLine="645"/>
        <w:spacing w:after="0" w:line="261" w:lineRule="auto"/>
        <w:tabs>
          <w:tab w:leader="none" w:pos="1510" w:val="left"/>
        </w:tabs>
        <w:numPr>
          <w:ilvl w:val="1"/>
          <w:numId w:val="58"/>
        </w:numPr>
        <w:rPr>
          <w:rFonts w:ascii="Arial" w:cs="Arial" w:eastAsia="Arial" w:hAnsi="Arial"/>
          <w:sz w:val="17"/>
          <w:szCs w:val="17"/>
          <w:color w:val="auto"/>
        </w:rPr>
      </w:pPr>
      <w:r>
        <w:rPr>
          <w:rFonts w:ascii="Arial" w:cs="Arial" w:eastAsia="Arial" w:hAnsi="Arial"/>
          <w:sz w:val="21"/>
          <w:szCs w:val="21"/>
          <w:color w:val="auto"/>
        </w:rPr>
        <w:t>Notwithstanding any other provision of the Plan or this Award Agreement to the contrary, you acknowledge that any incentive-based compensation paid to you hereunder may be subject to recovery by the Company under any clawback policy which the Company may adopt from time to time, including without limitation the Company's existing policy and any policy which the Company may be required to adopt under Section 954 of the Dodd-Frank Wall Street Reform and Consumer Protection Act and the rules and regulations of the U.S. Securities and Exchange Commission thereunder or the requirements of any national securities exchange on which the Company's common stock may be listed. You agree to promptly return any such incentive-based compensation which the Company determines it is required to recover from you under any such clawback policy.</w:t>
      </w:r>
    </w:p>
    <w:p>
      <w:pPr>
        <w:spacing w:after="0" w:line="283" w:lineRule="exact"/>
        <w:rPr>
          <w:rFonts w:ascii="Arial" w:cs="Arial" w:eastAsia="Arial" w:hAnsi="Arial"/>
          <w:sz w:val="17"/>
          <w:szCs w:val="17"/>
          <w:color w:val="auto"/>
        </w:rPr>
      </w:pPr>
    </w:p>
    <w:p>
      <w:pPr>
        <w:ind w:left="344" w:hanging="344"/>
        <w:spacing w:after="0"/>
        <w:tabs>
          <w:tab w:leader="none" w:pos="344"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Non-Solicitation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4" w:firstLine="645"/>
        <w:spacing w:after="0" w:line="295" w:lineRule="auto"/>
        <w:tabs>
          <w:tab w:leader="none" w:pos="1085" w:val="left"/>
        </w:tabs>
        <w:numPr>
          <w:ilvl w:val="1"/>
          <w:numId w:val="58"/>
        </w:numPr>
        <w:rPr>
          <w:rFonts w:ascii="Arial" w:cs="Arial" w:eastAsia="Arial" w:hAnsi="Arial"/>
          <w:sz w:val="19"/>
          <w:szCs w:val="19"/>
          <w:color w:val="auto"/>
        </w:rPr>
      </w:pPr>
      <w:r>
        <w:rPr>
          <w:rFonts w:ascii="Arial" w:cs="Arial" w:eastAsia="Arial" w:hAnsi="Arial"/>
          <w:sz w:val="19"/>
          <w:szCs w:val="19"/>
          <w:b w:val="1"/>
          <w:bCs w:val="1"/>
          <w:color w:val="auto"/>
        </w:rPr>
        <w:t>Non-Solicitation of Employees</w:t>
      </w:r>
      <w:r>
        <w:rPr>
          <w:rFonts w:ascii="Arial" w:cs="Arial" w:eastAsia="Arial" w:hAnsi="Arial"/>
          <w:sz w:val="19"/>
          <w:szCs w:val="19"/>
          <w:color w:val="auto"/>
        </w:rPr>
        <w:t>. During the period beginning on the date of this Award Agreement and ending</w:t>
      </w:r>
      <w:r>
        <w:rPr>
          <w:rFonts w:ascii="Arial" w:cs="Arial" w:eastAsia="Arial" w:hAnsi="Arial"/>
          <w:sz w:val="19"/>
          <w:szCs w:val="19"/>
          <w:b w:val="1"/>
          <w:bCs w:val="1"/>
          <w:color w:val="auto"/>
        </w:rPr>
        <w:t xml:space="preserve"> </w:t>
      </w:r>
      <w:r>
        <w:rPr>
          <w:rFonts w:ascii="Arial" w:cs="Arial" w:eastAsia="Arial" w:hAnsi="Arial"/>
          <w:sz w:val="19"/>
          <w:szCs w:val="19"/>
          <w:color w:val="auto"/>
        </w:rPr>
        <w:t>on the second anniversary of the date of your termination of employment with the Company or an Affiliate, regardless of the reason for your termination of employment, you shall not, directly, or indirectly by assisting others: (i) cause or attempt to cause or encourage any employee of the Company or an Affiliate to terminate his or her relationship with the Company or an Affiliate or (ii) solicit the employment or engagement as a consultant or adviser, of any employee of the Company or an Affiliate or any former employee of the Company or an Affiliate who left the employ of the Company or Affiliate within two years following your termination of employment with the Company or an Affiliate.</w:t>
      </w:r>
    </w:p>
    <w:p>
      <w:pPr>
        <w:spacing w:after="0" w:line="91" w:lineRule="exact"/>
        <w:rPr>
          <w:rFonts w:ascii="Arial" w:cs="Arial" w:eastAsia="Arial" w:hAnsi="Arial"/>
          <w:sz w:val="19"/>
          <w:szCs w:val="19"/>
          <w:color w:val="auto"/>
        </w:rPr>
      </w:pPr>
    </w:p>
    <w:p>
      <w:pPr>
        <w:jc w:val="both"/>
        <w:ind w:left="4" w:firstLine="645"/>
        <w:spacing w:after="0" w:line="302" w:lineRule="auto"/>
        <w:tabs>
          <w:tab w:leader="none" w:pos="1246" w:val="left"/>
        </w:tabs>
        <w:numPr>
          <w:ilvl w:val="1"/>
          <w:numId w:val="58"/>
        </w:numPr>
        <w:rPr>
          <w:rFonts w:ascii="Arial" w:cs="Arial" w:eastAsia="Arial" w:hAnsi="Arial"/>
          <w:sz w:val="19"/>
          <w:szCs w:val="19"/>
          <w:color w:val="auto"/>
        </w:rPr>
      </w:pPr>
      <w:r>
        <w:rPr>
          <w:rFonts w:ascii="Arial" w:cs="Arial" w:eastAsia="Arial" w:hAnsi="Arial"/>
          <w:sz w:val="19"/>
          <w:szCs w:val="19"/>
          <w:b w:val="1"/>
          <w:bCs w:val="1"/>
          <w:color w:val="auto"/>
        </w:rPr>
        <w:t>Reasonableness of Restriction</w:t>
      </w:r>
      <w:r>
        <w:rPr>
          <w:rFonts w:ascii="Arial" w:cs="Arial" w:eastAsia="Arial" w:hAnsi="Arial"/>
          <w:sz w:val="19"/>
          <w:szCs w:val="19"/>
          <w:color w:val="auto"/>
        </w:rPr>
        <w:t>. You agree and acknowledge that the above non-solicitation covenant is</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reasonable in the scope of activities restricted, the geographic area covered by the restriction and the duration of the restriction, and is necessary in that it protects the legitimate business interests of the Company and its Affiliates in its confidential information, its proprietary work, and its relationships with its employees, customers, suppliers and agents and that it does not unreasonably impair your ability to earn a livelihood or to support your dependants.</w:t>
      </w:r>
    </w:p>
    <w:p>
      <w:pPr>
        <w:spacing w:after="0" w:line="83" w:lineRule="exact"/>
        <w:rPr>
          <w:rFonts w:ascii="Arial" w:cs="Arial" w:eastAsia="Arial" w:hAnsi="Arial"/>
          <w:sz w:val="19"/>
          <w:szCs w:val="19"/>
          <w:color w:val="auto"/>
        </w:rPr>
      </w:pPr>
    </w:p>
    <w:p>
      <w:pPr>
        <w:jc w:val="both"/>
        <w:ind w:left="4" w:firstLine="645"/>
        <w:spacing w:after="0" w:line="268" w:lineRule="auto"/>
        <w:tabs>
          <w:tab w:leader="none" w:pos="1234" w:val="left"/>
        </w:tabs>
        <w:numPr>
          <w:ilvl w:val="1"/>
          <w:numId w:val="58"/>
        </w:numPr>
        <w:rPr>
          <w:rFonts w:ascii="Arial" w:cs="Arial" w:eastAsia="Arial" w:hAnsi="Arial"/>
          <w:sz w:val="21"/>
          <w:szCs w:val="21"/>
          <w:color w:val="auto"/>
        </w:rPr>
      </w:pPr>
      <w:r>
        <w:rPr>
          <w:rFonts w:ascii="Arial" w:cs="Arial" w:eastAsia="Arial" w:hAnsi="Arial"/>
          <w:sz w:val="21"/>
          <w:szCs w:val="21"/>
          <w:b w:val="1"/>
          <w:bCs w:val="1"/>
          <w:color w:val="auto"/>
        </w:rPr>
        <w:t>Irreparable Harm; Injunctive Relief</w:t>
      </w:r>
      <w:r>
        <w:rPr>
          <w:rFonts w:ascii="Arial" w:cs="Arial" w:eastAsia="Arial" w:hAnsi="Arial"/>
          <w:sz w:val="21"/>
          <w:szCs w:val="21"/>
          <w:color w:val="auto"/>
        </w:rPr>
        <w:t>. You agree and acknowledge that a violation by you of the non-solicitation covenant contained herein will result in immediate and irreparable harm to the Company for which there is no adequate remedy at law. You hereby agree that the Company will be entitled, in addition to any remedies it might have under this Award Agreement or at law, to injunctive and other equitable relief to prevent or curtail any threatened or actual breach of this Award Agreement by you, without the posting of bond or other security.</w:t>
      </w:r>
    </w:p>
    <w:p>
      <w:pPr>
        <w:spacing w:after="0" w:line="110" w:lineRule="exact"/>
        <w:rPr>
          <w:rFonts w:ascii="Arial" w:cs="Arial" w:eastAsia="Arial" w:hAnsi="Arial"/>
          <w:sz w:val="21"/>
          <w:szCs w:val="21"/>
          <w:color w:val="auto"/>
        </w:rPr>
      </w:pPr>
    </w:p>
    <w:p>
      <w:pPr>
        <w:jc w:val="both"/>
        <w:ind w:left="4" w:firstLine="645"/>
        <w:spacing w:after="0" w:line="262" w:lineRule="auto"/>
        <w:tabs>
          <w:tab w:leader="none" w:pos="1152" w:val="left"/>
        </w:tabs>
        <w:numPr>
          <w:ilvl w:val="1"/>
          <w:numId w:val="58"/>
        </w:numPr>
        <w:rPr>
          <w:rFonts w:ascii="Arial" w:cs="Arial" w:eastAsia="Arial" w:hAnsi="Arial"/>
          <w:sz w:val="22"/>
          <w:szCs w:val="22"/>
          <w:color w:val="auto"/>
        </w:rPr>
      </w:pPr>
      <w:r>
        <w:rPr>
          <w:rFonts w:ascii="Arial" w:cs="Arial" w:eastAsia="Arial" w:hAnsi="Arial"/>
          <w:sz w:val="22"/>
          <w:szCs w:val="22"/>
          <w:b w:val="1"/>
          <w:bCs w:val="1"/>
          <w:color w:val="auto"/>
        </w:rPr>
        <w:t>Extension of Covenant</w:t>
      </w:r>
      <w:r>
        <w:rPr>
          <w:rFonts w:ascii="Arial" w:cs="Arial" w:eastAsia="Arial" w:hAnsi="Arial"/>
          <w:sz w:val="22"/>
          <w:szCs w:val="22"/>
          <w:color w:val="auto"/>
        </w:rPr>
        <w:t>. During any breach of the non-solicitation provisions of this Award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period of restraint set forth herein shall be automatically tolled and suspended for the amount of time that the violation continues.</w:t>
      </w:r>
    </w:p>
    <w:p>
      <w:pPr>
        <w:sectPr>
          <w:pgSz w:w="11900" w:h="16838" w:orient="portrait"/>
          <w:cols w:equalWidth="0" w:num="1">
            <w:col w:w="10764"/>
          </w:cols>
          <w:pgMar w:left="896" w:top="909" w:right="239" w:bottom="1440" w:gutter="0" w:footer="0" w:header="0"/>
        </w:sectPr>
      </w:pPr>
    </w:p>
    <w:bookmarkStart w:id="93" w:name="page94"/>
    <w:bookmarkEnd w:id="93"/>
    <w:p>
      <w:pPr>
        <w:ind w:left="660" w:firstLine="645"/>
        <w:spacing w:after="0" w:line="282" w:lineRule="auto"/>
        <w:tabs>
          <w:tab w:leader="none" w:pos="1742" w:val="left"/>
        </w:tabs>
        <w:numPr>
          <w:ilvl w:val="1"/>
          <w:numId w:val="59"/>
        </w:numPr>
        <w:rPr>
          <w:rFonts w:ascii="Arial" w:cs="Arial" w:eastAsia="Arial" w:hAnsi="Arial"/>
          <w:sz w:val="22"/>
          <w:szCs w:val="22"/>
          <w:color w:val="auto"/>
        </w:rPr>
      </w:pPr>
      <w:r>
        <w:rPr>
          <w:rFonts w:ascii="Arial" w:cs="Arial" w:eastAsia="Arial" w:hAnsi="Arial"/>
          <w:sz w:val="22"/>
          <w:szCs w:val="22"/>
          <w:b w:val="1"/>
          <w:bCs w:val="1"/>
          <w:color w:val="auto"/>
        </w:rPr>
        <w:t>Survival of Covenants</w:t>
      </w:r>
      <w:r>
        <w:rPr>
          <w:rFonts w:ascii="Arial" w:cs="Arial" w:eastAsia="Arial" w:hAnsi="Arial"/>
          <w:sz w:val="22"/>
          <w:szCs w:val="22"/>
          <w:color w:val="auto"/>
        </w:rPr>
        <w:t>. Your obligations pursuant to this Section 7 shall survive the termination of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termination of your employment with the Company or an Affiliate.</w:t>
      </w:r>
    </w:p>
    <w:p>
      <w:pPr>
        <w:spacing w:after="0" w:line="94" w:lineRule="exact"/>
        <w:rPr>
          <w:rFonts w:ascii="Arial" w:cs="Arial" w:eastAsia="Arial" w:hAnsi="Arial"/>
          <w:sz w:val="22"/>
          <w:szCs w:val="22"/>
          <w:color w:val="auto"/>
        </w:rPr>
      </w:pPr>
    </w:p>
    <w:p>
      <w:pPr>
        <w:jc w:val="both"/>
        <w:ind w:left="660" w:firstLine="645"/>
        <w:spacing w:after="0" w:line="262" w:lineRule="auto"/>
        <w:tabs>
          <w:tab w:leader="none" w:pos="1772" w:val="left"/>
        </w:tabs>
        <w:numPr>
          <w:ilvl w:val="1"/>
          <w:numId w:val="59"/>
        </w:numPr>
        <w:rPr>
          <w:rFonts w:ascii="Arial" w:cs="Arial" w:eastAsia="Arial" w:hAnsi="Arial"/>
          <w:sz w:val="22"/>
          <w:szCs w:val="22"/>
          <w:color w:val="auto"/>
        </w:rPr>
      </w:pPr>
      <w:r>
        <w:rPr>
          <w:rFonts w:ascii="Arial" w:cs="Arial" w:eastAsia="Arial" w:hAnsi="Arial"/>
          <w:sz w:val="22"/>
          <w:szCs w:val="22"/>
          <w:b w:val="1"/>
          <w:bCs w:val="1"/>
          <w:color w:val="auto"/>
        </w:rPr>
        <w:t>Attorneys' Fees</w:t>
      </w:r>
      <w:r>
        <w:rPr>
          <w:rFonts w:ascii="Arial" w:cs="Arial" w:eastAsia="Arial" w:hAnsi="Arial"/>
          <w:sz w:val="22"/>
          <w:szCs w:val="22"/>
          <w:color w:val="auto"/>
        </w:rPr>
        <w:t>. You agree to pay the Company any attorneys' fees and costs which the Company incurs in</w:t>
      </w:r>
      <w:r>
        <w:rPr>
          <w:rFonts w:ascii="Arial" w:cs="Arial" w:eastAsia="Arial" w:hAnsi="Arial"/>
          <w:sz w:val="22"/>
          <w:szCs w:val="22"/>
          <w:b w:val="1"/>
          <w:bCs w:val="1"/>
          <w:color w:val="auto"/>
        </w:rPr>
        <w:t xml:space="preserve"> </w:t>
      </w:r>
      <w:r>
        <w:rPr>
          <w:rFonts w:ascii="Arial" w:cs="Arial" w:eastAsia="Arial" w:hAnsi="Arial"/>
          <w:sz w:val="22"/>
          <w:szCs w:val="22"/>
          <w:color w:val="auto"/>
        </w:rPr>
        <w:t>enforcing, to any extent, the provisions of this Section 7, whether or not litigation is actually commenced, and including any appeal.</w:t>
      </w:r>
    </w:p>
    <w:p>
      <w:pPr>
        <w:spacing w:after="0" w:line="116" w:lineRule="exact"/>
        <w:rPr>
          <w:rFonts w:ascii="Arial" w:cs="Arial" w:eastAsia="Arial" w:hAnsi="Arial"/>
          <w:sz w:val="22"/>
          <w:szCs w:val="22"/>
          <w:color w:val="auto"/>
        </w:rPr>
      </w:pPr>
    </w:p>
    <w:p>
      <w:pPr>
        <w:jc w:val="both"/>
        <w:ind w:firstLine="656"/>
        <w:spacing w:after="0" w:line="302" w:lineRule="auto"/>
        <w:tabs>
          <w:tab w:leader="none" w:pos="1004" w:val="left"/>
        </w:tabs>
        <w:numPr>
          <w:ilvl w:val="0"/>
          <w:numId w:val="60"/>
        </w:numPr>
        <w:rPr>
          <w:rFonts w:ascii="Arial" w:cs="Arial" w:eastAsia="Arial" w:hAnsi="Arial"/>
          <w:sz w:val="19"/>
          <w:szCs w:val="19"/>
          <w:color w:val="auto"/>
        </w:rPr>
      </w:pPr>
      <w:r>
        <w:rPr>
          <w:rFonts w:ascii="Arial" w:cs="Arial" w:eastAsia="Arial" w:hAnsi="Arial"/>
          <w:sz w:val="19"/>
          <w:szCs w:val="19"/>
          <w:b w:val="1"/>
          <w:bCs w:val="1"/>
          <w:color w:val="auto"/>
        </w:rPr>
        <w:t>Compliance with 409A</w:t>
      </w:r>
      <w:r>
        <w:rPr>
          <w:rFonts w:ascii="Arial" w:cs="Arial" w:eastAsia="Arial" w:hAnsi="Arial"/>
          <w:sz w:val="19"/>
          <w:szCs w:val="19"/>
          <w:color w:val="auto"/>
        </w:rPr>
        <w:t>. The Company intends that this Award Agreement and the Plan either (a) comply with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409A and guidance thereunder or (b) be excepted from the provisions of Section 409A. Accordingly, the Company reserves the right and you agree that the Company shall have the right, without your consent and without prior notice to you, to amend either or both this Award Agreement and the Plan to cause this Award Agreement and the Plan to be so compliant or so excepted and to take such other actions under the Plan and this Award Agreement to achieve such compliance or exception.</w:t>
      </w:r>
    </w:p>
    <w:p>
      <w:pPr>
        <w:spacing w:after="0" w:line="83" w:lineRule="exact"/>
        <w:rPr>
          <w:rFonts w:ascii="Arial" w:cs="Arial" w:eastAsia="Arial" w:hAnsi="Arial"/>
          <w:sz w:val="19"/>
          <w:szCs w:val="19"/>
          <w:color w:val="auto"/>
        </w:rPr>
      </w:pPr>
    </w:p>
    <w:p>
      <w:pPr>
        <w:ind w:firstLine="656"/>
        <w:spacing w:after="0" w:line="282" w:lineRule="auto"/>
        <w:tabs>
          <w:tab w:leader="none" w:pos="1031"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 xml:space="preserve">Certain Definitions. </w:t>
      </w:r>
      <w:r>
        <w:rPr>
          <w:rFonts w:ascii="Arial" w:cs="Arial" w:eastAsia="Arial" w:hAnsi="Arial"/>
          <w:sz w:val="22"/>
          <w:szCs w:val="22"/>
          <w:color w:val="auto"/>
        </w:rPr>
        <w:t>Capitalized terms used in this Award Agreement and not otherwise defined herein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meanings provided in the Plan.</w:t>
      </w:r>
    </w:p>
    <w:p>
      <w:pPr>
        <w:spacing w:after="0" w:line="94" w:lineRule="exact"/>
        <w:rPr>
          <w:rFonts w:ascii="Arial" w:cs="Arial" w:eastAsia="Arial" w:hAnsi="Arial"/>
          <w:sz w:val="22"/>
          <w:szCs w:val="22"/>
          <w:color w:val="auto"/>
        </w:rPr>
      </w:pPr>
    </w:p>
    <w:p>
      <w:pPr>
        <w:jc w:val="both"/>
        <w:ind w:right="20" w:firstLine="656"/>
        <w:spacing w:after="0" w:line="262" w:lineRule="auto"/>
        <w:tabs>
          <w:tab w:leader="none" w:pos="1166"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Designation of Beneficiary</w:t>
      </w:r>
      <w:r>
        <w:rPr>
          <w:rFonts w:ascii="Arial" w:cs="Arial" w:eastAsia="Arial" w:hAnsi="Arial"/>
          <w:sz w:val="22"/>
          <w:szCs w:val="22"/>
          <w:color w:val="auto"/>
        </w:rPr>
        <w:t>. Your beneficiary for receipt of any payment made under this Award Agreement in the</w:t>
      </w:r>
      <w:r>
        <w:rPr>
          <w:rFonts w:ascii="Arial" w:cs="Arial" w:eastAsia="Arial" w:hAnsi="Arial"/>
          <w:sz w:val="22"/>
          <w:szCs w:val="22"/>
          <w:b w:val="1"/>
          <w:bCs w:val="1"/>
          <w:color w:val="auto"/>
        </w:rPr>
        <w:t xml:space="preserve"> </w:t>
      </w:r>
      <w:r>
        <w:rPr>
          <w:rFonts w:ascii="Arial" w:cs="Arial" w:eastAsia="Arial" w:hAnsi="Arial"/>
          <w:sz w:val="22"/>
          <w:szCs w:val="22"/>
          <w:color w:val="auto"/>
        </w:rPr>
        <w:t>event of your death shall be the person(s) designated as your beneficiary(ies) on a form prescribed by the Company. If no beneficiary is designated, upon your death, payment shall be made to your estate.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Follow]</w:t>
      </w:r>
    </w:p>
    <w:p>
      <w:pPr>
        <w:sectPr>
          <w:pgSz w:w="11900" w:h="16838" w:orient="portrait"/>
          <w:cols w:equalWidth="0" w:num="1">
            <w:col w:w="11420"/>
          </w:cols>
          <w:pgMar w:left="240" w:top="909" w:right="239" w:bottom="1440" w:gutter="0" w:footer="0" w:header="0"/>
        </w:sectPr>
      </w:pPr>
    </w:p>
    <w:bookmarkStart w:id="94" w:name="page95"/>
    <w:bookmarkEnd w:id="94"/>
    <w:p>
      <w:pPr>
        <w:ind w:firstLine="648"/>
        <w:spacing w:after="0" w:line="263" w:lineRule="auto"/>
        <w:rPr>
          <w:sz w:val="20"/>
          <w:szCs w:val="20"/>
          <w:color w:val="auto"/>
        </w:rPr>
      </w:pPr>
      <w:r>
        <w:rPr>
          <w:rFonts w:ascii="Arial" w:cs="Arial" w:eastAsia="Arial" w:hAnsi="Arial"/>
          <w:sz w:val="22"/>
          <w:szCs w:val="22"/>
          <w:color w:val="auto"/>
        </w:rPr>
        <w:t>If you accept this Award Agreement and agree to the foregoing terms and conditions, please so confirm by signing and returning the duplicate copy of this Award Agreement enclosed for that purpose.</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MATRIX SERVICE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342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5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-17780</wp:posOffset>
            </wp:positionV>
            <wp:extent cx="342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5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4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foregoing Award Agreement is accepted by me as of ______________________, and I hereby agree to the terms,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conditions, and restrictions set forth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«Grantee»</w:t>
      </w:r>
    </w:p>
    <w:p>
      <w:pPr>
        <w:sectPr>
          <w:pgSz w:w="11900" w:h="16838" w:orient="portrait"/>
          <w:cols w:equalWidth="0" w:num="1">
            <w:col w:w="11400"/>
          </w:cols>
          <w:pgMar w:left="240" w:top="915" w:right="25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Inc., an Oklahoma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Canada ULC, an Alberta, Canada unlimited liability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North American Construction, Inc., an Oklahoma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North American Construction, Ltd., a Canadian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SME Canada,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SME Canada ULC, a Nova Scotia, Canada unlimited liability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PDM Engineering,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PDM, LLC, an Oklahoma limited liability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Applied Technologies,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International Holding Company, Ltd., a British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Applied Technologies, Ltd., a South Korean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Applied Technologies, Pty. Ltd., an Australian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Interests, LLC, an Oklahoma limited liability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Devco USA, LLC, an Oklahoma limited liability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River Consulting, LLC, a Louisiana limited liability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River Food Services, LLC, a Maryland limited liability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S&amp;R Technical Services, Inc., an Oklahoma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 Products and Services S. de R.L. de C.V., a Mexican limited liability variable stock corporation</w:t>
      </w:r>
    </w:p>
    <w:p>
      <w:pPr>
        <w:sectPr>
          <w:pgSz w:w="11900" w:h="16838" w:orient="portrait"/>
          <w:cols w:equalWidth="0" w:num="1">
            <w:col w:w="11420"/>
          </w:cols>
          <w:pgMar w:left="240" w:top="580"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following Registration Statements on Forms S-8 of our reports dated September 12, 2018, relating to the consolidated financial statements and financial statement schedule of Matrix Service Company and subsidiaries, and the effectiveness of Matrix Service Company and subsidiaries' internal control over financial reporting, appearing in the Annual Report on Form 10-K of Matrix Service Company for the year ended June 30,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Registration Statement on Form S-8 (File No. 333-214590) related to the Matrix Service Company 2016 Stock and Incentive Compensation Plan</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Registration Statement on Form S-8 (File No. 333-203207) related to the Matrix Service Company 2012 Stock and Incentive Compensation Plan</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Registration Statement on Form S-8 (File No. 333-184982) related to the Matrix Service Company 2012 Stock and Incentive Compensation Plan</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Registration Statement on Form S-8 (File No. 333-171247) related to the Matrix Service Company 2011 Employee Stock Purchase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Registration Statement on Form S-8 (File No. 333-171245) related to the Matrix Service Company 2004 Stock Incentive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Registration Statement on Form S-8 (File No. 333-119840) related to the Matrix Service Company 2004 Stock Option Plan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12, 2018</w:t>
      </w:r>
    </w:p>
    <w:p>
      <w:pPr>
        <w:sectPr>
          <w:pgSz w:w="11900" w:h="16838" w:orient="portrait"/>
          <w:cols w:equalWidth="0" w:num="1">
            <w:col w:w="11420"/>
          </w:cols>
          <w:pgMar w:left="240" w:top="66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auto"/>
        </w:rPr>
        <w:t>Date:</w:t>
        <w:tab/>
        <w:t>September 12, 2018</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18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6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12, 2018</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870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connection with the Annual Report of Matrix Service Company (the “Company”) on Form 10-K for the period ending June 30, 2018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Date:</w:t>
        <w:tab/>
        <w:t>September 12, 2018</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298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connection with the Annual Report of Matrix Service Company (the “Company”) on Form 10-K for the period ending June 30, 2018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12, 2018</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870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101" w:name="page102"/>
    <w:bookmarkEnd w:id="101"/>
    <w:p>
      <w:pPr>
        <w:ind w:left="10620"/>
        <w:spacing w:after="0"/>
        <w:rPr>
          <w:sz w:val="20"/>
          <w:szCs w:val="20"/>
          <w:color w:val="auto"/>
        </w:rPr>
      </w:pPr>
      <w:r>
        <w:rPr>
          <w:rFonts w:ascii="Arial" w:cs="Arial" w:eastAsia="Arial" w:hAnsi="Arial"/>
          <w:sz w:val="17"/>
          <w:szCs w:val="17"/>
          <w:b w:val="1"/>
          <w:bCs w:val="1"/>
          <w:color w:val="auto"/>
        </w:rPr>
        <w:t>Exhibit 95</w:t>
      </w:r>
    </w:p>
    <w:p>
      <w:pPr>
        <w:spacing w:after="0" w:line="200" w:lineRule="exact"/>
        <w:rPr>
          <w:sz w:val="20"/>
          <w:szCs w:val="20"/>
          <w:color w:val="auto"/>
        </w:rPr>
      </w:pPr>
    </w:p>
    <w:p>
      <w:pPr>
        <w:spacing w:after="0" w:line="243"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twelve months ended June 30, 2018:</w:t>
      </w:r>
    </w:p>
    <w:p>
      <w:pPr>
        <w:spacing w:after="0" w:line="152" w:lineRule="exact"/>
        <w:rPr>
          <w:sz w:val="20"/>
          <w:szCs w:val="20"/>
          <w:color w:val="auto"/>
        </w:rPr>
      </w:pPr>
    </w:p>
    <w:tbl>
      <w:tblPr>
        <w:tblLayout w:type="fixed"/>
        <w:tblInd w:w="30" w:type="dxa"/>
        <w:tblCellMar>
          <w:top w:w="0" w:type="dxa"/>
          <w:left w:w="0" w:type="dxa"/>
          <w:bottom w:w="0" w:type="dxa"/>
          <w:right w:w="0" w:type="dxa"/>
        </w:tblCellMar>
      </w:tblPr>
      <w:tr>
        <w:trPr>
          <w:trHeight w:val="166"/>
        </w:trPr>
        <w:tc>
          <w:tcPr>
            <w:tcW w:w="940" w:type="dxa"/>
            <w:vAlign w:val="bottom"/>
            <w:tcBorders>
              <w:top w:val="single" w:sz="8" w:color="auto"/>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2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Received Notice</w:t>
            </w:r>
          </w:p>
        </w:tc>
        <w:tc>
          <w:tcPr>
            <w:tcW w:w="92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Mine or</w:t>
            </w: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Received Notice</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of Potential to</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6"/>
              </w:rPr>
              <w:t>Operating</w:t>
            </w: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Dollar Value</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Total Number</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of Pattern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Have Pattern of</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Legal Actions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Total Number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Name/MSHA</w:t>
            </w: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104(d)</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110(b)</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Section</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of MSHA</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of Mining</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Violations Under</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Violations Under</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6"/>
              </w:rPr>
              <w:t>Pending as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Legal Actions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Legal Actions</w:t>
            </w: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Identification</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Section 104 S&amp;S</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104(b)</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Citations and</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(2)</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7"/>
              </w:rPr>
              <w:t>107(a)</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Assessments</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4"/>
              </w:rPr>
              <w:t>Related</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104(e)</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Section 104(e)</w:t>
            </w:r>
            <w:r>
              <w:rPr>
                <w:rFonts w:ascii="Arial" w:cs="Arial" w:eastAsia="Arial" w:hAnsi="Arial"/>
                <w:sz w:val="8"/>
                <w:szCs w:val="8"/>
                <w:color w:val="auto"/>
                <w:w w:val="88"/>
              </w:rPr>
              <w:t>(7)</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Last Day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Initiated During</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Resolved During</w:t>
            </w:r>
          </w:p>
        </w:tc>
        <w:tc>
          <w:tcPr>
            <w:tcW w:w="0" w:type="dxa"/>
            <w:vAlign w:val="bottom"/>
          </w:tcPr>
          <w:p>
            <w:pPr>
              <w:spacing w:after="0"/>
              <w:rPr>
                <w:sz w:val="1"/>
                <w:szCs w:val="1"/>
                <w:color w:val="auto"/>
              </w:rPr>
            </w:pPr>
          </w:p>
        </w:tc>
      </w:tr>
      <w:tr>
        <w:trPr>
          <w:trHeight w:val="136"/>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6"/>
              </w:rPr>
              <w:t>Number</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Citations</w:t>
            </w:r>
            <w:r>
              <w:rPr>
                <w:rFonts w:ascii="Arial" w:cs="Arial" w:eastAsia="Arial" w:hAnsi="Arial"/>
                <w:sz w:val="8"/>
                <w:szCs w:val="8"/>
                <w:color w:val="auto"/>
                <w:w w:val="95"/>
              </w:rPr>
              <w:t>(1)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Violations</w:t>
            </w:r>
            <w:r>
              <w:rPr>
                <w:rFonts w:ascii="Arial" w:cs="Arial" w:eastAsia="Arial" w:hAnsi="Arial"/>
                <w:sz w:val="8"/>
                <w:szCs w:val="8"/>
                <w:color w:val="auto"/>
                <w:w w:val="97"/>
              </w:rPr>
              <w:t>(4)</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Proposed ($)</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Fatalities</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6"/>
              </w:rPr>
              <w:t xml:space="preserve">(6) </w:t>
            </w:r>
            <w:r>
              <w:rPr>
                <w:rFonts w:ascii="Arial" w:cs="Arial" w:eastAsia="Arial" w:hAnsi="Arial"/>
                <w:sz w:val="10"/>
                <w:szCs w:val="10"/>
                <w:color w:val="auto"/>
                <w:w w:val="96"/>
              </w:rPr>
              <w:t>(yes/no)</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Period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940" w:type="dxa"/>
            <w:vAlign w:val="bottom"/>
            <w:tcBorders>
              <w:left w:val="single" w:sz="8" w:color="auto"/>
              <w:right w:val="single" w:sz="8" w:color="auto"/>
            </w:tcBorders>
          </w:tcPr>
          <w:p>
            <w:pPr>
              <w:jc w:val="center"/>
              <w:spacing w:after="0" w:line="119" w:lineRule="exact"/>
              <w:rPr>
                <w:sz w:val="20"/>
                <w:szCs w:val="20"/>
                <w:color w:val="auto"/>
              </w:rPr>
            </w:pPr>
            <w:r>
              <w:rPr>
                <w:rFonts w:ascii="Arial" w:cs="Arial" w:eastAsia="Arial" w:hAnsi="Arial"/>
                <w:sz w:val="11"/>
                <w:szCs w:val="11"/>
                <w:color w:val="auto"/>
                <w:w w:val="91"/>
              </w:rPr>
              <w:t>Freeport</w:t>
            </w: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McMoran</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No</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82"/>
        </w:trPr>
        <w:tc>
          <w:tcPr>
            <w:tcW w:w="940" w:type="dxa"/>
            <w:vAlign w:val="bottom"/>
            <w:tcBorders>
              <w:left w:val="single" w:sz="8" w:color="auto"/>
              <w:right w:val="single" w:sz="8" w:color="auto"/>
            </w:tcBorders>
            <w:vMerge w:val="restart"/>
          </w:tcPr>
          <w:p>
            <w:pPr>
              <w:jc w:val="center"/>
              <w:spacing w:after="0" w:line="122" w:lineRule="exact"/>
              <w:rPr>
                <w:sz w:val="20"/>
                <w:szCs w:val="20"/>
                <w:color w:val="auto"/>
              </w:rPr>
            </w:pPr>
            <w:r>
              <w:rPr>
                <w:rFonts w:ascii="Arial" w:cs="Arial" w:eastAsia="Arial" w:hAnsi="Arial"/>
                <w:sz w:val="11"/>
                <w:szCs w:val="11"/>
                <w:color w:val="auto"/>
                <w:w w:val="93"/>
              </w:rPr>
              <w:t>Morenci Inc. 02-</w:t>
            </w:r>
          </w:p>
        </w:tc>
        <w:tc>
          <w:tcPr>
            <w:tcW w:w="92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80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940" w:type="dxa"/>
            <w:vAlign w:val="bottom"/>
            <w:tcBorders>
              <w:left w:val="single" w:sz="8" w:color="auto"/>
              <w:right w:val="single" w:sz="8" w:color="auto"/>
            </w:tcBorders>
            <w:vMerge w:val="continue"/>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00024</w:t>
            </w: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940" w:type="dxa"/>
            <w:vAlign w:val="bottom"/>
            <w:tcBorders>
              <w:left w:val="single" w:sz="8" w:color="auto"/>
              <w:right w:val="single" w:sz="8" w:color="auto"/>
            </w:tcBorders>
          </w:tcPr>
          <w:p>
            <w:pPr>
              <w:jc w:val="center"/>
              <w:spacing w:after="0" w:line="119" w:lineRule="exact"/>
              <w:rPr>
                <w:sz w:val="20"/>
                <w:szCs w:val="20"/>
                <w:color w:val="auto"/>
              </w:rPr>
            </w:pPr>
            <w:r>
              <w:rPr>
                <w:rFonts w:ascii="Arial" w:cs="Arial" w:eastAsia="Arial" w:hAnsi="Arial"/>
                <w:sz w:val="11"/>
                <w:szCs w:val="11"/>
                <w:color w:val="auto"/>
                <w:w w:val="91"/>
              </w:rPr>
              <w:t>Freeport</w:t>
            </w: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McMoran Safford</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No</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36"/>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2"/>
              </w:rPr>
              <w:t>Inc. 02-03131</w:t>
            </w: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940" w:type="dxa"/>
            <w:vAlign w:val="bottom"/>
            <w:tcBorders>
              <w:left w:val="single" w:sz="8" w:color="auto"/>
              <w:right w:val="single" w:sz="8" w:color="auto"/>
            </w:tcBorders>
          </w:tcPr>
          <w:p>
            <w:pPr>
              <w:jc w:val="center"/>
              <w:spacing w:after="0" w:line="119" w:lineRule="exact"/>
              <w:rPr>
                <w:sz w:val="20"/>
                <w:szCs w:val="20"/>
                <w:color w:val="auto"/>
              </w:rPr>
            </w:pPr>
            <w:r>
              <w:rPr>
                <w:rFonts w:ascii="Arial" w:cs="Arial" w:eastAsia="Arial" w:hAnsi="Arial"/>
                <w:sz w:val="11"/>
                <w:szCs w:val="11"/>
                <w:color w:val="auto"/>
                <w:w w:val="93"/>
              </w:rPr>
              <w:t>Big Island Mine</w:t>
            </w:r>
          </w:p>
        </w:tc>
        <w:tc>
          <w:tcPr>
            <w:tcW w:w="9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&amp; Refinery 48-</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No</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36"/>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00154</w:t>
            </w: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Solvay Chemicals</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No</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69"/>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92"/>
              </w:rPr>
              <w:t>Inc. 48-01295</w:t>
            </w:r>
          </w:p>
        </w:tc>
        <w:tc>
          <w:tcPr>
            <w:tcW w:w="92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40" w:type="dxa"/>
            <w:vAlign w:val="bottom"/>
            <w:tcBorders>
              <w:left w:val="single" w:sz="8" w:color="auto"/>
              <w:right w:val="single" w:sz="8" w:color="auto"/>
            </w:tcBorders>
            <w:vMerge w:val="continue"/>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3"/>
              </w:rPr>
              <w:t>Permanente</w:t>
            </w: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Cement Plant &amp;</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1"/>
              </w:rPr>
              <w:t>$472</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No</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136"/>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8"/>
              </w:rPr>
              <w:t>Quarry 04-04075</w:t>
            </w: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60" w:right="360" w:hanging="252"/>
        <w:spacing w:after="0" w:line="322" w:lineRule="auto"/>
        <w:tabs>
          <w:tab w:leader="none" w:pos="2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ind w:left="220" w:hanging="212"/>
        <w:spacing w:after="0"/>
        <w:tabs>
          <w:tab w:leader="none" w:pos="2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represents a failure to abate a citation under section 104(a) within the period of time prescribed by MSHA.</w:t>
      </w:r>
    </w:p>
    <w:p>
      <w:pPr>
        <w:spacing w:after="0" w:line="80" w:lineRule="exact"/>
        <w:rPr>
          <w:rFonts w:ascii="Arial" w:cs="Arial" w:eastAsia="Arial" w:hAnsi="Arial"/>
          <w:sz w:val="13"/>
          <w:szCs w:val="13"/>
          <w:color w:val="auto"/>
        </w:rPr>
      </w:pPr>
    </w:p>
    <w:p>
      <w:pPr>
        <w:ind w:left="220" w:hanging="212"/>
        <w:spacing w:after="0"/>
        <w:tabs>
          <w:tab w:leader="none" w:pos="2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64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o"/>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1)"/>
      <w:numFmt w:val="upperLetter"/>
      <w:start w:val="1"/>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lvl w:ilvl="1">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1)"/>
      <w:numFmt w:val="lowerRoman"/>
      <w:start w:val="3"/>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upperLetter"/>
      <w:start w:val="1"/>
    </w:lvl>
  </w:abstractNum>
  <w:abstractNum w:abstractNumId="42">
    <w:nsid w:val="374A3FE6"/>
    <w:multiLevelType w:val="hybridMultilevel"/>
    <w:lvl w:ilvl="0">
      <w:lvlJc w:val="left"/>
      <w:lvlText w:val="(%1)"/>
      <w:numFmt w:val="decimal"/>
      <w:start w:val="3"/>
    </w:lvl>
  </w:abstractNum>
  <w:abstractNum w:abstractNumId="43">
    <w:nsid w:val="4F4EF005"/>
    <w:multiLevelType w:val="hybridMultilevel"/>
    <w:lvl w:ilvl="0">
      <w:lvlJc w:val="left"/>
      <w:lvlText w:val="2"/>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6">
    <w:nsid w:val="275AC794"/>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47">
    <w:nsid w:val="3938657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7"/>
    </w:lvl>
    <w:lvl w:ilvl="3">
      <w:lvlJc w:val="left"/>
      <w:lvlText w:val="(%4)"/>
      <w:numFmt w:val="upperLetter"/>
      <w:start w:val="2"/>
    </w:lvl>
  </w:abstractNum>
  <w:abstractNum w:abstractNumId="48">
    <w:nsid w:val="1CF10FD8"/>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49">
    <w:nsid w:val="180115BE"/>
    <w:multiLevelType w:val="hybridMultilevel"/>
    <w:lvl w:ilvl="0">
      <w:lvlJc w:val="left"/>
      <w:lvlText w:val="(%1)"/>
      <w:numFmt w:val="lowerRoman"/>
      <w:start w:val="2"/>
    </w:lvl>
  </w:abstractNum>
  <w:abstractNum w:abstractNumId="50">
    <w:nsid w:val="235BA861"/>
    <w:multiLevelType w:val="hybridMultilevel"/>
    <w:lvl w:ilvl="0">
      <w:lvlJc w:val="left"/>
      <w:lvlText w:val="(%1)"/>
      <w:numFmt w:val="lowerRoman"/>
      <w:start w:val="3"/>
    </w:lvl>
  </w:abstractNum>
  <w:abstractNum w:abstractNumId="51">
    <w:nsid w:val="47398C89"/>
    <w:multiLevelType w:val="hybridMultilevel"/>
    <w:lvl w:ilvl="0">
      <w:lvlJc w:val="left"/>
      <w:lvlText w:val="(%1)"/>
      <w:numFmt w:val="lowerRoman"/>
      <w:start w:val="4"/>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1)"/>
      <w:numFmt w:val="lowerRoman"/>
      <w:start w:val="5"/>
    </w:lvl>
  </w:abstractNum>
  <w:abstractNum w:abstractNumId="54">
    <w:nsid w:val="741226BB"/>
    <w:multiLevelType w:val="hybridMultilevel"/>
    <w:lvl w:ilvl="0">
      <w:lvlJc w:val="left"/>
      <w:lvlText w:val="(%1)"/>
      <w:numFmt w:val="lowerRoman"/>
      <w:start w:val="6"/>
    </w:lvl>
  </w:abstractNum>
  <w:abstractNum w:abstractNumId="55">
    <w:nsid w:val="D34B6A8"/>
    <w:multiLevelType w:val="hybridMultilevel"/>
    <w:lvl w:ilvl="0">
      <w:lvlJc w:val="left"/>
      <w:lvlText w:val="%1"/>
      <w:numFmt w:val="decimal"/>
      <w:start w:val="1"/>
    </w:lvl>
    <w:lvl w:ilvl="1">
      <w:lvlJc w:val="left"/>
      <w:lvlText w:val="(%2)"/>
      <w:numFmt w:val="lowerRoman"/>
      <w:start w:val="7"/>
    </w:lvl>
  </w:abstractNum>
  <w:abstractNum w:abstractNumId="56">
    <w:nsid w:val="10233C99"/>
    <w:multiLevelType w:val="hybridMultilevel"/>
    <w:lvl w:ilvl="0">
      <w:lvlJc w:val="left"/>
      <w:lvlText w:val="%1."/>
      <w:numFmt w:val="decimal"/>
      <w:start w:val="3"/>
    </w:lvl>
    <w:lvl w:ilvl="1">
      <w:lvlJc w:val="left"/>
      <w:lvlText w:val="%2"/>
      <w:numFmt w:val="lowerRoman"/>
      <w:start w:val="1"/>
    </w:lvl>
  </w:abstractNum>
  <w:abstractNum w:abstractNumId="57">
    <w:nsid w:val="3F6AB60F"/>
    <w:multiLevelType w:val="hybridMultilevel"/>
    <w:lvl w:ilvl="0">
      <w:lvlJc w:val="left"/>
      <w:lvlText w:val="%1."/>
      <w:numFmt w:val="decimal"/>
      <w:start w:val="6"/>
    </w:lvl>
    <w:lvl w:ilvl="1">
      <w:lvlJc w:val="left"/>
      <w:lvlText w:val="(%2)"/>
      <w:numFmt w:val="lowerLetter"/>
      <w:start w:val="1"/>
    </w:lvl>
  </w:abstractNum>
  <w:abstractNum w:abstractNumId="58">
    <w:nsid w:val="61574095"/>
    <w:multiLevelType w:val="hybridMultilevel"/>
    <w:lvl w:ilvl="0">
      <w:lvlJc w:val="left"/>
      <w:lvlText w:val="%1"/>
      <w:numFmt w:val="decimal"/>
      <w:start w:val="1"/>
    </w:lvl>
    <w:lvl w:ilvl="1">
      <w:lvlJc w:val="left"/>
      <w:lvlText w:val="(%2)"/>
      <w:numFmt w:val="lowerLetter"/>
      <w:start w:val="5"/>
    </w:lvl>
  </w:abstractNum>
  <w:abstractNum w:abstractNumId="59">
    <w:nsid w:val="7E0C57B1"/>
    <w:multiLevelType w:val="hybridMultilevel"/>
    <w:lvl w:ilvl="0">
      <w:lvlJc w:val="left"/>
      <w:lvlText w:val="%1."/>
      <w:numFmt w:val="decimal"/>
      <w:start w:val="8"/>
    </w:lvl>
    <w:lvl w:ilvl="1">
      <w:lvlJc w:val="left"/>
      <w:lvlText w:val="%2"/>
      <w:numFmt w:val="lowerLetter"/>
      <w:start w:val="1"/>
    </w:lvl>
  </w:abstractNum>
  <w:abstractNum w:abstractNumId="60">
    <w:nsid w:val="77AE35EB"/>
    <w:multiLevelType w:val="hybridMultilevel"/>
    <w:lvl w:ilvl="0">
      <w:lvlJc w:val="left"/>
      <w:lvlText w:val="%1."/>
      <w:numFmt w:val="decimal"/>
      <w:start w:val="1"/>
    </w:lvl>
    <w:lvl w:ilvl="1">
      <w:lvlJc w:val="left"/>
      <w:lvlText w:val="%2."/>
      <w:numFmt w:val="lowerLetter"/>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54" Type="http://schemas.openxmlformats.org/officeDocument/2006/relationships/image" Target="media/image26.png"/><Relationship Id="rId55" Type="http://schemas.openxmlformats.org/officeDocument/2006/relationships/image" Target="media/image27.png"/><Relationship Id="rId56" Type="http://schemas.openxmlformats.org/officeDocument/2006/relationships/image" Target="media/image28.png"/><Relationship Id="rId57" Type="http://schemas.openxmlformats.org/officeDocument/2006/relationships/image" Target="media/image29.png"/><Relationship Id="rId58" Type="http://schemas.openxmlformats.org/officeDocument/2006/relationships/image" Target="media/image30.png"/><Relationship Id="rId59" Type="http://schemas.openxmlformats.org/officeDocument/2006/relationships/image" Target="media/image31.png"/><Relationship Id="rId60" Type="http://schemas.openxmlformats.org/officeDocument/2006/relationships/image" Target="media/image32.png"/><Relationship Id="rId33" Type="http://schemas.openxmlformats.org/officeDocument/2006/relationships/hyperlink" Target="http://www.sec.gov/Archives/edgar/data/866273/000086627316000284/exhibit2.htm" TargetMode="External"/><Relationship Id="rId34" Type="http://schemas.openxmlformats.org/officeDocument/2006/relationships/hyperlink" Target="http://www.sec.gov/Archives/edgar/data/866273/000086627316000233/proxystatementfiscal2016de.htm" TargetMode="External"/><Relationship Id="rId35" Type="http://schemas.openxmlformats.org/officeDocument/2006/relationships/hyperlink" Target="http://www.sec.gov/Archives/edgar/data/866273/000119312504113071/dex32.htm" TargetMode="External"/><Relationship Id="rId36" Type="http://schemas.openxmlformats.org/officeDocument/2006/relationships/hyperlink" Target="http://www.sec.gov/Archives/edgar/data/866273/000119312505169705/dex35.htm" TargetMode="External"/><Relationship Id="rId37" Type="http://schemas.openxmlformats.org/officeDocument/2006/relationships/hyperlink" Target="http://www.sec.gov/Archives/edgar/data/866273/000119312507182493/dex37.htm" TargetMode="External"/><Relationship Id="rId38" Type="http://schemas.openxmlformats.org/officeDocument/2006/relationships/hyperlink" Target="http://www.sec.gov/Archives/edgar/data/866273/000086627317000018/exhibit31secondamendedandr.htm" TargetMode="External"/><Relationship Id="rId39" Type="http://schemas.openxmlformats.org/officeDocument/2006/relationships/hyperlink" Target="http://www.sec.gov/Archives/edgar/data/866273/000119312506191449/ddef14a.htm" TargetMode="External"/><Relationship Id="rId40" Type="http://schemas.openxmlformats.org/officeDocument/2006/relationships/hyperlink" Target="http://www.sec.gov/Archives/edgar/data/866273/000119312506202415/dex10.htm" TargetMode="External"/><Relationship Id="rId41" Type="http://schemas.openxmlformats.org/officeDocument/2006/relationships/hyperlink" Target="http://www.sec.gov/Archives/edgar/data/866273/000119312508166640/dex106.htm" TargetMode="External"/><Relationship Id="rId42" Type="http://schemas.openxmlformats.org/officeDocument/2006/relationships/hyperlink" Target="http://www.sec.gov/Archives/edgar/data/866273/000119312509190436/ddef14a.htm" TargetMode="External"/><Relationship Id="rId43" Type="http://schemas.openxmlformats.org/officeDocument/2006/relationships/hyperlink" Target="http://www.sec.gov/Archives/edgar/data/866273/000119312512419606/d410615ddef14a.htm" TargetMode="External"/><Relationship Id="rId44" Type="http://schemas.openxmlformats.org/officeDocument/2006/relationships/hyperlink" Target="http://www.sec.gov/Archives/edgar/data/866273/000086627314000094/proxystatementfiscal2014.htm" TargetMode="External"/><Relationship Id="rId45" Type="http://schemas.openxmlformats.org/officeDocument/2006/relationships/hyperlink" Target="http://www.sec.gov/Archives/edgar/data/866273/000086627316000241/exhibit101-mtrxx2016x9x30x.htm" TargetMode="External"/><Relationship Id="rId46" Type="http://schemas.openxmlformats.org/officeDocument/2006/relationships/hyperlink" Target="http://www.sec.gov/Archives/edgar/data/866273/000086627316000241/exhibit102-mtrxx2016x9x30x.htm" TargetMode="External"/><Relationship Id="rId47" Type="http://schemas.openxmlformats.org/officeDocument/2006/relationships/hyperlink" Target="http://www.sec.gov/Archives/edgar/data/866273/000086627317000006/exhibit102-mtrxx2016x12x31.htm" TargetMode="External"/><Relationship Id="rId48" Type="http://schemas.openxmlformats.org/officeDocument/2006/relationships/hyperlink" Target="http://www.sec.gov/Archives/edgar/data/866273/000086627316000248/exhibit10-formofamendedand.htm" TargetMode="External"/><Relationship Id="rId49" Type="http://schemas.openxmlformats.org/officeDocument/2006/relationships/hyperlink" Target="http://www.sec.gov/Archives/edgar/data/866273/000119312509003061/dex101.htm" TargetMode="External"/><Relationship Id="rId50" Type="http://schemas.openxmlformats.org/officeDocument/2006/relationships/hyperlink" Target="http://www.sec.gov/Archives/edgar/data/866273/000119312512462895/d411459dex10.htm" TargetMode="External"/><Relationship Id="rId51" Type="http://schemas.openxmlformats.org/officeDocument/2006/relationships/hyperlink" Target="http://www.sec.gov/Archives/edgar/data/866273/000086627317000018/exhibit101fourthamendedand.htm" TargetMode="External"/><Relationship Id="rId52" Type="http://schemas.openxmlformats.org/officeDocument/2006/relationships/hyperlink" Target="http://www.sec.gov/Archives/edgar/data/866273/000086627317000122/exhibit101firstamendmentto.htm" TargetMode="External"/><Relationship Id="rId53" Type="http://schemas.openxmlformats.org/officeDocument/2006/relationships/hyperlink" Target="http://www.sec.gov/Archives/edgar/data/866273/000086627315000036/exhibit101-mtrxx2015x06x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2019-12-28T19:29:21Z</dcterms:created>
  <dcterms:modified xsi:type="dcterms:W3CDTF">2019-12-28T19:29:21Z</dcterms:modified>
</cp:coreProperties>
</file>