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683260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ind w:left="40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_______________________________________</w:t>
      </w:r>
    </w:p>
    <w:p>
      <w:pPr>
        <w:jc w:val="center"/>
        <w:ind w:right="-119"/>
        <w:spacing w:after="0"/>
        <w:rPr>
          <w:sz w:val="20"/>
          <w:szCs w:val="20"/>
          <w:color w:val="auto"/>
        </w:rPr>
      </w:pPr>
      <w:r>
        <w:rPr>
          <w:rFonts w:ascii="Arial" w:cs="Arial" w:eastAsia="Arial" w:hAnsi="Arial"/>
          <w:sz w:val="14"/>
          <w:szCs w:val="14"/>
          <w:color w:val="auto"/>
        </w:rPr>
        <w:t>(Mark One)</w:t>
      </w:r>
    </w:p>
    <w:p>
      <w:pPr>
        <w:spacing w:after="0" w:line="21" w:lineRule="exact"/>
        <w:rPr>
          <w:sz w:val="24"/>
          <w:szCs w:val="24"/>
          <w:color w:val="auto"/>
        </w:rPr>
      </w:pPr>
    </w:p>
    <w:p>
      <w:pPr>
        <w:ind w:left="1820" w:hanging="449"/>
        <w:spacing w:after="0"/>
        <w:tabs>
          <w:tab w:leader="none" w:pos="18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5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1820" w:hanging="449"/>
        <w:spacing w:after="0"/>
        <w:tabs>
          <w:tab w:leader="none" w:pos="182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55" w:lineRule="exact"/>
        <w:rPr>
          <w:sz w:val="24"/>
          <w:szCs w:val="24"/>
          <w:color w:val="auto"/>
        </w:rPr>
      </w:pPr>
    </w:p>
    <w:p>
      <w:pPr>
        <w:ind w:left="38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3933190</wp:posOffset>
            </wp:positionH>
            <wp:positionV relativeFrom="paragraph">
              <wp:posOffset>-7620</wp:posOffset>
            </wp:positionV>
            <wp:extent cx="780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1-15461</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133"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MATRIX SERVICE COMPANY</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120"/>
          </w:cols>
          <w:pgMar w:left="320" w:top="476" w:right="459" w:bottom="1440" w:gutter="0" w:footer="0" w:header="0"/>
        </w:sectPr>
      </w:pPr>
    </w:p>
    <w:p>
      <w:pPr>
        <w:spacing w:after="0" w:line="135" w:lineRule="exact"/>
        <w:rPr>
          <w:sz w:val="24"/>
          <w:szCs w:val="24"/>
          <w:color w:val="auto"/>
        </w:rPr>
      </w:pPr>
    </w:p>
    <w:p>
      <w:pPr>
        <w:ind w:left="25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50" w:lineRule="exact"/>
        <w:rPr>
          <w:sz w:val="24"/>
          <w:szCs w:val="24"/>
          <w:color w:val="auto"/>
        </w:rPr>
      </w:pPr>
    </w:p>
    <w:p>
      <w:pPr>
        <w:sectPr>
          <w:pgSz w:w="11900" w:h="16838" w:orient="portrait"/>
          <w:cols w:equalWidth="0" w:num="2">
            <w:col w:w="7260" w:space="720"/>
            <w:col w:w="3140"/>
          </w:cols>
          <w:pgMar w:left="320" w:top="476" w:right="459" w:bottom="1440" w:gutter="0" w:footer="0" w:header="0"/>
          <w:type w:val="continuous"/>
        </w:sectPr>
      </w:pPr>
    </w:p>
    <w:p>
      <w:pPr>
        <w:ind w:left="22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83" w:lineRule="exact"/>
        <w:rPr>
          <w:sz w:val="24"/>
          <w:szCs w:val="24"/>
          <w:color w:val="auto"/>
        </w:rPr>
      </w:pPr>
    </w:p>
    <w:p>
      <w:pPr>
        <w:sectPr>
          <w:pgSz w:w="11900" w:h="16838" w:orient="portrait"/>
          <w:cols w:equalWidth="0" w:num="2">
            <w:col w:w="6600" w:space="720"/>
            <w:col w:w="3800"/>
          </w:cols>
          <w:pgMar w:left="320" w:top="476" w:right="4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w:t>
      </w:r>
    </w:p>
    <w:p>
      <w:pPr>
        <w:spacing w:after="0" w:line="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52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360" w:type="dxa"/>
            <w:vAlign w:val="bottom"/>
            <w:gridSpan w:val="3"/>
          </w:tcPr>
          <w:p>
            <w:pPr>
              <w:jc w:val="center"/>
              <w:ind w:right="1340"/>
              <w:spacing w:after="0"/>
              <w:rPr>
                <w:sz w:val="20"/>
                <w:szCs w:val="20"/>
                <w:color w:val="auto"/>
              </w:rPr>
            </w:pPr>
            <w:r>
              <w:rPr>
                <w:rFonts w:ascii="Arial" w:cs="Arial" w:eastAsia="Arial" w:hAnsi="Arial"/>
                <w:sz w:val="18"/>
                <w:szCs w:val="18"/>
                <w:color w:val="auto"/>
                <w:w w:val="89"/>
              </w:rPr>
              <w:t>Common Stock, par value $0.01 per share</w:t>
            </w:r>
          </w:p>
        </w:tc>
        <w:tc>
          <w:tcPr>
            <w:tcW w:w="2060" w:type="dxa"/>
            <w:vAlign w:val="bottom"/>
            <w:gridSpan w:val="2"/>
          </w:tcPr>
          <w:p>
            <w:pPr>
              <w:jc w:val="center"/>
              <w:ind w:right="580"/>
              <w:spacing w:after="0"/>
              <w:rPr>
                <w:sz w:val="20"/>
                <w:szCs w:val="20"/>
                <w:color w:val="auto"/>
              </w:rPr>
            </w:pPr>
            <w:r>
              <w:rPr>
                <w:rFonts w:ascii="Arial" w:cs="Arial" w:eastAsia="Arial" w:hAnsi="Arial"/>
                <w:sz w:val="18"/>
                <w:szCs w:val="18"/>
                <w:color w:val="auto"/>
              </w:rPr>
              <w:t>MTRX</w:t>
            </w:r>
          </w:p>
        </w:tc>
        <w:tc>
          <w:tcPr>
            <w:tcW w:w="60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48" w:lineRule="exact"/>
        <w:rPr>
          <w:sz w:val="24"/>
          <w:szCs w:val="24"/>
          <w:color w:val="auto"/>
        </w:rPr>
      </w:pPr>
    </w:p>
    <w:p>
      <w:pPr>
        <w:ind w:right="18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48" w:lineRule="exact"/>
        <w:rPr>
          <w:sz w:val="24"/>
          <w:szCs w:val="24"/>
          <w:color w:val="auto"/>
        </w:rPr>
      </w:pPr>
    </w:p>
    <w:p>
      <w:pPr>
        <w:ind w:right="240"/>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47"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27" w:lineRule="exact"/>
        <w:rPr>
          <w:sz w:val="24"/>
          <w:szCs w:val="24"/>
          <w:color w:val="auto"/>
        </w:rPr>
      </w:pPr>
    </w:p>
    <w:p>
      <w:pPr>
        <w:ind w:right="4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spacing w:after="0" w:line="242" w:lineRule="exact"/>
        <w:tabs>
          <w:tab w:leader="none" w:pos="8340" w:val="left"/>
          <w:tab w:leader="none" w:pos="90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142" w:lineRule="exact"/>
        <w:rPr>
          <w:sz w:val="24"/>
          <w:szCs w:val="24"/>
          <w:color w:val="auto"/>
        </w:rPr>
      </w:pPr>
    </w:p>
    <w:p>
      <w:pPr>
        <w:ind w:right="760"/>
        <w:spacing w:after="0" w:line="277" w:lineRule="auto"/>
        <w:rPr>
          <w:sz w:val="20"/>
          <w:szCs w:val="20"/>
          <w:color w:val="auto"/>
        </w:rPr>
      </w:pPr>
      <w:r>
        <w:rPr>
          <w:rFonts w:ascii="Arial" w:cs="Arial" w:eastAsia="Arial" w:hAnsi="Arial"/>
          <w:sz w:val="18"/>
          <w:szCs w:val="18"/>
          <w:color w:val="auto"/>
        </w:rPr>
        <w:t>As of February 7, 2022 there were 27,888,217 shares of the Company’s common stock, $0.01 par value per share, issued and 26,783,265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567690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476" w:right="4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3"/>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0" w:type="dxa"/>
            <w:vAlign w:val="bottom"/>
            <w:tcBorders>
              <w:bottom w:val="single" w:sz="8" w:color="0000FF"/>
            </w:tcBorders>
          </w:tcPr>
          <w:p>
            <w:pPr>
              <w:spacing w:after="0" w:line="201" w:lineRule="exact"/>
              <w:rPr>
                <w:rFonts w:ascii="Arial" w:cs="Arial" w:eastAsia="Arial" w:hAnsi="Arial"/>
                <w:sz w:val="18"/>
                <w:szCs w:val="18"/>
                <w:b w:val="1"/>
                <w:bCs w:val="1"/>
                <w:color w:val="0000FF"/>
                <w:w w:val="98"/>
              </w:rPr>
            </w:pPr>
            <w:hyperlink w:anchor="page2">
              <w:r>
                <w:rPr>
                  <w:rFonts w:ascii="Arial" w:cs="Arial" w:eastAsia="Arial" w:hAnsi="Arial"/>
                  <w:sz w:val="18"/>
                  <w:szCs w:val="18"/>
                  <w:b w:val="1"/>
                  <w:bCs w:val="1"/>
                  <w:color w:val="0000FF"/>
                  <w:w w:val="98"/>
                </w:rPr>
                <w:t>PART I</w:t>
              </w:r>
            </w:hyperlink>
          </w:p>
        </w:tc>
        <w:tc>
          <w:tcPr>
            <w:tcW w:w="38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60" w:type="dxa"/>
            <w:vAlign w:val="bottom"/>
            <w:gridSpan w:val="9"/>
          </w:tcPr>
          <w:p>
            <w:pPr>
              <w:jc w:val="center"/>
              <w:ind w:right="2400"/>
              <w:spacing w:after="0" w:line="201" w:lineRule="exact"/>
              <w:rPr>
                <w:sz w:val="20"/>
                <w:szCs w:val="20"/>
                <w:color w:val="auto"/>
              </w:rPr>
            </w:pPr>
            <w:r>
              <w:rPr>
                <w:rFonts w:ascii="Arial" w:cs="Arial" w:eastAsia="Arial" w:hAnsi="Arial"/>
                <w:sz w:val="18"/>
                <w:szCs w:val="18"/>
                <w:b w:val="1"/>
                <w:bCs w:val="1"/>
                <w:color w:val="auto"/>
              </w:rPr>
              <w:t>FINANCIAL INFORMATION</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6860" w:type="dxa"/>
            <w:vAlign w:val="bottom"/>
            <w:gridSpan w:val="9"/>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8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for the Three and Six Months Ended December 31, 2021 and 2020</w:t>
              </w:r>
            </w:hyperlink>
          </w:p>
        </w:tc>
        <w:tc>
          <w:tcPr>
            <w:tcW w:w="500" w:type="dxa"/>
            <w:vAlign w:val="bottom"/>
            <w:gridSpan w:val="2"/>
          </w:tcPr>
          <w:p>
            <w:pPr>
              <w:jc w:val="center"/>
              <w:ind w:left="31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80" w:type="dxa"/>
            <w:vAlign w:val="bottom"/>
            <w:gridSpan w:val="17"/>
          </w:tcPr>
          <w:p>
            <w:pPr>
              <w:spacing w:after="0"/>
              <w:rPr>
                <w:rFonts w:ascii="Arial" w:cs="Arial" w:eastAsia="Arial" w:hAnsi="Arial"/>
                <w:sz w:val="18"/>
                <w:szCs w:val="18"/>
                <w:color w:val="0000FF"/>
                <w:w w:val="92"/>
              </w:rPr>
            </w:pPr>
            <w:hyperlink w:anchor="page3">
              <w:r>
                <w:rPr>
                  <w:rFonts w:ascii="Arial" w:cs="Arial" w:eastAsia="Arial" w:hAnsi="Arial"/>
                  <w:sz w:val="18"/>
                  <w:szCs w:val="18"/>
                  <w:color w:val="0000FF"/>
                  <w:w w:val="92"/>
                </w:rPr>
                <w:t>Condensed Consolidated Statements of Comprehensive Income for the Three and Six Months Ended December 31, 2021 and</w:t>
              </w:r>
            </w:hyperlink>
          </w:p>
        </w:tc>
        <w:tc>
          <w:tcPr>
            <w:tcW w:w="400" w:type="dxa"/>
            <w:vAlign w:val="bottom"/>
            <w:vMerge w:val="restart"/>
          </w:tcPr>
          <w:p>
            <w:pPr>
              <w:spacing w:after="0"/>
              <w:rPr>
                <w:sz w:val="22"/>
                <w:szCs w:val="22"/>
                <w:color w:val="auto"/>
              </w:rPr>
            </w:pPr>
          </w:p>
        </w:tc>
        <w:tc>
          <w:tcPr>
            <w:tcW w:w="100" w:type="dxa"/>
            <w:vAlign w:val="bottom"/>
            <w:vMerge w:val="restart"/>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3">
              <w:r>
                <w:rPr>
                  <w:rFonts w:ascii="Arial" w:cs="Arial" w:eastAsia="Arial" w:hAnsi="Arial"/>
                  <w:sz w:val="18"/>
                  <w:szCs w:val="18"/>
                  <w:color w:val="0000FF"/>
                  <w:w w:val="84"/>
                </w:rPr>
                <w:t>2020</w:t>
              </w:r>
            </w:hyperlink>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14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Balance Sheets as of December 31, 2021 and June 30, 2021</w:t>
              </w:r>
            </w:hyperlink>
          </w:p>
        </w:tc>
        <w:tc>
          <w:tcPr>
            <w:tcW w:w="3140" w:type="dxa"/>
            <w:vAlign w:val="bottom"/>
            <w:gridSpan w:val="6"/>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8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Six Months Ended December 31, 2021 and 2020</w:t>
              </w:r>
            </w:hyperlink>
          </w:p>
        </w:tc>
        <w:tc>
          <w:tcPr>
            <w:tcW w:w="500" w:type="dxa"/>
            <w:vAlign w:val="bottom"/>
            <w:gridSpan w:val="2"/>
          </w:tcPr>
          <w:p>
            <w:pPr>
              <w:jc w:val="center"/>
              <w:ind w:left="311"/>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80" w:type="dxa"/>
            <w:vAlign w:val="bottom"/>
            <w:gridSpan w:val="17"/>
          </w:tcPr>
          <w:p>
            <w:pPr>
              <w:spacing w:after="0"/>
              <w:rPr>
                <w:rFonts w:ascii="Arial" w:cs="Arial" w:eastAsia="Arial" w:hAnsi="Arial"/>
                <w:sz w:val="18"/>
                <w:szCs w:val="18"/>
                <w:color w:val="0000FF"/>
                <w:w w:val="93"/>
              </w:rPr>
            </w:pPr>
            <w:hyperlink w:anchor="page9">
              <w:r>
                <w:rPr>
                  <w:rFonts w:ascii="Arial" w:cs="Arial" w:eastAsia="Arial" w:hAnsi="Arial"/>
                  <w:sz w:val="18"/>
                  <w:szCs w:val="18"/>
                  <w:color w:val="0000FF"/>
                  <w:w w:val="93"/>
                </w:rPr>
                <w:t>Condensed Consolidated Statements of Changes in Stockholders’ Equity for the Three and Six Months Ended December 31,</w:t>
              </w:r>
            </w:hyperlink>
          </w:p>
        </w:tc>
        <w:tc>
          <w:tcPr>
            <w:tcW w:w="500" w:type="dxa"/>
            <w:vAlign w:val="bottom"/>
            <w:gridSpan w:val="2"/>
            <w:vMerge w:val="restart"/>
          </w:tcPr>
          <w:p>
            <w:pPr>
              <w:jc w:val="center"/>
              <w:ind w:left="311"/>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7</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9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9">
              <w:r>
                <w:rPr>
                  <w:rFonts w:ascii="Arial" w:cs="Arial" w:eastAsia="Arial" w:hAnsi="Arial"/>
                  <w:sz w:val="18"/>
                  <w:szCs w:val="18"/>
                  <w:color w:val="0000FF"/>
                </w:rPr>
                <w:t>2021 and 2020</w:t>
              </w:r>
            </w:hyperlink>
          </w:p>
        </w:tc>
        <w:tc>
          <w:tcPr>
            <w:tcW w:w="320" w:type="dxa"/>
            <w:vAlign w:val="bottom"/>
            <w:gridSpan w:val="2"/>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5280" w:type="dxa"/>
            <w:vAlign w:val="bottom"/>
            <w:gridSpan w:val="8"/>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9</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Management’s Discussion and Analysis of Financial Condition and Results of Operations</w:t>
              </w:r>
            </w:hyperlink>
          </w:p>
        </w:tc>
        <w:tc>
          <w:tcPr>
            <w:tcW w:w="2820" w:type="dxa"/>
            <w:vAlign w:val="bottom"/>
            <w:gridSpan w:val="5"/>
          </w:tcPr>
          <w:p>
            <w:pPr>
              <w:spacing w:after="0"/>
              <w:rPr>
                <w:sz w:val="22"/>
                <w:szCs w:val="22"/>
                <w:color w:val="auto"/>
              </w:rPr>
            </w:pPr>
          </w:p>
        </w:tc>
        <w:tc>
          <w:tcPr>
            <w:tcW w:w="500" w:type="dxa"/>
            <w:vAlign w:val="bottom"/>
            <w:gridSpan w:val="2"/>
          </w:tcPr>
          <w:p>
            <w:pPr>
              <w:jc w:val="center"/>
              <w:ind w:left="231"/>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21</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Quantitative and Qualitative Disclosures About Market Risk</w:t>
              </w:r>
            </w:hyperlink>
          </w:p>
        </w:tc>
        <w:tc>
          <w:tcPr>
            <w:tcW w:w="2120" w:type="dxa"/>
            <w:vAlign w:val="bottom"/>
            <w:gridSpan w:val="2"/>
          </w:tcPr>
          <w:p>
            <w:pPr>
              <w:spacing w:after="0"/>
              <w:rPr>
                <w:sz w:val="22"/>
                <w:szCs w:val="22"/>
                <w:color w:val="auto"/>
              </w:rPr>
            </w:pPr>
          </w:p>
        </w:tc>
        <w:tc>
          <w:tcPr>
            <w:tcW w:w="2820" w:type="dxa"/>
            <w:vAlign w:val="bottom"/>
            <w:gridSpan w:val="5"/>
          </w:tcPr>
          <w:p>
            <w:pPr>
              <w:spacing w:after="0"/>
              <w:rPr>
                <w:sz w:val="22"/>
                <w:szCs w:val="22"/>
                <w:color w:val="auto"/>
              </w:rPr>
            </w:pPr>
          </w:p>
        </w:tc>
        <w:tc>
          <w:tcPr>
            <w:tcW w:w="500" w:type="dxa"/>
            <w:vAlign w:val="bottom"/>
            <w:gridSpan w:val="2"/>
          </w:tcPr>
          <w:p>
            <w:pPr>
              <w:jc w:val="center"/>
              <w:ind w:left="231"/>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4940" w:type="dxa"/>
            <w:vAlign w:val="bottom"/>
            <w:gridSpan w:val="7"/>
          </w:tcPr>
          <w:p>
            <w:pPr>
              <w:spacing w:after="0"/>
              <w:rPr>
                <w:sz w:val="22"/>
                <w:szCs w:val="22"/>
                <w:color w:val="auto"/>
              </w:rPr>
            </w:pPr>
          </w:p>
        </w:tc>
        <w:tc>
          <w:tcPr>
            <w:tcW w:w="500" w:type="dxa"/>
            <w:vAlign w:val="bottom"/>
            <w:gridSpan w:val="2"/>
          </w:tcPr>
          <w:p>
            <w:pPr>
              <w:jc w:val="center"/>
              <w:ind w:left="231"/>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80" w:type="dxa"/>
            <w:vAlign w:val="bottom"/>
            <w:gridSpan w:val="4"/>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w:t>
              </w:r>
            </w:hyperlink>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60" w:type="dxa"/>
            <w:vAlign w:val="bottom"/>
            <w:gridSpan w:val="9"/>
          </w:tcPr>
          <w:p>
            <w:pPr>
              <w:jc w:val="center"/>
              <w:ind w:right="2400"/>
              <w:spacing w:after="0"/>
              <w:rPr>
                <w:sz w:val="20"/>
                <w:szCs w:val="20"/>
                <w:color w:val="auto"/>
              </w:rPr>
            </w:pPr>
            <w:r>
              <w:rPr>
                <w:rFonts w:ascii="Arial" w:cs="Arial" w:eastAsia="Arial" w:hAnsi="Arial"/>
                <w:sz w:val="18"/>
                <w:szCs w:val="18"/>
                <w:b w:val="1"/>
                <w:bCs w:val="1"/>
                <w:color w:val="auto"/>
              </w:rPr>
              <w:t>OTHER INFORMATION</w:t>
            </w:r>
          </w:p>
        </w:tc>
        <w:tc>
          <w:tcPr>
            <w:tcW w:w="4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1.</w:t>
            </w:r>
          </w:p>
        </w:tc>
        <w:tc>
          <w:tcPr>
            <w:tcW w:w="320" w:type="dxa"/>
            <w:vAlign w:val="bottom"/>
            <w:gridSpan w:val="2"/>
          </w:tcPr>
          <w:p>
            <w:pPr>
              <w:spacing w:after="0"/>
              <w:rPr>
                <w:sz w:val="22"/>
                <w:szCs w:val="22"/>
                <w:color w:val="auto"/>
              </w:rPr>
            </w:pPr>
          </w:p>
        </w:tc>
        <w:tc>
          <w:tcPr>
            <w:tcW w:w="1320" w:type="dxa"/>
            <w:vAlign w:val="bottom"/>
            <w:gridSpan w:val="5"/>
          </w:tcPr>
          <w:p>
            <w:pPr>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Legal Proceedings</w:t>
              </w:r>
            </w:hyperlink>
          </w:p>
        </w:tc>
        <w:tc>
          <w:tcPr>
            <w:tcW w:w="7960" w:type="dxa"/>
            <w:vAlign w:val="bottom"/>
            <w:gridSpan w:val="12"/>
          </w:tcPr>
          <w:p>
            <w:pPr>
              <w:spacing w:after="0"/>
              <w:rPr>
                <w:sz w:val="22"/>
                <w:szCs w:val="22"/>
                <w:color w:val="auto"/>
              </w:rPr>
            </w:pPr>
          </w:p>
        </w:tc>
        <w:tc>
          <w:tcPr>
            <w:tcW w:w="500" w:type="dxa"/>
            <w:vAlign w:val="bottom"/>
            <w:gridSpan w:val="2"/>
          </w:tcPr>
          <w:p>
            <w:pPr>
              <w:jc w:val="center"/>
              <w:ind w:left="231"/>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7960" w:type="dxa"/>
            <w:vAlign w:val="bottom"/>
            <w:gridSpan w:val="12"/>
          </w:tcPr>
          <w:p>
            <w:pPr>
              <w:spacing w:after="0"/>
              <w:rPr>
                <w:sz w:val="22"/>
                <w:szCs w:val="22"/>
                <w:color w:val="auto"/>
              </w:rPr>
            </w:pPr>
          </w:p>
        </w:tc>
        <w:tc>
          <w:tcPr>
            <w:tcW w:w="500" w:type="dxa"/>
            <w:vAlign w:val="bottom"/>
            <w:gridSpan w:val="2"/>
          </w:tcPr>
          <w:p>
            <w:pPr>
              <w:jc w:val="center"/>
              <w:ind w:left="231"/>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2.</w:t>
            </w:r>
          </w:p>
        </w:tc>
        <w:tc>
          <w:tcPr>
            <w:tcW w:w="9280" w:type="dxa"/>
            <w:vAlign w:val="bottom"/>
            <w:gridSpan w:val="1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Unregistered Sales of Equity Securities and Use of Proceeds</w:t>
              </w:r>
            </w:hyperlink>
          </w:p>
        </w:tc>
        <w:tc>
          <w:tcPr>
            <w:tcW w:w="500" w:type="dxa"/>
            <w:vAlign w:val="bottom"/>
            <w:gridSpan w:val="2"/>
          </w:tcPr>
          <w:p>
            <w:pPr>
              <w:jc w:val="center"/>
              <w:ind w:left="231"/>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Defaults Upon Senior Securities</w:t>
              </w:r>
            </w:hyperlink>
          </w:p>
        </w:tc>
        <w:tc>
          <w:tcPr>
            <w:tcW w:w="4940" w:type="dxa"/>
            <w:vAlign w:val="bottom"/>
            <w:gridSpan w:val="7"/>
          </w:tcPr>
          <w:p>
            <w:pPr>
              <w:spacing w:after="0"/>
              <w:rPr>
                <w:sz w:val="22"/>
                <w:szCs w:val="22"/>
                <w:color w:val="auto"/>
              </w:rPr>
            </w:pPr>
          </w:p>
        </w:tc>
        <w:tc>
          <w:tcPr>
            <w:tcW w:w="500" w:type="dxa"/>
            <w:vAlign w:val="bottom"/>
            <w:gridSpan w:val="2"/>
          </w:tcPr>
          <w:p>
            <w:pPr>
              <w:jc w:val="center"/>
              <w:ind w:left="231"/>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39</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7"/>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Mine Safety Disclosures</w:t>
              </w:r>
            </w:hyperlink>
          </w:p>
        </w:tc>
        <w:tc>
          <w:tcPr>
            <w:tcW w:w="6960" w:type="dxa"/>
            <w:vAlign w:val="bottom"/>
            <w:gridSpan w:val="10"/>
          </w:tcPr>
          <w:p>
            <w:pPr>
              <w:spacing w:after="0"/>
              <w:rPr>
                <w:sz w:val="22"/>
                <w:szCs w:val="22"/>
                <w:color w:val="auto"/>
              </w:rPr>
            </w:pPr>
          </w:p>
        </w:tc>
        <w:tc>
          <w:tcPr>
            <w:tcW w:w="500" w:type="dxa"/>
            <w:vAlign w:val="bottom"/>
            <w:gridSpan w:val="2"/>
          </w:tcPr>
          <w:p>
            <w:pPr>
              <w:jc w:val="center"/>
              <w:ind w:left="231"/>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39</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520" w:type="dxa"/>
            <w:vAlign w:val="bottom"/>
            <w:gridSpan w:val="11"/>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5"/>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Other Information</w:t>
              </w:r>
            </w:hyperlink>
          </w:p>
        </w:tc>
        <w:tc>
          <w:tcPr>
            <w:tcW w:w="440" w:type="dxa"/>
            <w:vAlign w:val="bottom"/>
          </w:tcPr>
          <w:p>
            <w:pPr>
              <w:spacing w:after="0"/>
              <w:rPr>
                <w:sz w:val="22"/>
                <w:szCs w:val="22"/>
                <w:color w:val="auto"/>
              </w:rPr>
            </w:pPr>
          </w:p>
        </w:tc>
        <w:tc>
          <w:tcPr>
            <w:tcW w:w="7520" w:type="dxa"/>
            <w:vAlign w:val="bottom"/>
            <w:gridSpan w:val="11"/>
          </w:tcPr>
          <w:p>
            <w:pPr>
              <w:spacing w:after="0"/>
              <w:rPr>
                <w:sz w:val="22"/>
                <w:szCs w:val="22"/>
                <w:color w:val="auto"/>
              </w:rPr>
            </w:pPr>
          </w:p>
        </w:tc>
        <w:tc>
          <w:tcPr>
            <w:tcW w:w="500" w:type="dxa"/>
            <w:vAlign w:val="bottom"/>
            <w:gridSpan w:val="2"/>
          </w:tcPr>
          <w:p>
            <w:pPr>
              <w:jc w:val="center"/>
              <w:ind w:left="231"/>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39</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960" w:type="dxa"/>
            <w:vAlign w:val="bottom"/>
            <w:gridSpan w:val="1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Exhibits</w:t>
              </w:r>
            </w:hyperlink>
          </w:p>
        </w:tc>
        <w:tc>
          <w:tcPr>
            <w:tcW w:w="720" w:type="dxa"/>
            <w:vAlign w:val="bottom"/>
            <w:gridSpan w:val="3"/>
          </w:tcPr>
          <w:p>
            <w:pPr>
              <w:spacing w:after="0"/>
              <w:rPr>
                <w:sz w:val="22"/>
                <w:szCs w:val="22"/>
                <w:color w:val="auto"/>
              </w:rPr>
            </w:pPr>
          </w:p>
        </w:tc>
        <w:tc>
          <w:tcPr>
            <w:tcW w:w="7960" w:type="dxa"/>
            <w:vAlign w:val="bottom"/>
            <w:gridSpan w:val="12"/>
          </w:tcPr>
          <w:p>
            <w:pPr>
              <w:spacing w:after="0"/>
              <w:rPr>
                <w:sz w:val="22"/>
                <w:szCs w:val="22"/>
                <w:color w:val="auto"/>
              </w:rPr>
            </w:pPr>
          </w:p>
        </w:tc>
        <w:tc>
          <w:tcPr>
            <w:tcW w:w="500" w:type="dxa"/>
            <w:vAlign w:val="bottom"/>
            <w:gridSpan w:val="2"/>
          </w:tcPr>
          <w:p>
            <w:pPr>
              <w:jc w:val="center"/>
              <w:ind w:left="231"/>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40</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Signature</w:t>
              </w:r>
            </w:hyperlink>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gridSpan w:val="2"/>
          </w:tcPr>
          <w:p>
            <w:pPr>
              <w:jc w:val="center"/>
              <w:ind w:left="231"/>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41</w:t>
              </w:r>
            </w:hyperlink>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58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w:t>
            </w:r>
          </w:p>
        </w:tc>
      </w:tr>
      <w:tr>
        <w:trPr>
          <w:trHeight w:val="134"/>
        </w:trPr>
        <w:tc>
          <w:tcPr>
            <w:tcW w:w="56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2"/>
              <w:spacing w:after="0" w:line="135"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2"/>
              <w:spacing w:after="0" w:line="135" w:lineRule="exact"/>
              <w:rPr>
                <w:sz w:val="20"/>
                <w:szCs w:val="20"/>
                <w:color w:val="auto"/>
              </w:rPr>
            </w:pPr>
            <w:r>
              <w:rPr>
                <w:rFonts w:ascii="Arial" w:cs="Arial" w:eastAsia="Arial" w:hAnsi="Arial"/>
                <w:sz w:val="14"/>
                <w:szCs w:val="14"/>
                <w:b w:val="1"/>
                <w:bCs w:val="1"/>
                <w:color w:val="auto"/>
                <w:w w:val="96"/>
              </w:rPr>
              <w:t>December 31,</w:t>
            </w:r>
          </w:p>
        </w:tc>
      </w:tr>
      <w:tr>
        <w:trPr>
          <w:trHeight w:val="188"/>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350,239</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158,758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330,359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320,576</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29,663</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34,852</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(9,914)</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rPr>
              <w:t>Interest expense (Note 5)</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 (benefit)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for federal, state and foreign income taxes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loss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Diluted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(0.29)</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26,377</w:t>
            </w: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580" w:type="dxa"/>
            <w:vAlign w:val="bottom"/>
            <w:gridSpan w:val="4"/>
          </w:tcPr>
          <w:p>
            <w:pPr>
              <w:ind w:lef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4"/>
        </w:trPr>
        <w:tc>
          <w:tcPr>
            <w:tcW w:w="56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7"/>
              <w:spacing w:after="0" w:line="135"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7"/>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56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477"/>
              <w:spacing w:after="0"/>
              <w:rPr>
                <w:sz w:val="20"/>
                <w:szCs w:val="20"/>
                <w:color w:val="auto"/>
              </w:rPr>
            </w:pPr>
            <w:r>
              <w:rPr>
                <w:rFonts w:ascii="Arial" w:cs="Arial" w:eastAsia="Arial" w:hAnsi="Arial"/>
                <w:sz w:val="18"/>
                <w:szCs w:val="18"/>
                <w:color w:val="auto"/>
                <w:w w:val="94"/>
              </w:rPr>
              <w:t>(7,628)</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Foreign currency translation gain (loss) (net of tax expense (benefit) of</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$(8) and $46 for the three and six months ended December 31, 2021,</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respectively, and $41 and $53 for the three and six months ended</w:t>
            </w: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center"/>
              <w:ind w:left="497"/>
              <w:spacing w:after="0"/>
              <w:rPr>
                <w:sz w:val="20"/>
                <w:szCs w:val="20"/>
                <w:color w:val="auto"/>
              </w:rPr>
            </w:pPr>
            <w:r>
              <w:rPr>
                <w:rFonts w:ascii="Arial" w:cs="Arial" w:eastAsia="Arial" w:hAnsi="Arial"/>
                <w:sz w:val="18"/>
                <w:szCs w:val="18"/>
                <w:color w:val="auto"/>
                <w:w w:val="88"/>
              </w:rPr>
              <w:t>1,223</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2020, respectively)</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(43,153)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center"/>
              <w:ind w:left="477"/>
              <w:spacing w:after="0"/>
              <w:rPr>
                <w:sz w:val="20"/>
                <w:szCs w:val="20"/>
                <w:color w:val="auto"/>
              </w:rPr>
            </w:pPr>
            <w:r>
              <w:rPr>
                <w:rFonts w:ascii="Arial" w:cs="Arial" w:eastAsia="Arial" w:hAnsi="Arial"/>
                <w:sz w:val="18"/>
                <w:szCs w:val="18"/>
                <w:color w:val="auto"/>
                <w:w w:val="94"/>
              </w:rPr>
              <w:t>(6,405)</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r>
      <w:tr>
        <w:trPr>
          <w:trHeight w:val="186"/>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r>
      <w:tr>
        <w:trPr>
          <w:trHeight w:val="211"/>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(Note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83,878</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Restricted cash (Note 1)</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less allowances (December 31, 2021—$547 and June 30, 2021—$898)</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148,030</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30,774</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w:t>
            </w: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16,965</w:t>
            </w: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254,737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291,219</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Land and buildings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41,633</w:t>
            </w: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Construction equipment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94,453</w:t>
            </w: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Transportation equipment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50,510</w:t>
            </w: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Office equipment and software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42,706</w:t>
            </w:r>
          </w:p>
        </w:tc>
      </w:tr>
      <w:tr>
        <w:trPr>
          <w:trHeight w:val="230"/>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property, plant and equipment - at cost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229,795</w:t>
            </w:r>
          </w:p>
        </w:tc>
      </w:tr>
      <w:tr>
        <w:trPr>
          <w:trHeight w:val="230"/>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(160,388)</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69,407</w:t>
            </w:r>
          </w:p>
        </w:tc>
      </w:tr>
    </w:tbl>
    <w:p>
      <w:pPr>
        <w:spacing w:after="0" w:line="1" w:lineRule="exact"/>
        <w:rPr>
          <w:sz w:val="20"/>
          <w:szCs w:val="20"/>
          <w:color w:val="auto"/>
        </w:rPr>
      </w:pPr>
    </w:p>
    <w:p>
      <w:pPr>
        <w:sectPr>
          <w:pgSz w:w="11900" w:h="16838" w:orient="portrait"/>
          <w:cols w:equalWidth="0" w:num="1">
            <w:col w:w="11220"/>
          </w:cols>
          <w:pgMar w:left="320" w:top="368" w:right="359" w:bottom="1440" w:gutter="0" w:footer="0" w:header="0"/>
        </w:sectPr>
      </w:pPr>
    </w:p>
    <w:p>
      <w:pPr>
        <w:ind w:left="40" w:right="1380"/>
        <w:spacing w:after="0" w:line="266" w:lineRule="auto"/>
        <w:rPr>
          <w:sz w:val="20"/>
          <w:szCs w:val="20"/>
          <w:color w:val="auto"/>
        </w:rPr>
      </w:pPr>
      <w:r>
        <w:rPr>
          <w:rFonts w:ascii="Arial" w:cs="Arial" w:eastAsia="Arial" w:hAnsi="Arial"/>
          <w:sz w:val="18"/>
          <w:szCs w:val="18"/>
          <w:color w:val="auto"/>
        </w:rPr>
        <w:t>Restricted cash, non-current (Note 1) Operating lease right-of-use assets Goodwill</w:t>
      </w:r>
    </w:p>
    <w:p>
      <w:pPr>
        <w:ind w:left="40"/>
        <w:spacing w:after="0"/>
        <w:rPr>
          <w:sz w:val="20"/>
          <w:szCs w:val="20"/>
          <w:color w:val="auto"/>
        </w:rPr>
      </w:pPr>
      <w:r>
        <w:rPr>
          <w:rFonts w:ascii="Arial" w:cs="Arial" w:eastAsia="Arial" w:hAnsi="Arial"/>
          <w:sz w:val="16"/>
          <w:szCs w:val="16"/>
          <w:color w:val="auto"/>
        </w:rPr>
        <w:t>Other intangible assets, net of accumulated amortization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income taxes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 non-current</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both"/>
        <w:ind w:left="4560"/>
        <w:spacing w:after="0"/>
        <w:tabs>
          <w:tab w:leader="none" w:pos="6240" w:val="left"/>
        </w:tabs>
        <w:rPr>
          <w:sz w:val="20"/>
          <w:szCs w:val="20"/>
          <w:color w:val="auto"/>
        </w:rPr>
      </w:pPr>
      <w:r>
        <w:rPr>
          <w:rFonts w:ascii="Arial" w:cs="Arial" w:eastAsia="Arial" w:hAnsi="Arial"/>
          <w:sz w:val="18"/>
          <w:szCs w:val="18"/>
          <w:color w:val="auto"/>
        </w:rPr>
        <w:t>25,000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-2983230</wp:posOffset>
            </wp:positionH>
            <wp:positionV relativeFrom="paragraph">
              <wp:posOffset>14605</wp:posOffset>
            </wp:positionV>
            <wp:extent cx="711517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jc w:val="both"/>
        <w:ind w:left="4560"/>
        <w:spacing w:after="0"/>
        <w:tabs>
          <w:tab w:leader="none" w:pos="5920" w:val="left"/>
        </w:tabs>
        <w:rPr>
          <w:sz w:val="20"/>
          <w:szCs w:val="20"/>
          <w:color w:val="auto"/>
        </w:rPr>
      </w:pPr>
      <w:r>
        <w:rPr>
          <w:rFonts w:ascii="Arial" w:cs="Arial" w:eastAsia="Arial" w:hAnsi="Arial"/>
          <w:sz w:val="18"/>
          <w:szCs w:val="18"/>
          <w:color w:val="auto"/>
        </w:rPr>
        <w:t>20,414</w:t>
      </w:r>
      <w:r>
        <w:rPr>
          <w:sz w:val="20"/>
          <w:szCs w:val="20"/>
          <w:color w:val="auto"/>
        </w:rPr>
        <w:tab/>
      </w:r>
      <w:r>
        <w:rPr>
          <w:rFonts w:ascii="Arial" w:cs="Arial" w:eastAsia="Arial" w:hAnsi="Arial"/>
          <w:sz w:val="18"/>
          <w:szCs w:val="18"/>
          <w:color w:val="auto"/>
        </w:rPr>
        <w:t>22,412</w:t>
      </w:r>
    </w:p>
    <w:p>
      <w:pPr>
        <w:spacing w:after="0" w:line="23" w:lineRule="exact"/>
        <w:rPr>
          <w:sz w:val="20"/>
          <w:szCs w:val="20"/>
          <w:color w:val="auto"/>
        </w:rPr>
      </w:pPr>
    </w:p>
    <w:p>
      <w:pPr>
        <w:jc w:val="both"/>
        <w:ind w:left="4560"/>
        <w:spacing w:after="0"/>
        <w:tabs>
          <w:tab w:leader="none" w:pos="5920" w:val="left"/>
        </w:tabs>
        <w:rPr>
          <w:sz w:val="20"/>
          <w:szCs w:val="20"/>
          <w:color w:val="auto"/>
        </w:rPr>
      </w:pPr>
      <w:r>
        <w:rPr>
          <w:rFonts w:ascii="Arial" w:cs="Arial" w:eastAsia="Arial" w:hAnsi="Arial"/>
          <w:sz w:val="18"/>
          <w:szCs w:val="18"/>
          <w:color w:val="auto"/>
        </w:rPr>
        <w:t>60,546</w:t>
      </w:r>
      <w:r>
        <w:rPr>
          <w:sz w:val="20"/>
          <w:szCs w:val="20"/>
          <w:color w:val="auto"/>
        </w:rPr>
        <w:tab/>
      </w:r>
      <w:r>
        <w:rPr>
          <w:rFonts w:ascii="Arial" w:cs="Arial" w:eastAsia="Arial" w:hAnsi="Arial"/>
          <w:sz w:val="18"/>
          <w:szCs w:val="18"/>
          <w:color w:val="auto"/>
        </w:rPr>
        <w:t>60,636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-2983230</wp:posOffset>
            </wp:positionH>
            <wp:positionV relativeFrom="paragraph">
              <wp:posOffset>14605</wp:posOffset>
            </wp:positionV>
            <wp:extent cx="711517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jc w:val="both"/>
        <w:ind w:left="4660"/>
        <w:spacing w:after="0"/>
        <w:tabs>
          <w:tab w:leader="none" w:pos="6000" w:val="left"/>
        </w:tabs>
        <w:rPr>
          <w:sz w:val="20"/>
          <w:szCs w:val="20"/>
          <w:color w:val="auto"/>
        </w:rPr>
      </w:pPr>
      <w:r>
        <w:rPr>
          <w:rFonts w:ascii="Arial" w:cs="Arial" w:eastAsia="Arial" w:hAnsi="Arial"/>
          <w:sz w:val="18"/>
          <w:szCs w:val="18"/>
          <w:color w:val="auto"/>
        </w:rPr>
        <w:t>5,660</w:t>
      </w:r>
      <w:r>
        <w:rPr>
          <w:sz w:val="20"/>
          <w:szCs w:val="20"/>
          <w:color w:val="auto"/>
        </w:rPr>
        <w:tab/>
      </w:r>
      <w:r>
        <w:rPr>
          <w:rFonts w:ascii="Arial" w:cs="Arial" w:eastAsia="Arial" w:hAnsi="Arial"/>
          <w:sz w:val="18"/>
          <w:szCs w:val="18"/>
          <w:color w:val="auto"/>
        </w:rPr>
        <w:t>6,614</w:t>
      </w:r>
    </w:p>
    <w:p>
      <w:pPr>
        <w:spacing w:after="0" w:line="23" w:lineRule="exact"/>
        <w:rPr>
          <w:sz w:val="20"/>
          <w:szCs w:val="20"/>
          <w:color w:val="auto"/>
        </w:rPr>
      </w:pPr>
    </w:p>
    <w:p>
      <w:pPr>
        <w:jc w:val="both"/>
        <w:ind w:left="4880"/>
        <w:spacing w:after="0"/>
        <w:tabs>
          <w:tab w:leader="none" w:pos="6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-2983230</wp:posOffset>
            </wp:positionH>
            <wp:positionV relativeFrom="paragraph">
              <wp:posOffset>14605</wp:posOffset>
            </wp:positionV>
            <wp:extent cx="711517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jc w:val="both"/>
        <w:ind w:left="4560"/>
        <w:spacing w:after="0"/>
        <w:tabs>
          <w:tab w:leader="none" w:pos="5920" w:val="left"/>
        </w:tabs>
        <w:rPr>
          <w:sz w:val="20"/>
          <w:szCs w:val="20"/>
          <w:color w:val="auto"/>
        </w:rPr>
      </w:pPr>
      <w:r>
        <w:rPr>
          <w:rFonts w:ascii="Arial" w:cs="Arial" w:eastAsia="Arial" w:hAnsi="Arial"/>
          <w:sz w:val="18"/>
          <w:szCs w:val="18"/>
          <w:color w:val="auto"/>
        </w:rPr>
        <w:t>11,472</w:t>
      </w:r>
      <w:r>
        <w:rPr>
          <w:sz w:val="20"/>
          <w:szCs w:val="20"/>
          <w:color w:val="auto"/>
        </w:rPr>
        <w:tab/>
      </w:r>
      <w:r>
        <w:rPr>
          <w:rFonts w:ascii="Arial" w:cs="Arial" w:eastAsia="Arial" w:hAnsi="Arial"/>
          <w:sz w:val="18"/>
          <w:szCs w:val="18"/>
          <w:color w:val="auto"/>
        </w:rPr>
        <w:t>11,973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2451100</wp:posOffset>
            </wp:positionH>
            <wp:positionV relativeFrom="paragraph">
              <wp:posOffset>14605</wp:posOffset>
            </wp:positionV>
            <wp:extent cx="1680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5" w:lineRule="exact"/>
        <w:rPr>
          <w:sz w:val="20"/>
          <w:szCs w:val="20"/>
          <w:color w:val="auto"/>
        </w:rPr>
      </w:pPr>
    </w:p>
    <w:p>
      <w:pPr>
        <w:jc w:val="both"/>
        <w:ind w:left="3880"/>
        <w:spacing w:after="0"/>
        <w:tabs>
          <w:tab w:leader="none" w:pos="4460" w:val="left"/>
          <w:tab w:leader="none" w:pos="5240" w:val="left"/>
          <w:tab w:leader="none" w:pos="5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440,564</w:t>
        <w:tab/>
        <w:t>$</w:t>
      </w:r>
      <w:r>
        <w:rPr>
          <w:sz w:val="20"/>
          <w:szCs w:val="20"/>
          <w:color w:val="auto"/>
        </w:rPr>
        <w:tab/>
      </w:r>
      <w:r>
        <w:rPr>
          <w:rFonts w:ascii="Arial" w:cs="Arial" w:eastAsia="Arial" w:hAnsi="Arial"/>
          <w:sz w:val="16"/>
          <w:szCs w:val="16"/>
          <w:color w:val="auto"/>
        </w:rPr>
        <w:t>467,556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2451100</wp:posOffset>
            </wp:positionH>
            <wp:positionV relativeFrom="paragraph">
              <wp:posOffset>14605</wp:posOffset>
            </wp:positionV>
            <wp:extent cx="168021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0210" cy="342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ectPr>
          <w:pgSz w:w="11900" w:h="16838" w:orient="portrait"/>
          <w:cols w:equalWidth="0" w:num="2">
            <w:col w:w="4100" w:space="620"/>
            <w:col w:w="6500"/>
          </w:cols>
          <w:pgMar w:left="320" w:top="36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60,920</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84,859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53,832</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wages and benefits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21,008</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Accrued insurance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153,402</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20,771</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liabilities, non-current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7,810</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182,017</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60" w:type="dxa"/>
            <w:vAlign w:val="bottom"/>
          </w:tcPr>
          <w:p>
            <w:pPr>
              <w:ind w:left="340"/>
              <w:spacing w:after="0" w:line="176" w:lineRule="exact"/>
              <w:rPr>
                <w:sz w:val="20"/>
                <w:szCs w:val="20"/>
                <w:color w:val="auto"/>
              </w:rPr>
            </w:pPr>
            <w:r>
              <w:rPr>
                <w:rFonts w:ascii="Arial" w:cs="Arial" w:eastAsia="Arial" w:hAnsi="Arial"/>
                <w:sz w:val="18"/>
                <w:szCs w:val="18"/>
                <w:color w:val="auto"/>
                <w:w w:val="93"/>
              </w:rPr>
              <w:t>Common stock—$.01 par value; 60,000,000 shares authorized; 27,888,217 shares issued as of December 31,</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340"/>
              <w:spacing w:after="0" w:line="176" w:lineRule="exact"/>
              <w:rPr>
                <w:sz w:val="20"/>
                <w:szCs w:val="20"/>
                <w:color w:val="auto"/>
              </w:rPr>
            </w:pPr>
            <w:r>
              <w:rPr>
                <w:rFonts w:ascii="Arial" w:cs="Arial" w:eastAsia="Arial" w:hAnsi="Arial"/>
                <w:sz w:val="18"/>
                <w:szCs w:val="18"/>
                <w:color w:val="auto"/>
                <w:w w:val="91"/>
              </w:rPr>
              <w:t>2021 and June 30, 2021; 26,773,975 and 26,549,438 shares outstanding as of December 31, 2021 and June 30,</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137,575</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132,721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175,178</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261,468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306,283</w:t>
            </w: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0"/>
              </w:rPr>
              <w:t>Less: Treasury stock, at cost — 1,114,242 shares as of December 31, 2021, and 1,338,779 shares as of June 30,</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(15,858)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(20,744)</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285,539</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467,556</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r>
      <w:tr>
        <w:trPr>
          <w:trHeight w:val="134"/>
        </w:trPr>
        <w:tc>
          <w:tcPr>
            <w:tcW w:w="8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100" w:type="dxa"/>
            <w:vAlign w:val="bottom"/>
          </w:tcPr>
          <w:p>
            <w:pPr>
              <w:jc w:val="right"/>
              <w:ind w:right="132"/>
              <w:spacing w:after="0" w:line="135" w:lineRule="exact"/>
              <w:rPr>
                <w:sz w:val="20"/>
                <w:szCs w:val="20"/>
                <w:color w:val="auto"/>
              </w:rPr>
            </w:pPr>
            <w:r>
              <w:rPr>
                <w:rFonts w:ascii="Arial" w:cs="Arial" w:eastAsia="Arial" w:hAnsi="Arial"/>
                <w:sz w:val="14"/>
                <w:szCs w:val="14"/>
                <w:b w:val="1"/>
                <w:bCs w:val="1"/>
                <w:color w:val="auto"/>
                <w:w w:val="94"/>
              </w:rPr>
              <w:t>December 31,</w:t>
            </w:r>
          </w:p>
        </w:tc>
      </w:tr>
      <w:tr>
        <w:trPr>
          <w:trHeight w:val="188"/>
        </w:trPr>
        <w:tc>
          <w:tcPr>
            <w:tcW w:w="8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(42,457)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(7,628)</w:t>
            </w: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9,287</w:t>
            </w:r>
          </w:p>
        </w:tc>
      </w:tr>
      <w:tr>
        <w:trPr>
          <w:trHeight w:val="229"/>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Operating lease impairment due to restructuring</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29"/>
        </w:trPr>
        <w:tc>
          <w:tcPr>
            <w:tcW w:w="8540" w:type="dxa"/>
            <w:vAlign w:val="bottom"/>
          </w:tcPr>
          <w:p>
            <w:pPr>
              <w:ind w:left="340"/>
              <w:spacing w:after="0"/>
              <w:rPr>
                <w:sz w:val="20"/>
                <w:szCs w:val="20"/>
                <w:color w:val="auto"/>
              </w:rPr>
            </w:pPr>
            <w:r>
              <w:rPr>
                <w:rFonts w:ascii="Arial" w:cs="Arial" w:eastAsia="Arial" w:hAnsi="Arial"/>
                <w:sz w:val="18"/>
                <w:szCs w:val="18"/>
                <w:color w:val="auto"/>
              </w:rPr>
              <w:t>Gain on sale of property, plant and equipment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(1,186)</w:t>
            </w:r>
          </w:p>
        </w:tc>
      </w:tr>
      <w:tr>
        <w:trPr>
          <w:trHeight w:val="229"/>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uncollectible accounts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Accelerated amortization of deferred debt amendment fees (Note 5)</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w:t>
            </w:r>
          </w:p>
        </w:tc>
      </w:tr>
      <w:tr>
        <w:trPr>
          <w:trHeight w:val="229"/>
        </w:trPr>
        <w:tc>
          <w:tcPr>
            <w:tcW w:w="8540" w:type="dxa"/>
            <w:vAlign w:val="bottom"/>
          </w:tcPr>
          <w:p>
            <w:pPr>
              <w:ind w:left="6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18,150</w:t>
            </w:r>
          </w:p>
        </w:tc>
      </w:tr>
      <w:tr>
        <w:trPr>
          <w:trHeight w:val="230"/>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29"/>
        </w:trPr>
        <w:tc>
          <w:tcPr>
            <w:tcW w:w="8540" w:type="dxa"/>
            <w:vAlign w:val="bottom"/>
          </w:tcPr>
          <w:p>
            <w:pPr>
              <w:ind w:left="660"/>
              <w:spacing w:after="0"/>
              <w:rPr>
                <w:sz w:val="20"/>
                <w:szCs w:val="20"/>
                <w:color w:val="auto"/>
              </w:rPr>
            </w:pPr>
            <w:r>
              <w:rPr>
                <w:rFonts w:ascii="Arial" w:cs="Arial" w:eastAsia="Arial" w:hAnsi="Arial"/>
                <w:sz w:val="18"/>
                <w:szCs w:val="18"/>
                <w:color w:val="auto"/>
              </w:rPr>
              <w:t>Other assets and liabilities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(6,095)</w:t>
            </w:r>
          </w:p>
        </w:tc>
      </w:tr>
      <w:tr>
        <w:trPr>
          <w:trHeight w:val="230"/>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(21,788)</w:t>
            </w:r>
          </w:p>
        </w:tc>
      </w:tr>
      <w:tr>
        <w:trPr>
          <w:trHeight w:val="230"/>
        </w:trPr>
        <w:tc>
          <w:tcPr>
            <w:tcW w:w="8540" w:type="dxa"/>
            <w:vAlign w:val="bottom"/>
          </w:tcPr>
          <w:p>
            <w:pPr>
              <w:ind w:left="66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(1,645)</w:t>
            </w:r>
          </w:p>
        </w:tc>
      </w:tr>
      <w:tr>
        <w:trPr>
          <w:trHeight w:val="229"/>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5,824</w:t>
            </w: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(3,068)</w:t>
            </w: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asset sales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r>
      <w:tr>
        <w:trPr>
          <w:trHeight w:val="224"/>
        </w:trPr>
        <w:tc>
          <w:tcPr>
            <w:tcW w:w="854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(1,434)</w:t>
            </w:r>
          </w:p>
        </w:tc>
      </w:tr>
    </w:tbl>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4"/>
        </w:trPr>
        <w:tc>
          <w:tcPr>
            <w:tcW w:w="8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100" w:type="dxa"/>
            <w:vAlign w:val="bottom"/>
          </w:tcPr>
          <w:p>
            <w:pPr>
              <w:jc w:val="right"/>
              <w:ind w:right="132"/>
              <w:spacing w:after="0" w:line="135"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Advances under senior secured revolving credit facility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advances under senior secured revolving credit facility</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Payment of debt amendment fees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Issuances of common stock</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financing activities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(11,845)</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 (Note 1)</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100,036</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 (Note 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93,481</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paid (received) during the period for: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54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Interest, including payment of debt amendment fees</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 on account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368" w:right="359" w:bottom="10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06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1"/>
                <w:szCs w:val="11"/>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September 30,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135,308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157,640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268,298</w:t>
            </w:r>
          </w:p>
        </w:tc>
        <w:tc>
          <w:tcPr>
            <w:tcW w:w="0" w:type="dxa"/>
            <w:vAlign w:val="bottom"/>
          </w:tcPr>
          <w:p>
            <w:pPr>
              <w:spacing w:after="0"/>
              <w:rPr>
                <w:sz w:val="1"/>
                <w:szCs w:val="1"/>
                <w:color w:val="auto"/>
              </w:rPr>
            </w:pPr>
          </w:p>
        </w:tc>
      </w:tr>
      <w:tr>
        <w:trPr>
          <w:trHeight w:val="186"/>
        </w:trPr>
        <w:tc>
          <w:tcPr>
            <w:tcW w:w="46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(24,919)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(24,919)</w:t>
            </w:r>
          </w:p>
        </w:tc>
        <w:tc>
          <w:tcPr>
            <w:tcW w:w="0" w:type="dxa"/>
            <w:vAlign w:val="bottom"/>
          </w:tcPr>
          <w:p>
            <w:pPr>
              <w:spacing w:after="0"/>
              <w:rPr>
                <w:sz w:val="1"/>
                <w:szCs w:val="1"/>
                <w:color w:val="auto"/>
              </w:rPr>
            </w:pPr>
          </w:p>
        </w:tc>
      </w:tr>
      <w:tr>
        <w:trPr>
          <w:trHeight w:val="19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6"/>
        </w:trPr>
        <w:tc>
          <w:tcPr>
            <w:tcW w:w="4600" w:type="dxa"/>
            <w:vAlign w:val="bottom"/>
          </w:tcPr>
          <w:p>
            <w:pPr>
              <w:ind w:left="20"/>
              <w:spacing w:after="0"/>
              <w:rPr>
                <w:sz w:val="20"/>
                <w:szCs w:val="20"/>
                <w:color w:val="auto"/>
              </w:rPr>
            </w:pPr>
            <w:r>
              <w:rPr>
                <w:rFonts w:ascii="Arial" w:cs="Arial" w:eastAsia="Arial" w:hAnsi="Arial"/>
                <w:sz w:val="14"/>
                <w:szCs w:val="14"/>
                <w:color w:val="auto"/>
              </w:rPr>
              <w:t>Exercise of stock options (19,550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9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deferred shares (51,319 shares)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00" w:type="dxa"/>
            <w:vAlign w:val="bottom"/>
          </w:tcPr>
          <w:p>
            <w:pPr>
              <w:ind w:left="20"/>
              <w:spacing w:after="0"/>
              <w:rPr>
                <w:sz w:val="20"/>
                <w:szCs w:val="20"/>
                <w:color w:val="auto"/>
              </w:rPr>
            </w:pPr>
            <w:r>
              <w:rPr>
                <w:rFonts w:ascii="Arial" w:cs="Arial" w:eastAsia="Arial" w:hAnsi="Arial"/>
                <w:sz w:val="14"/>
                <w:szCs w:val="14"/>
                <w:color w:val="auto"/>
              </w:rPr>
              <w:t>Treasury shares sold to Employee Stock Purchase Plan (6,078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1,866</w:t>
            </w:r>
          </w:p>
        </w:tc>
        <w:tc>
          <w:tcPr>
            <w:tcW w:w="0" w:type="dxa"/>
            <w:vAlign w:val="bottom"/>
          </w:tcPr>
          <w:p>
            <w:pPr>
              <w:spacing w:after="0"/>
              <w:rPr>
                <w:sz w:val="1"/>
                <w:szCs w:val="1"/>
                <w:color w:val="auto"/>
              </w:rPr>
            </w:pPr>
          </w:p>
        </w:tc>
      </w:tr>
      <w:tr>
        <w:trPr>
          <w:trHeight w:val="179"/>
        </w:trPr>
        <w:tc>
          <w:tcPr>
            <w:tcW w:w="4600" w:type="dxa"/>
            <w:vAlign w:val="bottom"/>
          </w:tcPr>
          <w:p>
            <w:pPr>
              <w:ind w:left="20"/>
              <w:spacing w:after="0"/>
              <w:rPr>
                <w:sz w:val="20"/>
                <w:szCs w:val="20"/>
                <w:color w:val="auto"/>
              </w:rPr>
            </w:pPr>
            <w:r>
              <w:rPr>
                <w:rFonts w:ascii="Arial" w:cs="Arial" w:eastAsia="Arial" w:hAnsi="Arial"/>
                <w:sz w:val="14"/>
                <w:szCs w:val="14"/>
                <w:color w:val="auto"/>
              </w:rPr>
              <w:t>Balances, December 31,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135,913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132,721</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(15,858)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(7,445)</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245,610</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600" w:type="dxa"/>
            <w:vAlign w:val="bottom"/>
          </w:tcPr>
          <w:p>
            <w:pPr>
              <w:ind w:left="20"/>
              <w:spacing w:after="0"/>
              <w:rPr>
                <w:sz w:val="20"/>
                <w:szCs w:val="20"/>
                <w:color w:val="auto"/>
              </w:rPr>
            </w:pPr>
            <w:r>
              <w:rPr>
                <w:rFonts w:ascii="Arial" w:cs="Arial" w:eastAsia="Arial" w:hAnsi="Arial"/>
                <w:sz w:val="14"/>
                <w:szCs w:val="14"/>
                <w:color w:val="auto"/>
              </w:rPr>
              <w:t>Balances, September 30, 2020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132,687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203,365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(22,342)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(7,969)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306,020</w:t>
            </w:r>
          </w:p>
        </w:tc>
        <w:tc>
          <w:tcPr>
            <w:tcW w:w="0" w:type="dxa"/>
            <w:vAlign w:val="bottom"/>
          </w:tcPr>
          <w:p>
            <w:pPr>
              <w:spacing w:after="0"/>
              <w:rPr>
                <w:sz w:val="1"/>
                <w:szCs w:val="1"/>
                <w:color w:val="auto"/>
              </w:rPr>
            </w:pPr>
          </w:p>
        </w:tc>
      </w:tr>
      <w:tr>
        <w:trPr>
          <w:trHeight w:val="19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(4,591)</w:t>
            </w:r>
          </w:p>
        </w:tc>
        <w:tc>
          <w:tcPr>
            <w:tcW w:w="0" w:type="dxa"/>
            <w:vAlign w:val="bottom"/>
          </w:tcPr>
          <w:p>
            <w:pPr>
              <w:spacing w:after="0"/>
              <w:rPr>
                <w:sz w:val="1"/>
                <w:szCs w:val="1"/>
                <w:color w:val="auto"/>
              </w:rPr>
            </w:pPr>
          </w:p>
        </w:tc>
      </w:tr>
      <w:tr>
        <w:trPr>
          <w:trHeight w:val="186"/>
        </w:trPr>
        <w:tc>
          <w:tcPr>
            <w:tcW w:w="460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9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deferred shares (35,615 shares)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00" w:type="dxa"/>
            <w:vAlign w:val="bottom"/>
          </w:tcPr>
          <w:p>
            <w:pPr>
              <w:ind w:left="20"/>
              <w:spacing w:after="0"/>
              <w:rPr>
                <w:sz w:val="20"/>
                <w:szCs w:val="20"/>
                <w:color w:val="auto"/>
              </w:rPr>
            </w:pPr>
            <w:r>
              <w:rPr>
                <w:rFonts w:ascii="Arial" w:cs="Arial" w:eastAsia="Arial" w:hAnsi="Arial"/>
                <w:sz w:val="14"/>
                <w:szCs w:val="14"/>
                <w:color w:val="auto"/>
              </w:rPr>
              <w:t>Treasury shares sold to Employee Stock Purchase Plan (8,585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9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Treasury shares purchased to satisfy tax withholding obligations (1,436 shares)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46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1,981</w:t>
            </w:r>
          </w:p>
        </w:tc>
        <w:tc>
          <w:tcPr>
            <w:tcW w:w="0" w:type="dxa"/>
            <w:vAlign w:val="bottom"/>
          </w:tcPr>
          <w:p>
            <w:pPr>
              <w:spacing w:after="0"/>
              <w:rPr>
                <w:sz w:val="1"/>
                <w:szCs w:val="1"/>
                <w:color w:val="auto"/>
              </w:rPr>
            </w:pPr>
          </w:p>
        </w:tc>
      </w:tr>
      <w:tr>
        <w:trPr>
          <w:trHeight w:val="208"/>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133,957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198,774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(21,571)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304,289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1"/>
                <w:szCs w:val="11"/>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1"/>
                <w:szCs w:val="11"/>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June 30,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137,575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175,178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(20,744)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(6,749)</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285,539</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(42,457)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(42,457)</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Exercise of stock options (19,550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deferred shares (268,403 shares)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Treasury shares sold to Employee Stock Purchase Plan (13,287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38"/>
        </w:trPr>
        <w:tc>
          <w:tcPr>
            <w:tcW w:w="45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Treasury shares purchased to satisfy tax withholding obligations (76,703</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3,735</w:t>
            </w:r>
          </w:p>
        </w:tc>
        <w:tc>
          <w:tcPr>
            <w:tcW w:w="0" w:type="dxa"/>
            <w:vAlign w:val="bottom"/>
          </w:tcPr>
          <w:p>
            <w:pPr>
              <w:spacing w:after="0"/>
              <w:rPr>
                <w:sz w:val="1"/>
                <w:szCs w:val="1"/>
                <w:color w:val="auto"/>
              </w:rPr>
            </w:pPr>
          </w:p>
        </w:tc>
      </w:tr>
      <w:tr>
        <w:trPr>
          <w:trHeight w:val="20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135,913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245,610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June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(29,385)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307,889</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(7,628)</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Issuance of deferred shares (514,318 shares)</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shares sold to Employee Stock Purchase Plan (17,315 shares)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35"/>
        </w:trPr>
        <w:tc>
          <w:tcPr>
            <w:tcW w:w="4540" w:type="dxa"/>
            <w:vAlign w:val="bottom"/>
          </w:tcPr>
          <w:p>
            <w:pPr>
              <w:ind w:left="20"/>
              <w:spacing w:after="0" w:line="135" w:lineRule="exact"/>
              <w:rPr>
                <w:sz w:val="20"/>
                <w:szCs w:val="20"/>
                <w:color w:val="auto"/>
              </w:rPr>
            </w:pPr>
            <w:r>
              <w:rPr>
                <w:rFonts w:ascii="Arial" w:cs="Arial" w:eastAsia="Arial" w:hAnsi="Arial"/>
                <w:sz w:val="14"/>
                <w:szCs w:val="14"/>
                <w:color w:val="auto"/>
                <w:w w:val="98"/>
              </w:rPr>
              <w:t>Treasury shares purchased to satisfy tax withholding obligations (170,201</w:t>
            </w:r>
          </w:p>
        </w:tc>
        <w:tc>
          <w:tcPr>
            <w:tcW w:w="14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(1,549)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(1,549)</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4,199</w:t>
            </w:r>
          </w:p>
        </w:tc>
        <w:tc>
          <w:tcPr>
            <w:tcW w:w="0" w:type="dxa"/>
            <w:vAlign w:val="bottom"/>
          </w:tcPr>
          <w:p>
            <w:pPr>
              <w:spacing w:after="0"/>
              <w:rPr>
                <w:sz w:val="1"/>
                <w:szCs w:val="1"/>
                <w:color w:val="auto"/>
              </w:rPr>
            </w:pPr>
          </w:p>
        </w:tc>
      </w:tr>
      <w:tr>
        <w:trPr>
          <w:trHeight w:val="179"/>
        </w:trPr>
        <w:tc>
          <w:tcPr>
            <w:tcW w:w="4540" w:type="dxa"/>
            <w:vAlign w:val="bottom"/>
          </w:tcPr>
          <w:p>
            <w:pPr>
              <w:ind w:left="20"/>
              <w:spacing w:after="0"/>
              <w:rPr>
                <w:sz w:val="20"/>
                <w:szCs w:val="20"/>
                <w:color w:val="auto"/>
              </w:rPr>
            </w:pPr>
            <w:r>
              <w:rPr>
                <w:rFonts w:ascii="Arial" w:cs="Arial" w:eastAsia="Arial" w:hAnsi="Arial"/>
                <w:sz w:val="14"/>
                <w:szCs w:val="14"/>
                <w:color w:val="auto"/>
              </w:rPr>
              <w:t>Balances, December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133,957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198,774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(21,571)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(7,150)</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304,289</w:t>
            </w: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36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consolidated financial statements should be read in conjunction with the audited financial statements for the year ended June 30, 2021, included in our Annual Report on Form 10-K for the year then ended. The results of operations for the three and six month periods ended December 31, 2021 may not necessarily be indicative of the results of operations for the full year ending June 30,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updated our significant accounting policies as a result of entering into an asset-backed credit agreement (the "ABL Facility"), which requires us to maintain a restricted cash balance (See Note 5 - Debt for more information about the ABL Facility). Our other significant accounting policies are detailed in “Note 1 - Summary of Significant Accounting Policies” of our Annual Report on Form 10-K for the year ended June 30, 2021.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ABL Facility requires us to maintain a minimum of $25.0 million of restricted cash at all times. Since this cash must be restricted through the maturity date of the ABL Facility, which is beyond one year, we have classified this restricted cash as non-current in our Condensed Consolidated Balance Sheets. In addition, we must maintain a restricted cash balance of $2.6 million in support of the purchase card program that is associated with our prior card administrator while we transition to our new card administrator. We have included this restricted cash in current assets in our Condensed Consolidated Balance Sheets since we expect to terminate the prior purchase card program during fiscal 2022.</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in the Condensed Consolidated Balance Sheets to the total cash, cash equivalents and restricted cash shown in the Condensed Consolidated Statements of Cash Flows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60" w:type="dxa"/>
            <w:vAlign w:val="bottom"/>
          </w:tcPr>
          <w:p>
            <w:pPr>
              <w:jc w:val="right"/>
              <w:ind w:right="316"/>
              <w:spacing w:after="0"/>
              <w:rPr>
                <w:sz w:val="20"/>
                <w:szCs w:val="20"/>
                <w:color w:val="auto"/>
              </w:rPr>
            </w:pPr>
            <w:r>
              <w:rPr>
                <w:rFonts w:ascii="Arial" w:cs="Arial" w:eastAsia="Arial" w:hAnsi="Arial"/>
                <w:sz w:val="14"/>
                <w:szCs w:val="14"/>
                <w:b w:val="1"/>
                <w:bCs w:val="1"/>
                <w:color w:val="auto"/>
              </w:rPr>
              <w:t>June 30,</w:t>
            </w:r>
          </w:p>
        </w:tc>
      </w:tr>
      <w:tr>
        <w:trPr>
          <w:trHeight w:val="188"/>
        </w:trPr>
        <w:tc>
          <w:tcPr>
            <w:tcW w:w="85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r>
      <w:tr>
        <w:trPr>
          <w:trHeight w:val="224"/>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83,878</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w w:val="92"/>
              </w:rPr>
              <w:t>Total cash, cash equivalents and restricted cash shown in the Condensed Consolidated Statements of Cash Flows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83,878</w:t>
            </w:r>
          </w:p>
        </w:tc>
      </w:tr>
      <w:tr>
        <w:trPr>
          <w:trHeight w:val="20"/>
        </w:trPr>
        <w:tc>
          <w:tcPr>
            <w:tcW w:w="8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$396.8 million of remaining performance obligations yet to be satisfied as of December 31, 2021. We expect to recognize $326.6 million of our remaining performance obligations as revenue within the next twelve months.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 terms with customers include the timing of billing and payments,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4"/>
                <w:szCs w:val="14"/>
                <w:color w:val="auto"/>
              </w:rPr>
            </w:pPr>
          </w:p>
        </w:tc>
        <w:tc>
          <w:tcPr>
            <w:tcW w:w="10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7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(in thousands)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w w:val="87"/>
              </w:rPr>
              <w:t>34,503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419"/>
              <w:spacing w:after="0"/>
              <w:rPr>
                <w:sz w:val="20"/>
                <w:szCs w:val="20"/>
                <w:color w:val="auto"/>
              </w:rPr>
            </w:pPr>
            <w:r>
              <w:rPr>
                <w:rFonts w:ascii="Arial" w:cs="Arial" w:eastAsia="Arial" w:hAnsi="Arial"/>
                <w:sz w:val="18"/>
                <w:szCs w:val="18"/>
                <w:color w:val="auto"/>
                <w:w w:val="90"/>
              </w:rPr>
              <w:t>30,774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17"/>
              <w:spacing w:after="0"/>
              <w:rPr>
                <w:sz w:val="20"/>
                <w:szCs w:val="20"/>
                <w:color w:val="auto"/>
              </w:rPr>
            </w:pPr>
            <w:r>
              <w:rPr>
                <w:rFonts w:ascii="Arial" w:cs="Arial" w:eastAsia="Arial" w:hAnsi="Arial"/>
                <w:sz w:val="18"/>
                <w:szCs w:val="18"/>
                <w:color w:val="auto"/>
                <w:w w:val="92"/>
              </w:rPr>
              <w:t>(84,859)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79"/>
              <w:spacing w:after="0"/>
              <w:rPr>
                <w:sz w:val="20"/>
                <w:szCs w:val="20"/>
                <w:color w:val="auto"/>
              </w:rPr>
            </w:pPr>
            <w:r>
              <w:rPr>
                <w:rFonts w:ascii="Arial" w:cs="Arial" w:eastAsia="Arial" w:hAnsi="Arial"/>
                <w:sz w:val="18"/>
                <w:szCs w:val="18"/>
                <w:color w:val="auto"/>
                <w:w w:val="92"/>
              </w:rPr>
              <w:t>(53,832)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(31,027)</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417"/>
              <w:spacing w:after="0"/>
              <w:rPr>
                <w:sz w:val="20"/>
                <w:szCs w:val="20"/>
                <w:color w:val="auto"/>
              </w:rPr>
            </w:pPr>
            <w:r>
              <w:rPr>
                <w:rFonts w:ascii="Arial" w:cs="Arial" w:eastAsia="Arial" w:hAnsi="Arial"/>
                <w:sz w:val="18"/>
                <w:szCs w:val="18"/>
                <w:color w:val="auto"/>
                <w:w w:val="92"/>
              </w:rPr>
              <w:t>(50,356)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379"/>
              <w:spacing w:after="0"/>
              <w:rPr>
                <w:sz w:val="20"/>
                <w:szCs w:val="20"/>
                <w:color w:val="auto"/>
              </w:rPr>
            </w:pPr>
            <w:r>
              <w:rPr>
                <w:rFonts w:ascii="Arial" w:cs="Arial" w:eastAsia="Arial" w:hAnsi="Arial"/>
                <w:sz w:val="18"/>
                <w:szCs w:val="18"/>
                <w:color w:val="auto"/>
                <w:w w:val="92"/>
              </w:rPr>
              <w:t>(23,058)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difference between the beginning and ending balances of our CIE and BIE primarily results from the timing of revenue recognized relative to its billings. The amount of revenue recognized during the six months ended December 31, 2021 that was included in the June 30, 2021 BIE balance was $48.4 million. This revenue consists primarily of work performed during the period on contracts with customers that had advance billings.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Progress billings in accounts receivable at December 31, 2021 and June 30, 2021 included retentions to be collected within one year of $13.6 million and $19.9 million, respectively. Contract retentions collectible beyond one year are included in other assets, non-current in the Condensed Consolidated Balance Sheet and totaled $2.1 million as of December 31, 2021 and $3.1 million as of June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disaggregated by reportable segment is presented in Note 9 - Segment Information. The following series of tables presents revenue disaggregated by geographic area where the work was performed and by contract type: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Geographic Disaggregation: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480" w:type="dxa"/>
            <w:vAlign w:val="bottom"/>
            <w:gridSpan w:val="4"/>
          </w:tcPr>
          <w:p>
            <w:pPr>
              <w:jc w:val="right"/>
              <w:ind w:right="67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5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58"/>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97"/>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5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1"/>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ind w:left="7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307,577</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Canada</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38,743</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international</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161,965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167,468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350,239</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Contract Type Disaggregation:</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5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2480" w:type="dxa"/>
            <w:vAlign w:val="bottom"/>
            <w:gridSpan w:val="4"/>
          </w:tcPr>
          <w:p>
            <w:pPr>
              <w:jc w:val="right"/>
              <w:ind w:right="67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5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58"/>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97"/>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5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0"/>
        </w:trPr>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5"/>
          </w:tcPr>
          <w:p>
            <w:pPr>
              <w:ind w:left="7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100,841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113,871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202,906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247,227</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Time and materials and other cost reimbursable contracts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103,012</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350,239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Typically, we assume more risk with fixed-price contracts since increases in costs to perform the work may not be recoverable. However, these types of contracts typically offer higher profits than time and materials and other cost reimbursable contracts when completed at or below the costs originally estimated. The profitability of time and materials and other cost reimbursable contracts is typically lower than fixed-price contracts and is usually less volatile than fixed-price contracts since the profit component is factored into the rates charged for labor, equipment and materials, or is expressed in the contract as a percentage of the reimbursable costs incurred.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results of operations for the first quarter of fiscal 2022 were materially impacted by an increase in the forecasted costs to complete a large capital project in the Utility and Power Infrastructure segment, which resulted in a decrease in gross profit of $5.9 million. The change in forecasted costs was principally due to unexpected equipment repairs during commissioning that delayed the scheduled completion and increased the estimated costs to complete. We achieved a critical performance milestone in the second quarter of fiscal 2022, which significantly reduced our financial exposure and resulted in no change to the expected outcome of the project.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results of operations were materially impacted by an increase in the costs required to complete a thermal energy storage tank repair and maintenance project in the Storage and Terminal Solutions segment, which resulted in a decrease in gross profit of $2.8 million and $5.5 million in the three and six months ended December 31, 2021, respectively. The increase in costs was primarily due to changes in repair scope, expanded client weld testing and associated schedule delays. We expect to complete these repairs in the second half of fiscal 2022.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enter into lease arrangements for real estate, construction equipment and information technology equipment in the normal course of business. Real estate leases accounted for approximately 94% of all right-of-use assets as of December 31, 2021. Most real estate and information technology equipment leases generally have fixed payments that follow an agreed upon payment schedule and have remaining lease terms ranging from less than a year to 14 years. Construction equipment leases generally have "month-to-month" lease terms that automatically renew as long as the equipment remains in use.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in the Condensed Consolidated Statements of Income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2021</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2021</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12"/>
        </w:trPr>
        <w:tc>
          <w:tcPr>
            <w:tcW w:w="258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 expense</w:t>
            </w:r>
          </w:p>
        </w:tc>
        <w:tc>
          <w:tcPr>
            <w:tcW w:w="3320" w:type="dxa"/>
            <w:vAlign w:val="bottom"/>
          </w:tcPr>
          <w:p>
            <w:pPr>
              <w:ind w:left="880"/>
              <w:spacing w:after="0"/>
              <w:rPr>
                <w:sz w:val="20"/>
                <w:szCs w:val="20"/>
                <w:color w:val="auto"/>
              </w:rPr>
            </w:pPr>
            <w:r>
              <w:rPr>
                <w:rFonts w:ascii="Arial" w:cs="Arial" w:eastAsia="Arial" w:hAnsi="Arial"/>
                <w:sz w:val="18"/>
                <w:szCs w:val="18"/>
                <w:b w:val="1"/>
                <w:bCs w:val="1"/>
                <w:color w:val="auto"/>
              </w:rPr>
              <w:t>Location of Expense</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gridSpan w:val="3"/>
          </w:tcPr>
          <w:p>
            <w:pPr>
              <w:jc w:val="right"/>
              <w:ind w:right="76"/>
              <w:spacing w:after="0"/>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Operating lease expense</w:t>
            </w:r>
          </w:p>
        </w:tc>
        <w:tc>
          <w:tcPr>
            <w:tcW w:w="120" w:type="dxa"/>
            <w:vAlign w:val="bottom"/>
            <w:tcBorders>
              <w:top w:val="single" w:sz="8" w:color="CCEEFF"/>
            </w:tcBorders>
            <w:shd w:val="clear" w:color="auto" w:fill="CCEEFF"/>
          </w:tcPr>
          <w:p>
            <w:pPr>
              <w:spacing w:after="0"/>
              <w:rPr>
                <w:sz w:val="14"/>
                <w:szCs w:val="14"/>
                <w:color w:val="auto"/>
              </w:rPr>
            </w:pPr>
          </w:p>
        </w:tc>
        <w:tc>
          <w:tcPr>
            <w:tcW w:w="33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Cost of revenue and Selling, general and</w:t>
            </w:r>
          </w:p>
        </w:tc>
        <w:tc>
          <w:tcPr>
            <w:tcW w:w="380" w:type="dxa"/>
            <w:vAlign w:val="bottom"/>
            <w:tcBorders>
              <w:top w:val="single" w:sz="8" w:color="auto"/>
            </w:tcBorders>
            <w:vMerge w:val="restart"/>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vMerge w:val="restart"/>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vMerge w:val="restart"/>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3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Short-term lease expense</w:t>
            </w:r>
            <w:r>
              <w:rPr>
                <w:rFonts w:ascii="Arial" w:cs="Arial" w:eastAsia="Arial" w:hAnsi="Arial"/>
                <w:sz w:val="23"/>
                <w:szCs w:val="23"/>
                <w:color w:val="auto"/>
                <w:vertAlign w:val="superscript"/>
              </w:rPr>
              <w:t>(1)</w:t>
            </w:r>
          </w:p>
        </w:tc>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12,248</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expense</w:t>
            </w:r>
          </w:p>
        </w:tc>
        <w:tc>
          <w:tcPr>
            <w:tcW w:w="3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17,046</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26" w:lineRule="exact"/>
        <w:rPr>
          <w:sz w:val="20"/>
          <w:szCs w:val="20"/>
          <w:color w:val="auto"/>
        </w:rPr>
      </w:pPr>
    </w:p>
    <w:p>
      <w:pPr>
        <w:ind w:left="560" w:hanging="309"/>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Primarily represents the lease expense of construction equipment that is subject to month-to-month rental agreements with expected rental durations of less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ind w:right="520"/>
        <w:spacing w:after="0" w:line="269" w:lineRule="auto"/>
        <w:rPr>
          <w:sz w:val="20"/>
          <w:szCs w:val="20"/>
          <w:color w:val="auto"/>
        </w:rPr>
      </w:pPr>
      <w:r>
        <w:rPr>
          <w:rFonts w:ascii="Arial" w:cs="Arial" w:eastAsia="Arial" w:hAnsi="Arial"/>
          <w:sz w:val="18"/>
          <w:szCs w:val="18"/>
          <w:color w:val="auto"/>
        </w:rPr>
        <w:t>The future undiscounted lease payments, as reconciled to the discounted operating lease liabilities presented in our Condensed Consolidated Balance Sheets, were as follows:</w:t>
      </w: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33"/>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Maturity Analysis: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393"/>
              <w:spacing w:after="0"/>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2022</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left="61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operating lease payments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29,309</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Imputed interest</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present value of future lease payments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24,289</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gridSpan w:val="3"/>
          </w:tcPr>
          <w:p>
            <w:pPr>
              <w:spacing w:after="0" w:line="20" w:lineRule="exact"/>
              <w:rPr>
                <w:sz w:val="1"/>
                <w:szCs w:val="1"/>
                <w:color w:val="auto"/>
              </w:rPr>
            </w:pPr>
          </w:p>
        </w:tc>
        <w:tc>
          <w:tcPr>
            <w:tcW w:w="1540" w:type="dxa"/>
            <w:vAlign w:val="bottom"/>
            <w:tcBorders>
              <w:top w:val="single" w:sz="8" w:color="CCEEFF"/>
            </w:tcBorders>
            <w:gridSpan w:val="3"/>
          </w:tcPr>
          <w:p>
            <w:pPr>
              <w:spacing w:after="0" w:line="20" w:lineRule="exact"/>
              <w:rPr>
                <w:sz w:val="1"/>
                <w:szCs w:val="1"/>
                <w:color w:val="auto"/>
              </w:rPr>
            </w:pPr>
          </w:p>
        </w:tc>
        <w:tc>
          <w:tcPr>
            <w:tcW w:w="1320" w:type="dxa"/>
            <w:vAlign w:val="bottom"/>
            <w:tcBorders>
              <w:top w:val="single" w:sz="8" w:color="CCEEFF"/>
            </w:tcBorders>
            <w:gridSpan w:val="3"/>
          </w:tcPr>
          <w:p>
            <w:pPr>
              <w:spacing w:after="0" w:line="20" w:lineRule="exact"/>
              <w:rPr>
                <w:sz w:val="1"/>
                <w:szCs w:val="1"/>
                <w:color w:val="auto"/>
              </w:rPr>
            </w:pPr>
          </w:p>
        </w:tc>
        <w:tc>
          <w:tcPr>
            <w:tcW w:w="320" w:type="dxa"/>
            <w:vAlign w:val="bottom"/>
            <w:tcBorders>
              <w:top w:val="single" w:sz="8" w:color="CCEEFF"/>
              <w:bottom w:val="single" w:sz="8" w:color="auto"/>
            </w:tcBorders>
            <w:gridSpan w:val="2"/>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11240" w:type="dxa"/>
            <w:vAlign w:val="bottom"/>
            <w:gridSpan w:val="13"/>
          </w:tcPr>
          <w:p>
            <w:pPr>
              <w:spacing w:after="0"/>
              <w:rPr>
                <w:sz w:val="20"/>
                <w:szCs w:val="20"/>
                <w:color w:val="auto"/>
              </w:rPr>
            </w:pPr>
            <w:r>
              <w:rPr>
                <w:rFonts w:ascii="Arial" w:cs="Arial" w:eastAsia="Arial" w:hAnsi="Arial"/>
                <w:sz w:val="18"/>
                <w:szCs w:val="18"/>
                <w:color w:val="auto"/>
                <w:w w:val="95"/>
              </w:rPr>
              <w:t>The following is a summary of the weighted average remaining operating lease term and weighted average discount rate as of December 31, 2021:</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years</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566"/>
        </w:trPr>
        <w:tc>
          <w:tcPr>
            <w:tcW w:w="5200" w:type="dxa"/>
            <w:vAlign w:val="bottom"/>
          </w:tcPr>
          <w:p>
            <w:pPr>
              <w:spacing w:after="0"/>
              <w:rPr>
                <w:sz w:val="20"/>
                <w:szCs w:val="20"/>
                <w:color w:val="auto"/>
              </w:rPr>
            </w:pPr>
            <w:r>
              <w:rPr>
                <w:rFonts w:ascii="Arial" w:cs="Arial" w:eastAsia="Arial" w:hAnsi="Arial"/>
                <w:sz w:val="18"/>
                <w:szCs w:val="18"/>
                <w:color w:val="auto"/>
                <w:w w:val="98"/>
              </w:rPr>
              <w:t>Supplemental cash flow information related to leases is as follows: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3"/>
          </w:tcPr>
          <w:p>
            <w:pPr>
              <w:jc w:val="center"/>
              <w:ind w:right="153"/>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33"/>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393"/>
              <w:spacing w:after="0"/>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Cash paid for amounts included in the measurement of lease liabilities: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Operating lease payments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center"/>
              <w:ind w:left="61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center"/>
              <w:ind w:left="61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809"/>
        </w:trPr>
        <w:tc>
          <w:tcPr>
            <w:tcW w:w="5200" w:type="dxa"/>
            <w:vAlign w:val="bottom"/>
          </w:tcPr>
          <w:p>
            <w:pPr>
              <w:spacing w:after="0"/>
              <w:rPr>
                <w:sz w:val="20"/>
                <w:szCs w:val="20"/>
                <w:color w:val="auto"/>
              </w:rPr>
            </w:pPr>
            <w:r>
              <w:rPr>
                <w:rFonts w:ascii="Arial" w:cs="Arial" w:eastAsia="Arial" w:hAnsi="Arial"/>
                <w:sz w:val="18"/>
                <w:szCs w:val="18"/>
                <w:b w:val="1"/>
                <w:bCs w:val="1"/>
                <w:color w:val="auto"/>
              </w:rPr>
              <w:t>Note 4 – Goodwill and Other Intangible Assets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0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40" w:type="dxa"/>
            <w:vAlign w:val="bottom"/>
            <w:gridSpan w:val="2"/>
          </w:tcPr>
          <w:p>
            <w:pPr>
              <w:spacing w:after="0"/>
              <w:rPr>
                <w:sz w:val="20"/>
                <w:szCs w:val="20"/>
                <w:color w:val="auto"/>
              </w:rPr>
            </w:pPr>
            <w:r>
              <w:rPr>
                <w:rFonts w:ascii="Arial" w:cs="Arial" w:eastAsia="Arial" w:hAnsi="Arial"/>
                <w:sz w:val="18"/>
                <w:szCs w:val="18"/>
                <w:color w:val="auto"/>
                <w:w w:val="91"/>
              </w:rPr>
              <w:t>The changes in the carrying value of goodwill by segment are as follows: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Utility and Power</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Process and Industrial</w:t>
            </w: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Storage and Terminal</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w w:val="90"/>
              </w:rPr>
              <w:t>Solutions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balance at June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60,636</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Translation adjustment</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left="613"/>
              <w:spacing w:after="0"/>
              <w:rPr>
                <w:sz w:val="20"/>
                <w:szCs w:val="20"/>
                <w:color w:val="auto"/>
              </w:rPr>
            </w:pPr>
            <w:r>
              <w:rPr>
                <w:rFonts w:ascii="Arial" w:cs="Arial" w:eastAsia="Arial" w:hAnsi="Arial"/>
                <w:sz w:val="18"/>
                <w:szCs w:val="18"/>
                <w:color w:val="auto"/>
                <w:w w:val="93"/>
              </w:rPr>
              <w:t>(55)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balance at December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60,546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26" w:lineRule="exact"/>
        <w:rPr>
          <w:sz w:val="20"/>
          <w:szCs w:val="20"/>
          <w:color w:val="auto"/>
        </w:rPr>
      </w:pPr>
    </w:p>
    <w:p>
      <w:pPr>
        <w:ind w:left="580" w:hanging="329"/>
        <w:spacing w:after="0" w:line="273" w:lineRule="auto"/>
        <w:tabs>
          <w:tab w:leader="none" w:pos="572"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test our goodwill for impairment annually as of May 31st. While there continues to be uncertainty around the near-term level of spending by some of our customers due to the impacts of the COVID-19 pandemic and the timing of the economic recovery in certain energy markets, we concluded, that based on the totality of both positive and negative factors, no impairment indicators existed at December 31, 2021. However, based on future operating performance and economic factors, including our future share price, we may need to perform an interim goodwill impairment test, which could result in an impairment.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At December 31, 2021</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122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1"/>
              </w:rPr>
              <w:t>(In thousands)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to 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Customer-based</w:t>
            </w: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0"/>
              </w:rPr>
              <w:t>6 to 15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amortizing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5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At June 30, 2021</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122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1"/>
              </w:rPr>
              <w:t>(In thousands)</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Intellectual property</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10 to 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Customer-based</w:t>
            </w:r>
          </w:p>
        </w:tc>
        <w:tc>
          <w:tcPr>
            <w:tcW w:w="15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0"/>
              </w:rPr>
              <w:t>6 to 15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amortizing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totaled $0.4 million and $1.0 million during the three and six months ended December 31, 2021 and $0.5 million and $1.1 million during the three and six months ended December 31,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remaining amortization expense related to December 31, 2021 amortizing intangible assets will be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80" w:type="dxa"/>
            <w:vAlign w:val="bottom"/>
          </w:tcPr>
          <w:p>
            <w:pPr>
              <w:ind w:left="20"/>
              <w:spacing w:after="0"/>
              <w:rPr>
                <w:sz w:val="20"/>
                <w:szCs w:val="20"/>
                <w:color w:val="auto"/>
              </w:rPr>
            </w:pPr>
            <w:r>
              <w:rPr>
                <w:rFonts w:ascii="Arial" w:cs="Arial" w:eastAsia="Arial" w:hAnsi="Arial"/>
                <w:sz w:val="18"/>
                <w:szCs w:val="18"/>
                <w:b w:val="1"/>
                <w:bCs w:val="1"/>
                <w:color w:val="auto"/>
              </w:rPr>
              <w:t>Period ending:</w:t>
            </w: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2022</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1,729</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1,096</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3"/>
        </w:trPr>
        <w:tc>
          <w:tcPr>
            <w:tcW w:w="9380" w:type="dxa"/>
            <w:vAlign w:val="bottom"/>
          </w:tcPr>
          <w:p>
            <w:pPr>
              <w:ind w:left="20"/>
              <w:spacing w:after="0"/>
              <w:rPr>
                <w:sz w:val="20"/>
                <w:szCs w:val="20"/>
                <w:color w:val="auto"/>
              </w:rPr>
            </w:pPr>
            <w:r>
              <w:rPr>
                <w:rFonts w:ascii="Arial" w:cs="Arial" w:eastAsia="Arial" w:hAnsi="Arial"/>
                <w:sz w:val="18"/>
                <w:szCs w:val="18"/>
                <w:color w:val="auto"/>
              </w:rPr>
              <w:t>Total estimated remaining amortization expense at December 31, 2021</w:t>
            </w: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w:t>
            </w:r>
          </w:p>
        </w:tc>
      </w:tr>
      <w:tr>
        <w:trPr>
          <w:trHeight w:val="21"/>
        </w:trPr>
        <w:tc>
          <w:tcPr>
            <w:tcW w:w="9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Credit Facility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9, 2021, we and our primary U.S. and Canada operating subsidiaries entered into an asset-backed credit agreement (the "ABL Facility") as borrowers with Bank of Montreal, as Administrative Agent, Swing-Line Lender, a Letter of Credit Issuer and a Lender. The ABL Facility is guaranteed by substantially all of our remaining U.S. and Canadian subsidiaries. The ABL Facility provides for available borrowings of up to $100.0 million, which may be increased further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secured by a first lien on all our assets and the assets of our co-borrowers and guarantors under the ABL Facility.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ABL Facility matures and any outstanding amounts become due and payable on September 9, 2026.</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December 31, 2021, our borrowing base was $70.1 million and we had $33.4 million in letters of credit outstanding issued by Bank of Montreal, which resulted in availability of $36.7 million under the ABL Facility. In addition, there were $9.5 million in letters of credit outstanding issued by JPMorgan Chase Bank, N.A. ("JPMorgan"). JPMorgan was the administrative agent of our former senior secured revolving credit facility, which was terminated and replaced with the ABL Facility. The JPMorgan letters of credit outstanding as of December 31, 2021 were in the process of being replaced by Bank of Montreal letters of credit, and that process was substantially complete at the end of January. The letters of credit outstanding from Bank of Montreal had reduced from $33.4 million as of December 31, 2021 to $23.6 million as of January 31, 2022. In addition, the letters of credit outstanding from JPMorgan had reduced from $9.5 million as of December 31, 2021 to $0.2 million as of January 31, 2022.</w:t>
      </w:r>
    </w:p>
    <w:p>
      <w:pPr>
        <w:spacing w:after="0" w:line="1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Borrowings under the ABL Facility bear interest through maturity at a variable rate based upon, at our option, an annual rate equal to any of a base rate (“Base Rate”), Canadian prime rate, CDOR rate or a LIBOR rate, plus an applicable margin. The Base Rate is defined as a fluctuating interest rate equal to the greatest of (i) rate of interest announced by Bank of Montreal from time to time as its prime rate; (ii) the U.S. federal funds rate plus 0.50%; (iii) LIBOR rate for one month period plus 1.00%; and (iv) 1.00%. Depending on the amount of average availability, the applicable margin is between 1.00% to 1.50% for either U.S. Base Rate Loans or Canadian prime rate, and between 2.00% and 2.50% for CDOR and LIBOR rate borrowings. Interest is payable either (i) monthly for Base Rate borrowings or (ii) the last day of the interest period for LIBOR or CDOR rate borrowings, as set forth in the Credit Agreement. The fee for undrawn amounts is 0.25% per annum and is due quarterly.</w:t>
      </w:r>
    </w:p>
    <w:p>
      <w:pPr>
        <w:spacing w:after="0" w:line="1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commitments under the ABL Facility then in effect, a consolidated Fixed Charge Coverage Ratio of at least 1.00 to 1.00 must be maintained. We are in compliance with all covenants of the ABL Facility as of December 31, 2021.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Revolving Credit Facility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ABL Facility replaced the Fifth Amended and Restated Credit Agreement (the "Prior Credit Agreement"), that was entered into on November 2, 2020, and subsequently amended on May 4, 2021, by and among us and certain foreign subsidiaries, as Borrowers, various subsidiaries of ours, as Guarantors, JPMorgan, as Administrative Agent, Sole Lead Arranger and Sole Book Runner, and the other Lenders party thereto. The Prior Credit Agreement provided for a three-year senior secured revolving credit facility of $200.0 million that was set to expire November 2, 2023.</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borrowings and $41.3 million of letters of credit outstanding under the Prior Credit Agreement as of the date we commenced the ABL Facility. As of December 31, 2021 there were $9.5 million in letters of credit outstanding under the Prior Credit Agreement, which decreased to $0.2 million outstanding as of January 31, 2022. Interest expense during the six months ended December 31, 2021 included $1.5 million of accelerated amortization of deferred debt amendment fees associated with the Prior Credit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effective tax rates were (78.7)% and (15.5)% for the three and six months ended December 31, 2021, compared to 20.9% and 11.0% during the three and six months ended December 31, 2020, respectively. The effective tax rates in fiscal 2022 were negatively impacted by a $14.2 million valuation allowance placed on our deferred tax assets during the second quarter. The effective tax rates in fiscal 2021 were negatively impacted by deferred tax asset adjustments of $0.2 million and $1.2 million during the three and six months ended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determining the need for a valuation allowance on deferred tax assets, the accounting standards provide that the existence of a cumulative loss over a three-year period generally precludes the use of management’s projections of future taxable income. Consequently, we have recorded a full valuation allowance against the deferred tax assets in the U.S. taxable jurisdiction in the amount of $14.2 million. These assets are primarily comprised of federal net operating losses, which have an indefinite carryforward, federal tax credits and those state net operating losses for which a valuation allowance did not previously exist. To the extent the Company generates taxable income in the future, or cumulative losses are no longer present and our future projections for growth or tax planning strategies are demonstrated, we will realize the benefit associated with the net operating losses for which the valuation allowance has been provided.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Operating Loss Carryback Refund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provisions in the CARES Act, we had an income tax benefit from the ability to carryback the fiscal 2021 federal net operating loss to a period with a higher statutory federal income tax rate. We estimate that we will receive a $12.6 million tax refund in connection with this carryback, which is included in income taxes receivable in the Condensed Consolidated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Refund of Overpayment of Estimated Taxes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2022, we received a $2.4 million tax refund in connection with overpayments of estimated taxes from prior years, which was included in income taxes receivable in the Condensed Consolidated Balance Sheets as of December 31,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Payroll Taxes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2021, we deferred a total of $11.1 million of U.S. payroll tax through provisions of CARES Act. We repaid half of the deferred payroll tax outstanding during the three months ended December 31, 2021 and must repay the remaining balance by December 31, 2022. The remaining balance of deferred payroll taxes is included within accrued wages and benefits in the Condensed Consolidated Balance Sheets.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self-insured retentions and coverage limits.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maintain a performance and payment bonding line sufficient to support the business.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Unpriced Change Orders and Claims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$10.1 million at December 31, 2021 and $14.6 million at June 30, 2021. The amounts ultimately realized may be significantly different than the recorded amounts resulting in a material adjustment to future earnings. Generally, collection of amounts related to unpriced change orders and claims is expected within twelve months. However, since customers may not pay these amounts until final resolution of related claims, collection of these amounts may extend beyond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third quarter of fiscal 2020, we commenced litigation in an effort to collect accounts receivable from an iron and steel customer following the deterioration of the relationship in the second quarter of fiscal 2020. The unpaid receivable balance at December 31, 2021 was $17.0 million. Litigation is unpredictable, however, based on the terms of the contract with this customer, we believe we are entitled to collect the full amount owed under the contract.</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and our subsidiaries are participants in various legal actions. It is the opinion of management that none of the other known legal actions will have a material impact on our financial position, results of operations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Basic earnings per share (“Basic EPS”) is calculated based on the weighted average shares outstanding during the period. Diluted earnings per share (“Diluted EPS”) includes the dilutive effect of stock options and nonvested deferred shares. In the event we report a loss, stock options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and nonvested deferred shares are not included since they are anti-dilutive.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58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56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8"/>
              <w:spacing w:after="0" w:line="135"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5"/>
              <w:spacing w:after="0" w:line="135" w:lineRule="exact"/>
              <w:rPr>
                <w:sz w:val="20"/>
                <w:szCs w:val="20"/>
                <w:color w:val="auto"/>
              </w:rPr>
            </w:pPr>
            <w:r>
              <w:rPr>
                <w:rFonts w:ascii="Arial" w:cs="Arial" w:eastAsia="Arial" w:hAnsi="Arial"/>
                <w:sz w:val="14"/>
                <w:szCs w:val="14"/>
                <w:b w:val="1"/>
                <w:bCs w:val="1"/>
                <w:color w:val="auto"/>
                <w:w w:val="96"/>
              </w:rPr>
              <w:t>December 31,</w:t>
            </w:r>
          </w:p>
        </w:tc>
      </w:tr>
      <w:tr>
        <w:trPr>
          <w:trHeight w:val="188"/>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163"/>
        </w:trPr>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ind w:left="260"/>
              <w:spacing w:after="0"/>
              <w:rPr>
                <w:sz w:val="20"/>
                <w:szCs w:val="20"/>
                <w:color w:val="auto"/>
              </w:rPr>
            </w:pPr>
            <w:r>
              <w:rPr>
                <w:rFonts w:ascii="Arial" w:cs="Arial" w:eastAsia="Arial" w:hAnsi="Arial"/>
                <w:sz w:val="13"/>
                <w:szCs w:val="13"/>
                <w:color w:val="auto"/>
              </w:rPr>
              <w:t>(In thousands, except per share data)</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(7,628)</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20" w:type="dxa"/>
            <w:vAlign w:val="bottom"/>
          </w:tcPr>
          <w:p>
            <w:pPr>
              <w:ind w:left="20"/>
              <w:spacing w:after="0" w:line="203" w:lineRule="exact"/>
              <w:rPr>
                <w:sz w:val="20"/>
                <w:szCs w:val="20"/>
                <w:color w:val="auto"/>
              </w:rPr>
            </w:pPr>
            <w:r>
              <w:rPr>
                <w:rFonts w:ascii="Arial" w:cs="Arial" w:eastAsia="Arial" w:hAnsi="Arial"/>
                <w:sz w:val="18"/>
                <w:szCs w:val="18"/>
                <w:color w:val="auto"/>
              </w:rPr>
              <w:t>Basic loss per share</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(0.29)</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5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EPS: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26,377</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our results of operations through three reportable segments: Utility and Power Infrastructure, Process and Industrial Facilities, and Storage and Terminal Solutions.</w:t>
      </w:r>
    </w:p>
    <w:p>
      <w:pPr>
        <w:spacing w:after="0" w:line="112" w:lineRule="exact"/>
        <w:rPr>
          <w:sz w:val="20"/>
          <w:szCs w:val="20"/>
          <w:color w:val="auto"/>
        </w:rPr>
      </w:pPr>
    </w:p>
    <w:p>
      <w:pPr>
        <w:jc w:val="both"/>
        <w:ind w:left="660" w:hanging="328"/>
        <w:spacing w:after="0" w:line="25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Utility and Power Infrastructure</w:t>
      </w:r>
      <w:r>
        <w:rPr>
          <w:rFonts w:ascii="Arial" w:cs="Arial" w:eastAsia="Arial" w:hAnsi="Arial"/>
          <w:sz w:val="18"/>
          <w:szCs w:val="18"/>
          <w:color w:val="auto"/>
        </w:rPr>
        <w:t>: consists of power delivery services provided to investor owned utilities, including construction of new</w:t>
      </w:r>
      <w:r>
        <w:rPr>
          <w:rFonts w:ascii="Arial" w:cs="Arial" w:eastAsia="Arial" w:hAnsi="Arial"/>
          <w:sz w:val="18"/>
          <w:szCs w:val="18"/>
          <w:b w:val="1"/>
          <w:bCs w:val="1"/>
          <w:color w:val="auto"/>
        </w:rPr>
        <w:t xml:space="preserve"> </w:t>
      </w:r>
      <w:r>
        <w:rPr>
          <w:rFonts w:ascii="Arial" w:cs="Arial" w:eastAsia="Arial" w:hAnsi="Arial"/>
          <w:sz w:val="18"/>
          <w:szCs w:val="18"/>
          <w:color w:val="auto"/>
        </w:rPr>
        <w:t>substations, upgrades of existing substations, transmission and distribution line installations, upgrades and maintenance, as well as emergency and storm restoration services. We also provide engineering, fabrication, and construction services for LNG utility peak shaving facilities, and provide construction and maintenance services to a variety of power generation facilities, including natural gas fired facilities in simple or combined cycle configuration.</w:t>
      </w:r>
    </w:p>
    <w:p>
      <w:pPr>
        <w:spacing w:after="0" w:line="12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Process and Industrial Facilities</w:t>
      </w:r>
      <w:r>
        <w:rPr>
          <w:rFonts w:ascii="Arial" w:cs="Arial" w:eastAsia="Arial" w:hAnsi="Arial"/>
          <w:sz w:val="18"/>
          <w:szCs w:val="18"/>
          <w:color w:val="auto"/>
        </w:rPr>
        <w:t>: primarily serves customers in the downstream and midstream petroleum industries who are engaged in refining</w:t>
      </w:r>
      <w:r>
        <w:rPr>
          <w:rFonts w:ascii="Arial" w:cs="Arial" w:eastAsia="Arial" w:hAnsi="Arial"/>
          <w:sz w:val="18"/>
          <w:szCs w:val="18"/>
          <w:b w:val="1"/>
          <w:bCs w:val="1"/>
          <w:color w:val="auto"/>
        </w:rPr>
        <w:t xml:space="preserve"> </w:t>
      </w:r>
      <w:r>
        <w:rPr>
          <w:rFonts w:ascii="Arial" w:cs="Arial" w:eastAsia="Arial" w:hAnsi="Arial"/>
          <w:sz w:val="18"/>
          <w:szCs w:val="18"/>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hanging="328"/>
        <w:spacing w:after="0" w:line="274"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u w:val="single" w:color="auto"/>
          <w:color w:val="auto"/>
        </w:rPr>
        <w:t>Storage and Terminal Solutions</w:t>
      </w:r>
      <w:r>
        <w:rPr>
          <w:rFonts w:ascii="Arial" w:cs="Arial" w:eastAsia="Arial" w:hAnsi="Arial"/>
          <w:sz w:val="17"/>
          <w:szCs w:val="17"/>
          <w:color w:val="auto"/>
        </w:rPr>
        <w:t>: consists of work related to aboveground crude oil and refined product storage tanks and terminals. We also</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work related to cryogenic and other specialty storage tanks and terminals, including LNG, liquid nitrogen/liquid oxygen, liquid petroleum, hydrogen and other specialty vessels such as spheres in this segment, as well as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20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evaluate performance and allocate resources based on operating income. We record intersegment sales and transfers at cost; therefore, no intercompany profit or loss is recognized. In addition, corporate selling, general and administrative expenses are reported separately from the three reportable segments.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right-of-use lease assets,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3000" w:type="dxa"/>
            <w:vAlign w:val="bottom"/>
            <w:gridSpan w:val="5"/>
          </w:tcPr>
          <w:p>
            <w:pPr>
              <w:ind w:lef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80"/>
              <w:spacing w:after="0" w:line="135" w:lineRule="exact"/>
              <w:rPr>
                <w:sz w:val="20"/>
                <w:szCs w:val="20"/>
                <w:color w:val="auto"/>
              </w:rPr>
            </w:pPr>
            <w:r>
              <w:rPr>
                <w:rFonts w:ascii="Arial" w:cs="Arial" w:eastAsia="Arial" w:hAnsi="Arial"/>
                <w:sz w:val="14"/>
                <w:szCs w:val="14"/>
                <w:b w:val="1"/>
                <w:bCs w:val="1"/>
                <w:color w:val="auto"/>
              </w:rPr>
              <w:t>December 31,</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71"/>
              <w:spacing w:after="0" w:line="135" w:lineRule="exact"/>
              <w:rPr>
                <w:sz w:val="20"/>
                <w:szCs w:val="20"/>
                <w:color w:val="auto"/>
              </w:rPr>
            </w:pPr>
            <w:r>
              <w:rPr>
                <w:rFonts w:ascii="Arial" w:cs="Arial" w:eastAsia="Arial" w:hAnsi="Arial"/>
                <w:sz w:val="14"/>
                <w:szCs w:val="14"/>
                <w:b w:val="1"/>
                <w:bCs w:val="1"/>
                <w:color w:val="auto"/>
                <w:w w:val="96"/>
              </w:rPr>
              <w:t>December 31,</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0" w:type="dxa"/>
            <w:vAlign w:val="bottom"/>
          </w:tcPr>
          <w:p>
            <w:pPr>
              <w:spacing w:after="0"/>
              <w:rPr>
                <w:sz w:val="16"/>
                <w:szCs w:val="16"/>
                <w:color w:val="auto"/>
              </w:rPr>
            </w:pPr>
          </w:p>
        </w:tc>
        <w:tc>
          <w:tcPr>
            <w:tcW w:w="48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revenue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54,752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52,023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111,956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112,694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Storage and Terminal Solutions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gross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354,199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Less: Inter-segment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0" w:type="dxa"/>
            <w:vAlign w:val="bottom"/>
          </w:tcPr>
          <w:p>
            <w:pPr>
              <w:spacing w:after="0"/>
              <w:rPr>
                <w:sz w:val="15"/>
                <w:szCs w:val="15"/>
                <w:color w:val="auto"/>
              </w:rPr>
            </w:pPr>
          </w:p>
        </w:tc>
        <w:tc>
          <w:tcPr>
            <w:tcW w:w="4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Storage and Terminal Solutions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inter-segment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Consolidated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0" w:type="dxa"/>
            <w:vAlign w:val="bottom"/>
          </w:tcPr>
          <w:p>
            <w:pPr>
              <w:spacing w:after="0"/>
              <w:rPr>
                <w:sz w:val="15"/>
                <w:szCs w:val="15"/>
                <w:color w:val="auto"/>
              </w:rPr>
            </w:pPr>
          </w:p>
        </w:tc>
        <w:tc>
          <w:tcPr>
            <w:tcW w:w="4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and Power Infrastructure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112,694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Process and Industrial Facilities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51,262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94,221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97,193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and Terminal Solutions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140,352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Total consolidated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350,239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 w:type="dxa"/>
            <w:vAlign w:val="bottom"/>
          </w:tcPr>
          <w:p>
            <w:pPr>
              <w:spacing w:after="0"/>
              <w:rPr>
                <w:sz w:val="17"/>
                <w:szCs w:val="17"/>
                <w:color w:val="auto"/>
              </w:rPr>
            </w:pPr>
          </w:p>
        </w:tc>
        <w:tc>
          <w:tcPr>
            <w:tcW w:w="4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Gross profit (loss)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12,510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Total gross profit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4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Selling, general and administrative expenses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4,798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9,062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Total selling, general and administrative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34,852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 w:type="dxa"/>
            <w:vAlign w:val="bottom"/>
          </w:tcPr>
          <w:p>
            <w:pPr>
              <w:spacing w:after="0"/>
              <w:rPr>
                <w:sz w:val="17"/>
                <w:szCs w:val="17"/>
                <w:color w:val="auto"/>
              </w:rPr>
            </w:pPr>
          </w:p>
        </w:tc>
        <w:tc>
          <w:tcPr>
            <w:tcW w:w="4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Restructuring costs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Total restructuring costs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 w:type="dxa"/>
            <w:vAlign w:val="bottom"/>
          </w:tcPr>
          <w:p>
            <w:pPr>
              <w:spacing w:after="0"/>
              <w:rPr>
                <w:sz w:val="17"/>
                <w:szCs w:val="17"/>
                <w:color w:val="auto"/>
              </w:rPr>
            </w:pPr>
          </w:p>
        </w:tc>
        <w:tc>
          <w:tcPr>
            <w:tcW w:w="4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Utility and Power Infrastructure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6,889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Industrial Facilities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Storage and Terminal Solutions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(4,086)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Total operating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80" w:type="dxa"/>
            <w:vAlign w:val="bottom"/>
          </w:tcPr>
          <w:p>
            <w:pPr>
              <w:jc w:val="right"/>
              <w:ind w:right="335"/>
              <w:spacing w:after="0"/>
              <w:rPr>
                <w:sz w:val="20"/>
                <w:szCs w:val="20"/>
                <w:color w:val="auto"/>
              </w:rPr>
            </w:pPr>
            <w:r>
              <w:rPr>
                <w:rFonts w:ascii="Arial" w:cs="Arial" w:eastAsia="Arial" w:hAnsi="Arial"/>
                <w:sz w:val="14"/>
                <w:szCs w:val="14"/>
                <w:b w:val="1"/>
                <w:bCs w:val="1"/>
                <w:color w:val="auto"/>
              </w:rPr>
              <w:t>June 30,</w:t>
            </w:r>
          </w:p>
        </w:tc>
      </w:tr>
      <w:tr>
        <w:trPr>
          <w:trHeight w:val="188"/>
        </w:trPr>
        <w:tc>
          <w:tcPr>
            <w:tcW w:w="84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24"/>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and Power Infrastructure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81,717</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Process and Industrial Facilities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106,619</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and Terminal Solutions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160,782</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118,438</w:t>
            </w: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segment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467,556</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Restructuring Costs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fiscal 2020, we initiated a business improvement plan to increase profitability and reduce our cost structure in order to help us become more competitive and deliver higher quality service. As a result of specific events, including the effects of the COVID-19 pandemic and related market disruptions, the Company expanded its business improvement plan.</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business improvement plan consisted of an initial phase of discretionary cost reductions, workforce reductions, reduction of capital expenditures and the reduction in size or closure of certain offices in order to increase the utilization of our staff and bring the cost structure of the business in line with revenue volumes. In fiscal 2022, we commenced a second phase of our plan to focus on centralization of support functions, including business development, accounting, human resources, procurement and project services into shared service centers. We incurred $0.7 million and $1.3 million of restructuring costs during the three and six months ended December 31, 2021 and $22.1 million of restructuring costs since inception of the plan. The restructuring costs consist primarily of severance costs, facility closure costs, consulting fees and other liabilities.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under our business improvement plan are classified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w w:val="92"/>
              </w:rPr>
              <w:t>Since Inception of</w:t>
            </w:r>
          </w:p>
        </w:tc>
        <w:tc>
          <w:tcPr>
            <w:tcW w:w="0" w:type="dxa"/>
            <w:vAlign w:val="bottom"/>
          </w:tcPr>
          <w:p>
            <w:pPr>
              <w:spacing w:after="0"/>
              <w:rPr>
                <w:sz w:val="1"/>
                <w:szCs w:val="1"/>
                <w:color w:val="auto"/>
              </w:rPr>
            </w:pPr>
          </w:p>
        </w:tc>
      </w:tr>
      <w:tr>
        <w:trPr>
          <w:trHeight w:val="40"/>
        </w:trPr>
        <w:tc>
          <w:tcPr>
            <w:tcW w:w="4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4300" w:type="dxa"/>
            <w:vAlign w:val="bottom"/>
          </w:tcPr>
          <w:p>
            <w:pPr>
              <w:spacing w:after="0"/>
              <w:rPr>
                <w:sz w:val="11"/>
                <w:szCs w:val="11"/>
                <w:color w:val="auto"/>
              </w:rPr>
            </w:pP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December 31, 2021</w:t>
            </w: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December 31, 2020</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December 31, 2021</w:t>
            </w: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1"/>
                <w:szCs w:val="11"/>
                <w:color w:val="auto"/>
              </w:rPr>
            </w:pPr>
          </w:p>
        </w:tc>
        <w:tc>
          <w:tcPr>
            <w:tcW w:w="1220" w:type="dxa"/>
            <w:vAlign w:val="bottom"/>
          </w:tcPr>
          <w:p>
            <w:pPr>
              <w:jc w:val="center"/>
              <w:ind w:right="11"/>
              <w:spacing w:after="0" w:line="135" w:lineRule="exact"/>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Improvement Plan</w:t>
            </w:r>
          </w:p>
        </w:tc>
        <w:tc>
          <w:tcPr>
            <w:tcW w:w="0" w:type="dxa"/>
            <w:vAlign w:val="bottom"/>
          </w:tcPr>
          <w:p>
            <w:pPr>
              <w:spacing w:after="0"/>
              <w:rPr>
                <w:sz w:val="1"/>
                <w:szCs w:val="1"/>
                <w:color w:val="auto"/>
              </w:rPr>
            </w:pPr>
          </w:p>
        </w:tc>
      </w:tr>
      <w:tr>
        <w:trPr>
          <w:trHeight w:val="183"/>
        </w:trPr>
        <w:tc>
          <w:tcPr>
            <w:tcW w:w="4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Utility and Power Infrastructure</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720" w:type="dxa"/>
            <w:vAlign w:val="bottom"/>
          </w:tcPr>
          <w:p>
            <w:pPr>
              <w:jc w:val="right"/>
              <w:ind w:right="51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 costs</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Other intangible asset impairments</w:t>
            </w:r>
          </w:p>
        </w:tc>
        <w:tc>
          <w:tcPr>
            <w:tcW w:w="4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300" w:type="dxa"/>
            <w:vAlign w:val="bottom"/>
          </w:tcPr>
          <w:p>
            <w:pPr>
              <w:ind w:left="240"/>
              <w:spacing w:after="0"/>
              <w:rPr>
                <w:sz w:val="20"/>
                <w:szCs w:val="20"/>
                <w:color w:val="auto"/>
              </w:rPr>
            </w:pPr>
            <w:r>
              <w:rPr>
                <w:rFonts w:ascii="Arial" w:cs="Arial" w:eastAsia="Arial" w:hAnsi="Arial"/>
                <w:sz w:val="18"/>
                <w:szCs w:val="18"/>
                <w:color w:val="auto"/>
              </w:rPr>
              <w:t>Total Utility and Power Infrastructure</w:t>
            </w: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Process and Industrial Facilities</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720" w:type="dxa"/>
            <w:vAlign w:val="bottom"/>
          </w:tcPr>
          <w:p>
            <w:pPr>
              <w:jc w:val="right"/>
              <w:ind w:right="51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3,082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9,096</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 costs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Other intangible asset impairments</w:t>
            </w:r>
          </w:p>
        </w:tc>
        <w:tc>
          <w:tcPr>
            <w:tcW w:w="4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4300" w:type="dxa"/>
            <w:vAlign w:val="bottom"/>
          </w:tcPr>
          <w:p>
            <w:pPr>
              <w:ind w:left="240"/>
              <w:spacing w:after="0"/>
              <w:rPr>
                <w:sz w:val="20"/>
                <w:szCs w:val="20"/>
                <w:color w:val="auto"/>
              </w:rPr>
            </w:pPr>
            <w:r>
              <w:rPr>
                <w:rFonts w:ascii="Arial" w:cs="Arial" w:eastAsia="Arial" w:hAnsi="Arial"/>
                <w:sz w:val="18"/>
                <w:szCs w:val="18"/>
                <w:color w:val="auto"/>
              </w:rPr>
              <w:t>Total Process and Industrial Facilities</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13,090</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Storage and Terminal Solutions</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720" w:type="dxa"/>
            <w:vAlign w:val="bottom"/>
          </w:tcPr>
          <w:p>
            <w:pPr>
              <w:jc w:val="right"/>
              <w:ind w:right="512"/>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 costs</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Other costs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43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Storage and Terminal Solutions</w:t>
            </w: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Corporate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Facility costs</w:t>
            </w:r>
          </w:p>
        </w:tc>
        <w:tc>
          <w:tcPr>
            <w:tcW w:w="4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23"/>
        </w:trPr>
        <w:tc>
          <w:tcPr>
            <w:tcW w:w="4300" w:type="dxa"/>
            <w:vAlign w:val="bottom"/>
          </w:tcPr>
          <w:p>
            <w:pPr>
              <w:ind w:left="240"/>
              <w:spacing w:after="0"/>
              <w:rPr>
                <w:sz w:val="20"/>
                <w:szCs w:val="20"/>
                <w:color w:val="auto"/>
              </w:rPr>
            </w:pPr>
            <w:r>
              <w:rPr>
                <w:rFonts w:ascii="Arial" w:cs="Arial" w:eastAsia="Arial" w:hAnsi="Arial"/>
                <w:sz w:val="18"/>
                <w:szCs w:val="18"/>
                <w:color w:val="auto"/>
              </w:rPr>
              <w:t>Total Corporate</w:t>
            </w: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Restructuring Costs by Type:</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other personnel-related costs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14,454</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Facility costs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 impairments</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costs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restructuring costs</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ind w:right="382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to our business of the COVID-19 pandemic;</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and nature of future project awards, revenue and margins from each of our segments;</w:t>
      </w:r>
    </w:p>
    <w:p>
      <w:pPr>
        <w:spacing w:after="0" w:line="171"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or raise cash in order to meet our short and long-term capital requirements;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to our business of changes in crude oil, natural gas and other commodity prices;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214" w:lineRule="exact"/>
        <w:rPr>
          <w:sz w:val="20"/>
          <w:szCs w:val="20"/>
          <w:color w:val="auto"/>
        </w:rPr>
      </w:pPr>
    </w:p>
    <w:p>
      <w:pPr>
        <w:ind w:left="980" w:right="24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risk factors discussed in this Form 10-Q, Form 10-K for the fiscal year ended June 30, 2021, and in our other filings with the Securities and Exchange Commission;</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(including the length and severity of the COVID-19 pandemic) and in the oil, natural gas, power, petrochemical, agricultural and mining industries in particular;</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transition to renewable energy sources and its impact on our current customer base;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 or over-utilization of our work force;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delays in the commencement or progression of major projects, whether due to COVID-19 concerns, permitting issues or other factors;</w:t>
      </w:r>
    </w:p>
    <w:p>
      <w:pPr>
        <w:spacing w:after="0" w:line="182" w:lineRule="exact"/>
        <w:rPr>
          <w:rFonts w:ascii="Arial" w:cs="Arial" w:eastAsia="Arial" w:hAnsi="Arial"/>
          <w:sz w:val="17"/>
          <w:szCs w:val="17"/>
          <w:color w:val="auto"/>
        </w:rPr>
      </w:pPr>
    </w:p>
    <w:p>
      <w:pPr>
        <w:ind w:left="980" w:right="30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volatility of crude oil, natural gas, and other commodity prices which affect our customers' businesses;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our reserves for claims and contingencies;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or regulations, including the imposition, cancellation or delay of tariffs on imported goods.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report our results of operations through three reportable segments: Utility and Power Infrastructure, Process and Industrial Facilities, and Storage and Terminal Solutions.</w:t>
      </w:r>
    </w:p>
    <w:p>
      <w:pPr>
        <w:spacing w:after="0" w:line="112" w:lineRule="exact"/>
        <w:rPr>
          <w:sz w:val="20"/>
          <w:szCs w:val="20"/>
          <w:color w:val="auto"/>
        </w:rPr>
      </w:pPr>
    </w:p>
    <w:p>
      <w:pPr>
        <w:jc w:val="both"/>
        <w:ind w:left="66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Utility and Power Infrastructure</w:t>
      </w:r>
      <w:r>
        <w:rPr>
          <w:rFonts w:ascii="Arial" w:cs="Arial" w:eastAsia="Arial" w:hAnsi="Arial"/>
          <w:sz w:val="18"/>
          <w:szCs w:val="18"/>
          <w:color w:val="auto"/>
        </w:rPr>
        <w:t>: consists of power delivery services provided to investor owned utilities, including construction of new</w:t>
      </w:r>
      <w:r>
        <w:rPr>
          <w:rFonts w:ascii="Arial" w:cs="Arial" w:eastAsia="Arial" w:hAnsi="Arial"/>
          <w:sz w:val="18"/>
          <w:szCs w:val="18"/>
          <w:b w:val="1"/>
          <w:bCs w:val="1"/>
          <w:color w:val="auto"/>
        </w:rPr>
        <w:t xml:space="preserve"> </w:t>
      </w:r>
      <w:r>
        <w:rPr>
          <w:rFonts w:ascii="Arial" w:cs="Arial" w:eastAsia="Arial" w:hAnsi="Arial"/>
          <w:sz w:val="18"/>
          <w:szCs w:val="18"/>
          <w:color w:val="auto"/>
        </w:rPr>
        <w:t>substations, upgrades of existing substations, transmission and distribution line installations, upgrades and maintenance, as well as emergency and storm restoration services. We also provide engineering, fabrication, and construction services for LNG utility peak shaving facilities, and provide construction and maintenance services to a variety of power generation facilities, including natural gas fired facilities in simple or combined cycle configuration.</w:t>
      </w:r>
    </w:p>
    <w:p>
      <w:pPr>
        <w:spacing w:after="0" w:line="12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Process and Industrial Facilities</w:t>
      </w:r>
      <w:r>
        <w:rPr>
          <w:rFonts w:ascii="Arial" w:cs="Arial" w:eastAsia="Arial" w:hAnsi="Arial"/>
          <w:sz w:val="18"/>
          <w:szCs w:val="18"/>
          <w:color w:val="auto"/>
        </w:rPr>
        <w:t>: primarily serves customers in the downstream and midstream petroleum industries who are engaged in refining</w:t>
      </w:r>
      <w:r>
        <w:rPr>
          <w:rFonts w:ascii="Arial" w:cs="Arial" w:eastAsia="Arial" w:hAnsi="Arial"/>
          <w:sz w:val="18"/>
          <w:szCs w:val="18"/>
          <w:b w:val="1"/>
          <w:bCs w:val="1"/>
          <w:color w:val="auto"/>
        </w:rPr>
        <w:t xml:space="preserve"> </w:t>
      </w:r>
      <w:r>
        <w:rPr>
          <w:rFonts w:ascii="Arial" w:cs="Arial" w:eastAsia="Arial" w:hAnsi="Arial"/>
          <w:sz w:val="18"/>
          <w:szCs w:val="18"/>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129" w:lineRule="exact"/>
        <w:rPr>
          <w:rFonts w:ascii="Arial" w:cs="Arial" w:eastAsia="Arial" w:hAnsi="Arial"/>
          <w:sz w:val="18"/>
          <w:szCs w:val="18"/>
          <w:color w:val="auto"/>
        </w:rPr>
      </w:pPr>
    </w:p>
    <w:p>
      <w:pPr>
        <w:jc w:val="both"/>
        <w:ind w:left="660" w:hanging="328"/>
        <w:spacing w:after="0" w:line="274"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u w:val="single" w:color="auto"/>
          <w:color w:val="auto"/>
        </w:rPr>
        <w:t>Storage and Terminal Solutions</w:t>
      </w:r>
      <w:r>
        <w:rPr>
          <w:rFonts w:ascii="Arial" w:cs="Arial" w:eastAsia="Arial" w:hAnsi="Arial"/>
          <w:sz w:val="17"/>
          <w:szCs w:val="17"/>
          <w:color w:val="auto"/>
        </w:rPr>
        <w:t>: consists of work related to aboveground crude oil and refined product storage tanks and terminals. We also</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work related to cryogenic and other specialty storage tanks and terminals, including LNG, liquid nitrogen/liquid oxygen, liquid petroleum, hydrogen and other specialty vessels such as spheres in this segment, as well as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20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evaluate performance and allocate resources based on operating income. We record intersegment sales and transfers at cost; therefore, no intercompany profit or loss is recognized. In addition, corporate selling, general and administrative expenses are reported separately from the three reportable segments.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Update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the course of the COVID-19 pandemic, our top priority has been to maintain a safe working environment for all employees, customers and business partners. Our project teams, in coordination with our clients, are monitoring the impact of the omicron and other new variants of COVID-19 and continue to operate under enhanced work processes to protect the health and safety of everyone on our job sites. The emergence of the omicron variant in the second quarter of fiscal 2022 did not have a significant impact on our existing COVID-19 safety protocols designed to maintain our safe working environment.</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fiscal 2020, we initiated a business improvement plan to increase profitability and reduce our cost structure in order to help us become more competitive and deliver higher quality service. As a result of specific events, including the effects of the COVID-19 pandemic and related market disruptions, the Company expanded its business improvement plan.</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business improvement plan consisted of an initial phase of discretionary cost reductions, workforce reductions, reduction of capital expenditures and the reduction in size or closure of certain offices in order to increase the utilization of our staff and bring the cost structure of the business in line with revenue volumes. In fiscal 2022, we commenced a second phase of our plan to focus on centralization of support functions, including business development, accounting, human resources, procurement and project services into shared service centers. We incurred $0.7 million and $1.3 million of restructuring costs during the three and six months ended December 31, 2021 and $22.1 million of restructuring costs since inception of the plan. The restructuring costs consist primarily of severance costs, facility closure costs, consulting fees and other liabilities.</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To date, we estimate that we have reduced our cost structure by approximately $80 million, or approximately 29%, with approximately one-third of those reductions related to SG&amp;A and the rest related to construction overhead, which is included in cost of revenue in the Condensed Consolidated Statements of Income. See Item 1. Financial Statements, Note 10 - Restructuring Costs, for more information about our business improvement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Despite the significant reductions in our cost structure, our low revenue volume still has not allowed for the complete recovery of construction overhead or leveraging of SG&amp;A costs. Based on improving market conditions and strong award activity in the first half of fiscal 2022, we expect cost savings from the business improvement plan along with improving revenue volumes to positively impact earnings in the second half of fiscal 2022.</w:t>
      </w:r>
    </w:p>
    <w:p>
      <w:pPr>
        <w:spacing w:after="0" w:line="107" w:lineRule="exact"/>
        <w:rPr>
          <w:sz w:val="20"/>
          <w:szCs w:val="20"/>
          <w:color w:val="auto"/>
        </w:rPr>
      </w:pPr>
    </w:p>
    <w:p>
      <w:pPr>
        <w:ind w:right="3580"/>
        <w:spacing w:after="0" w:line="440" w:lineRule="auto"/>
        <w:rPr>
          <w:sz w:val="20"/>
          <w:szCs w:val="20"/>
          <w:color w:val="auto"/>
        </w:rPr>
      </w:pPr>
      <w:r>
        <w:rPr>
          <w:rFonts w:ascii="Arial" w:cs="Arial" w:eastAsia="Arial" w:hAnsi="Arial"/>
          <w:sz w:val="18"/>
          <w:szCs w:val="18"/>
          <w:b w:val="1"/>
          <w:bCs w:val="1"/>
          <w:color w:val="auto"/>
        </w:rPr>
        <w:t xml:space="preserve">Three Months Ended December 31, 2021 Compared to the Three Months Ended December 31, 2020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Consolidated revenue was $162.0 million for the three months ended December 31, 2021, compared to $167.5 million in the same period last year. On a segment basis, revenue decreased in the Storage and Terminal Solutions and Process and Industrial Facilities segments by $7.3 million and $1.0 million, respectively. The decreases were partially offset by an increase in revenue of $2.8 million in the Utility and Power Infrastructure segment.</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gross profit decreased to $3.2 million in the three months ended December 31, 2021 compared to $15.3 million in the same period last year. Gross margin decreased to 2.0% in the three months ended December 31, 2021 compared to 9.1% in the same period last year. Gross margins in the second quarter of fiscal 2022 were negatively impacted by lower volumes, which led to the under recovery of construction overhead costs, and by a lower than previously forecasted margin on a tank repair and maintenance project in the Storage and Terminal Solutions segment. Gross margins in fiscal 2021 were positively impacted by strong project execution, partially offset by lower than forecasted volumes, which led to under recovery of construction overhead costs.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SG&amp;A expenses were $15.9 million in the three months ended December 31, 2021 compared to $16.7 million in the same period a year earlier. The decrease is primarily attributable to implemented cost reductions.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restructuring activities, we recorded $0.7 million of restructuring costs in the three months ended December 31, 2021. See Item 1. Financial Statements, Note 10 - Restructuring Costs, for more information.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was $0.5 million in the three months ended December 31, 2021 compared to $0.4 million in the three months ended December 31, 2020. Interest expense in the three months ended December 31, 2021 consisted primarily of letter of credit fees, unused capacity fees and amortization of deferred debt issuance costs.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rates for the three months ended December 31, 2021 and December 31, 2020 were (78.7)% and 20.9%, respectively. The effective tax rate in fiscal 2022 was negatively impacted by a $14.2 million valuation allowance placed on our deferred tax assets during the second quarter, see Item 1. Financial Statements, Note 6 - Income Taxes, for more information. The effective tax rate for the three months ended December 31, 2020 was negatively impacted by deferred tax asset adjustments of $0.2 million.</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December 31, 2021, we had a net loss of $24.9 million, or $0.93 per fully diluted share, compared to a net loss of $4.6 million, or $0.17 per fully diluted share, in the three months ended December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and Power Infrastructure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the Utility and Power Infrastructure segment was $54.8 million in the three months ended December 31, 2021 compared to $52.0 million in the same period last year. The increase is primarily due to higher volumes of power generation work.</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segment gross margin (loss) was (0.9)% in fiscal 2022 compared to 10.8% in fiscal 2021. The segment gross margin (loss) for the second quarter of fiscal 2022 was negatively impacted by lower margins on power delivery work bid competitively and revenue recognized on a large capital project at a margin reduced in prior periods. In addition, segment gross margin in the second quarter of fiscal 2022 was also negatively impacted by low volumes, which led to the under recovery of construction overhead costs. The fiscal 2021 segment gross margin was positively impacted by strong project execution, partially offset by under recovery of construction overhead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and Industrial Facilities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Process and Industrial Facilities segment was $50.3 million in the three months ended December 31, 2021 compared to $51.3 million in the same period last year. While segment revenue was nearly flat compared to last year, we booked $210.4 million of project awards in the first half of fiscal 2022, which includes some large capital projects that are still in the preliminary stages of engineering and construction. As such, we expect strong revenue growth in this segment during the second half of fiscal 2022.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segment gross margin was 8.4% for the three months ended December 31, 2021 compared to 15.3% in the same period last year. Despite generally strong project execution, the lower segment gross margin in fiscal 2022 was the result of low volumes, which lead to under recovery of construction overhead costs. Segment gross margin in the second quarter of fiscal 2021 was positively impacted by strong project execution and a one-time workers compensation claim, partially offset by the under recovery of construction overhead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and Terminal Solutions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for the Storage and Terminal Solutions segment was $56.9 million in the three months ended December 31, 2021 compared to $64.2 million in the same period last year. The decrease in segment revenue is primarily a result of lower volumes of crude oil tank and terminal capital work, partially offset by an increase in tank repair and maintenance work.</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segment gross margin (loss) was (0.3)% for the three months ended December 31, 2021 compared to 2.9% in the same period last year. The fiscal 2022 segment gross margin was negatively impacted by a lower than previously forecasted margin on a thermal energy storage tank repair and maintenance project due to changes in repair scope, expanded client weld testing and associated schedule delays, which reduced segment gross profit by $2.8 million. The segment gross margin in the second quarter of fiscal 2022 was also negatively impacted by low volumes, which led to under recovery of construction overhead costs. The segment gross margin in fiscal 2021 was negatively impacted by a lower than previously forecasted margin on a large crude oil storage terminal capital project and the under recovery of construction overhead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Unallocated corporate expenses were $6.6 million during the three months ended December 31, 2021 compared to $7.1 million in the same period last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decrease is primarily attributable to implemented cost reductions under the business improvement plan (see Item 1. Financial Statements, Note 10 -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and "Operational Update" in this Results of Operations section for more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December 31, 2021 Compared to the Six Months Ended December 31, 2020</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revenue was $330.1 million for the six months ended December 31, 2021, compared to $350.2 million in the same period last year. On a segment basis, revenue decreased in the Storage and Terminal Solutions, Process and Industrial Facilities, and Utility and Power Infrastructure segments by $16.5 million, $3.0 million and $0.7 million, respectively.</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Consolidated gross profit (loss) decreased to $(0.3) million in the six months ended December 31, 2021 compared to $29.7 million in the same period last year. Gross margin (loss) decreased to (0.1)% in the six months ended December 31, 2021 compared to 8.5% in the same period last year. Gross margins in fiscal 2022 were negatively impacted by a lower than previously forecasted margin on a large capital project and an unfavorable settlement of a claim with a customer, both in the Utility and Power Infrastructure segment, and a lower than previously forecasted margin on a tank repair and maintenance project in the Storage and Terminal Solutions segment. In addition, gross margins were also negatively impacted by lower than forecasted volumes, which led to the under recovery of construction overhead costs. Despite generally strong project execution, gross margins in the first half of fiscal 2021 were negatively impacted by lower than forecasted volumes, which led to under recovery of construction overhead costs.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Consolidated SG&amp;A expenses were $32.6 million in the six months ended December 31, 2021 compared to $34.9 million in the same period a year earlier.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is primarily attributable to implemented cost reductions.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restructuring activities, we recorded $1.3 million of restructuring costs in the six months ended December 31, 2021. See Item 1. Financial Statements, Note 10 - Restructuring Costs, for more information.</w:t>
      </w:r>
    </w:p>
    <w:p>
      <w:pPr>
        <w:spacing w:after="0" w:line="116"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Interest expense was $2.5 million in the six months ended December 31, 2021 compared to $0.7 million in the six months ended December 31, 2020. Interest expense in fiscal 2022 included $1.5 million of accelerated amortization of deferred debt amendment fees (see Item 1. Financial Statements, Note 5</w:t>
      </w:r>
    </w:p>
    <w:p>
      <w:pPr>
        <w:ind w:firstLine="8"/>
        <w:spacing w:after="0" w:line="260" w:lineRule="auto"/>
        <w:tabs>
          <w:tab w:leader="none" w:pos="11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Debt, for more information). The remaining interest expense in fiscal 2022 was comprised of letter of credit fees, unused capacity fees and amortization of deferred debt issuance costs.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rates for the six months ended December 31, 2021 and December 31, 2020 were (15.5)% and 11.0%, respectively. The effective tax rate in fiscal 2022 was negatively impacted by a $14.2 million valuation allowance placed on our deferred tax assets during the second quarter, see Item 1. Financial Statements, Note 6 - Income Taxes, for more information. The effective tax rate for the six months ended December 31, 2020 was negatively impacted by deferred tax asset adjustments of $1.2 million.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December 31, 2021, we had a net loss of $42.5 million, or $1.59 per fully diluted share, compared to a net loss of $7.6 million, or $0.29 per fully diluted share, in the six months ended December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and Power Infrastructure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for the Utility and Power Infrastructure segment was $112.0 million in the six months ended December 31, 2021 compared to $112.7 million in the same period last year. The decrease is primarily due to lower volumes of power delivery and natural gas utility peak shaving work, partially offset by higher volumes of power generation and storm response service work.</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segment gross margin (loss) was (5.9)% in fiscal 2022 compared to 11.1% in fiscal 2021. The fiscal 2022 segment gross margin was negatively impacted by an increase in the forecasted costs to complete a large capital project in the first quarter, which resulted in a decrease in gross profit of $5.9 million. The change in forecasted costs was principally due to unexpected equipment repairs during commissioning that delayed the scheduled completion and increased the estimated costs to complete. We achieved a critical performance milestone in the second quarter of fiscal 2022, which significantly reduced our financial exposure and resulted in no change to the expected outcome of the project. In addition, segment gross margin was negatively impacted by an unfavorable settlement of a claim with a customer, and low volumes, which led to the under recovery of construction overhead costs. The fiscal 2021 segment gross margin was positively impacted by strong project execution, partially offset by under recovery of construction overhead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and Industrial Facilities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Process and Industrial Facilities segment was $94.2 million in the six months ended December 31, 2021 compared to $97.2 million in the same period last year. While segment revenue was slightly down compared to last year, we booked $210.4 million of project awards in the first half of fiscal 2022, which includes some large capital projects that are still in the preliminary stages of engineering and construction. As such, we expect strong revenue growth in this segment during the second half of fiscal 2022.</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segment gross margin was 7.5% for the six months ended December 31, 2021 compared to 11.9% in the same period last year. Despite generally strong project execution, the low segment gross margin in fiscal 2022 was the result of low volumes, which led to the under recovery of construction overhead costs. Segment gross margin in fiscal 2021 was positively impacted by strong project execution and the positive impact of a one-time workers' compensation item.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and Terminal Solutions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for the Storage and Terminal Solutions segment was $123.9 million in the six months ended December 31, 2021 compared to $140.4 million in the same period last year. The decrease in segment revenue is primarily a result of lower volumes of crude oil tank and terminal capital work, partially offset by an increase in tank repair and maintenance work.</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segment gross margin was 0.2% for the six months ended December 31, 2021 compared to 4.0% in the same period last year. The fiscal 2022 segment gross margin was negatively impacted by a lower than previously forecasted margin on a thermal energy storage tank repair and maintenance project due to changes in repair scope, expanded client weld testing and associated schedule delays, which reduced segment gross profit by $5.5 million. In addition, the fiscal 2022 segment gross margin was also negatively impacted by low volumes, which led to under recovery of construction overhead costs. The segment gross margin in fiscal 2021 was negatively impacted by a lower than previously forecasted margin on a large crude oil storage terminal capital project and the under recovery construction overhead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Unallocated corporate expenses were $14.3 million during the six months ended December 31, 2021 compared to $13.9 million in the same period last year. The increase is primarily attributable to an increase in legal costs for outstanding litigation (see Item 1. Financial Statements, Note 7 - Commitment and Contingencies, for more information) and third party consulting services related to restructuring activities (see "Operational Update" in this Results of Operations section), partially offset by cost reductions we implemented.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limited notice to proceed or other type of assurance that we consider firm. The following arrangements are considered firm:</w:t>
      </w:r>
    </w:p>
    <w:p>
      <w:pPr>
        <w:spacing w:after="0" w:line="17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52"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long-term maintenance contracts with no minimum commitments and other established customer agreements, we include only the amounts that we expect to recognize as revenue over the next 12 months. For arrangements in which we have received a limited notice to proceed ("LNTP"), we include the entire scope of work in our backlog if we conclude that the likelihood of the full project proceeding as high. For all other arrangements, we calculate backlog as the estimated contract amount less revenue recognized as of the reporting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December 31, 2021:</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Utility and Power</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Process and</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 and</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Industrial Facilities</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Terminal Solutions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 as of September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176,876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199,045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561,355</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115,852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192,170</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(161,965)</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Backlog as of December 31,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150,368</w:t>
            </w:r>
          </w:p>
        </w:tc>
        <w:tc>
          <w:tcPr>
            <w:tcW w:w="1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591,560</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Book-to-bill ratio</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146050</wp:posOffset>
            </wp:positionV>
            <wp:extent cx="7969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12" w:lineRule="exact"/>
        <w:rPr>
          <w:sz w:val="20"/>
          <w:szCs w:val="20"/>
          <w:color w:val="auto"/>
        </w:rPr>
      </w:pPr>
    </w:p>
    <w:p>
      <w:pPr>
        <w:ind w:left="560" w:hanging="309"/>
        <w:spacing w:after="0"/>
        <w:tabs>
          <w:tab w:leader="none" w:pos="5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six months ended December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Utility and Power</w:t>
            </w: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Process and</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Storage and</w:t>
            </w:r>
          </w:p>
        </w:tc>
        <w:tc>
          <w:tcPr>
            <w:tcW w:w="280" w:type="dxa"/>
            <w:vAlign w:val="bottom"/>
          </w:tcPr>
          <w:p>
            <w:pPr>
              <w:spacing w:after="0"/>
              <w:rPr>
                <w:sz w:val="14"/>
                <w:szCs w:val="14"/>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Infrastructure</w:t>
            </w: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Industrial Facilities</w:t>
            </w: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Terminal Solutions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 as of June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134,777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462,561</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92,281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210,414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156,362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459,057</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(330,058)</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Backlog as of December 31,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150,368</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190,222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591,560</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Book-to-bill ratio</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969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85" w:lineRule="exact"/>
        <w:rPr>
          <w:sz w:val="20"/>
          <w:szCs w:val="20"/>
          <w:color w:val="auto"/>
        </w:rPr>
      </w:pPr>
    </w:p>
    <w:p>
      <w:pPr>
        <w:ind w:left="560" w:hanging="309"/>
        <w:spacing w:after="0"/>
        <w:tabs>
          <w:tab w:leader="none" w:pos="5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Strong bidding activity has led to project awards of $192.2 million and $459.1 million during the three and six months ended December 31, 2021, respectively, leading to a book-to-bill ratios of 1.2 and 1.4 for the three and six month periods. Project awards through the first half of fiscal 2022 have surpassed project awards for the full year of fiscal 2021. Total backlog increased by 5.4% and 27.9% during the three and six months ended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Utility and Power Infrastructure segment, backlog decreased by 15.0% as we booked $28.2 million of project awards during the three months ended December 31, 2021. Backlog decreased by 11.6% as we booked $92.3 million of project awards during the six months ended December 31, 2021. Bidding activity is strong in the power delivery portion of the business. During the first half of fiscal 2022, we received several key contracts for electrical infrastructure services including substation and transmission line rebuilds, relay upgrades, and fiber installation. Our opportunity pipeline for LNG peak shaving projects is also building, however those awards, while significant, can be less frequent. In addition, we expect the $1.2 trillion Infrastructure Investment and Jobs Act recently passed by congress will lead to increased opportunities in this segment.</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Process and Industrial Facilities segment, backlog increased by 35.3% as we booked $115.9 million of project awards during the three months ended December 31, 2021. Backlog increased by 86.2% as we booked $210.4 million of project awards during the six months ended December 31, 2021. Client spending related to refinery maintenance operations has returned to near-normal levels. During the first half of fiscal 2022, we received key awards for a thermal vacuum chamber, a midstream gas processing plant and other renewable energy capital projects. We continue to see strong demand for thermal vacuum chambers in the coming quarters, as well as increasing opportunities in mining and minerals and chemicals. In addition, we are seeing more opportunities for midstream gas work, including some larger scale projects.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Storage and Terminal Solutions segment, backlog decreased by 4.4% as we booked $48.1 million of project awards during the three months ended December 31, 2021. Backlog increased by 20.6% as we booked $156.4 million of project awards during the six months ended December 31, 2021. Oil and natural gas producers have remained cautious with capital spending, which has limited new production volumes and opportunities in crude oil tanks and terminals. However, we received key capital construction contracts for an LNG tank and a storage tank package consisting of seven biodiesel tanks, in the first half of fiscal 2022. This segment also includes significant opportunities for storage infrastructure projects related to natural gas, LNG, ammonia, hydrogen, NGLs and other forms of renewable energy.</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 level of awards presented above only represents an interim period and may not be indicative of full year awards.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operating results can exhibit seasonal fluctuations, especially in our Process and Industrial Facilities segment, for a variety of reasons. Turnarounds and planned outages at customer facilities are typically scheduled in the spring and the fall when the demand for energy is lower. Within the Utility and Power Infrastructure segment, transmission and distribution work is generally scheduled by the public utilities when the demand for electricity is at its lowest. Therefore, revenue volume in the summer months is typically lower than in other periods throughout the year.</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operations are also impacted by the COVID-19 pandemic, which has led to the loss of productivity, among other issues. Our business can also be affected, both positively and negatively, by seasonal factors such as energy demand or weather conditions including hurricanes, snowstorms, wildfires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factors impacting operating results in all segments come from decreased work volume during holidays, work site permitting delays or customers accelerating or postponing work. The differing types, sizes, and durations of our contracts, combined with their geographic diversity and stages of completion, often results in fluctuations in our operating results.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overhead cost structure is generally fixed. Significant fluctuations in revenue usually leads to over or under recovery of fixed overhead costs, which can have a material impact on our gross margin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order to more clearly depict our core profitability, the following tables present our operating results after certain adjustments: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Net Loss and Diluted Loss per Common Share</w:t>
      </w:r>
      <w:r>
        <w:rPr>
          <w:rFonts w:ascii="Arial" w:cs="Arial" w:eastAsia="Arial" w:hAnsi="Arial"/>
          <w:sz w:val="23"/>
          <w:szCs w:val="23"/>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80" w:type="dxa"/>
            <w:vAlign w:val="bottom"/>
          </w:tcPr>
          <w:p>
            <w:pPr>
              <w:spacing w:after="0"/>
              <w:rPr>
                <w:sz w:val="16"/>
                <w:szCs w:val="16"/>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2021</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Pr>
          <w:p>
            <w:pPr>
              <w:spacing w:after="0"/>
              <w:rPr>
                <w:sz w:val="16"/>
                <w:szCs w:val="16"/>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2021</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4"/>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as reported</w:t>
            </w: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(24,919)</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(4,591)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(42,457)</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30"/>
        </w:trPr>
        <w:tc>
          <w:tcPr>
            <w:tcW w:w="5880" w:type="dxa"/>
            <w:vAlign w:val="bottom"/>
          </w:tcPr>
          <w:p>
            <w:pPr>
              <w:ind w:left="360"/>
              <w:spacing w:after="0"/>
              <w:rPr>
                <w:sz w:val="20"/>
                <w:szCs w:val="20"/>
                <w:color w:val="auto"/>
              </w:rPr>
            </w:pPr>
            <w:r>
              <w:rPr>
                <w:rFonts w:ascii="Arial" w:cs="Arial" w:eastAsia="Arial" w:hAnsi="Arial"/>
                <w:sz w:val="18"/>
                <w:szCs w:val="18"/>
                <w:color w:val="auto"/>
              </w:rPr>
              <w:t>Restructuring costs incurred</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Accelerated amortization of deferred debt amendment fees</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80" w:type="dxa"/>
            <w:vAlign w:val="bottom"/>
          </w:tcPr>
          <w:p>
            <w:pPr>
              <w:ind w:left="360"/>
              <w:spacing w:after="0" w:line="230" w:lineRule="exact"/>
              <w:rPr>
                <w:sz w:val="20"/>
                <w:szCs w:val="20"/>
                <w:color w:val="auto"/>
              </w:rPr>
            </w:pPr>
            <w:r>
              <w:rPr>
                <w:rFonts w:ascii="Arial" w:cs="Arial" w:eastAsia="Arial" w:hAnsi="Arial"/>
                <w:sz w:val="18"/>
                <w:szCs w:val="18"/>
                <w:color w:val="auto"/>
              </w:rPr>
              <w:t>Deferred tax asset valuation allowance</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14,198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14,198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8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Tax impact of restructuring costs and accelerated amortization of debt</w:t>
            </w: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(1,299)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amendment fees</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Adjusted net loss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(26,166)</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Loss per fully diluted share, as reported</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loss per fully diluted share</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111125</wp:posOffset>
            </wp:positionV>
            <wp:extent cx="7969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31" w:lineRule="exact"/>
        <w:rPr>
          <w:sz w:val="20"/>
          <w:szCs w:val="20"/>
          <w:color w:val="auto"/>
        </w:rPr>
      </w:pPr>
    </w:p>
    <w:p>
      <w:pPr>
        <w:jc w:val="both"/>
        <w:ind w:left="580" w:hanging="329"/>
        <w:spacing w:after="0" w:line="285" w:lineRule="auto"/>
        <w:tabs>
          <w:tab w:leader="none" w:pos="572"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This table presents non-GAAP financial measures of our adjusted net loss and adjusted diluted loss per common share for the three and six months ended December 31, 2021 and 2020. The most directly comparable financial measures are net loss and net loss per diluted share, respectively, presented in the Condensed Consolidated Statements of Income. We have presented these non-GAAP financial measures because we believe they more clearly depict our core operating results during the periods presented and provide a more comparable measure of our operating results to other companies considered to be in similar businesses. Since adjusted net loss and adjusted diluted loss per common share are not measures of performance calculated in accordance with GAAP, they should be considered in addition to, rather than as a substitute for, the most directly comparable GAAP financial measures.</w:t>
      </w:r>
    </w:p>
    <w:p>
      <w:pPr>
        <w:spacing w:after="0" w:line="2" w:lineRule="exact"/>
        <w:rPr>
          <w:rFonts w:ascii="Arial" w:cs="Arial" w:eastAsia="Arial" w:hAnsi="Arial"/>
          <w:sz w:val="12"/>
          <w:szCs w:val="12"/>
          <w:color w:val="auto"/>
        </w:rPr>
      </w:pPr>
    </w:p>
    <w:p>
      <w:pPr>
        <w:ind w:left="580" w:right="20" w:hanging="329"/>
        <w:spacing w:after="0" w:line="241" w:lineRule="auto"/>
        <w:tabs>
          <w:tab w:leader="none" w:pos="572"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Interest expense in fiscal 2022 included $1.5 million of accelerated amortization of deferred debt amendment fees (see Item 1. Financial Statements, Note 5 - Debt, for more information).</w:t>
      </w:r>
    </w:p>
    <w:p>
      <w:pPr>
        <w:ind w:left="560" w:hanging="309"/>
        <w:spacing w:after="0"/>
        <w:tabs>
          <w:tab w:leader="none" w:pos="5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 Item 1. Financial Statements, Note 6 - Income Taxes, for more information about the deferred tax asset valuation allowance.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presented Adjusted EBITDA, which we define as net loss before restructuring costs, stock-based compensation, interest expense, income taxes, and depreciation and amortization, because it is used by the financial community as a method of measuring our performance and of evaluating the market value of companies considered to be in similar businesses. We believe that the line item on our Condensed Consolidated Statements of Income entitled “Net loss”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loss,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127" w:lineRule="exact"/>
        <w:rPr>
          <w:sz w:val="20"/>
          <w:szCs w:val="20"/>
          <w:color w:val="auto"/>
        </w:rPr>
      </w:pPr>
    </w:p>
    <w:p>
      <w:pPr>
        <w:ind w:left="980" w:right="52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does not include restructuring costs. Restructuring costs represent material costs that were incurred and are oftentimes cash expenses. Therefore, any measure that excludes restructuring costs has material limitations.</w:t>
      </w:r>
    </w:p>
    <w:p>
      <w:pPr>
        <w:spacing w:after="0" w:line="116" w:lineRule="exact"/>
        <w:rPr>
          <w:rFonts w:ascii="Arial" w:cs="Arial" w:eastAsia="Arial" w:hAnsi="Arial"/>
          <w:sz w:val="18"/>
          <w:szCs w:val="18"/>
          <w:color w:val="auto"/>
        </w:rPr>
      </w:pPr>
    </w:p>
    <w:p>
      <w:pPr>
        <w:ind w:left="980" w:right="220" w:hanging="324"/>
        <w:spacing w:after="0" w:line="259"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does not include stock-based compensation. Stock-based compensation represents material amounts of equity that are awarded to our employees and directors for services rendered. While the expense is non-cash, we release vested shares out of our treasury stock, which has historically been replenished by using cash to periodically repurchase our stock. Therefore, any measure that excludes stock-based compensation has material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980" w:right="80" w:hanging="324"/>
        <w:spacing w:after="0" w:line="311" w:lineRule="auto"/>
        <w:tabs>
          <w:tab w:leader="none" w:pos="9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94" w:lineRule="exact"/>
        <w:rPr>
          <w:rFonts w:ascii="Arial" w:cs="Arial" w:eastAsia="Arial" w:hAnsi="Arial"/>
          <w:sz w:val="16"/>
          <w:szCs w:val="16"/>
          <w:color w:val="auto"/>
        </w:rPr>
      </w:pPr>
    </w:p>
    <w:p>
      <w:pPr>
        <w:ind w:left="980" w:right="26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16"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net loss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58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Six Months Ended</w:t>
            </w:r>
          </w:p>
        </w:tc>
      </w:tr>
      <w:tr>
        <w:trPr>
          <w:trHeight w:val="134"/>
        </w:trPr>
        <w:tc>
          <w:tcPr>
            <w:tcW w:w="56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5"/>
              <w:spacing w:after="0" w:line="135"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4"/>
              <w:spacing w:after="0" w:line="135" w:lineRule="exact"/>
              <w:rPr>
                <w:sz w:val="20"/>
                <w:szCs w:val="20"/>
                <w:color w:val="auto"/>
              </w:rPr>
            </w:pPr>
            <w:r>
              <w:rPr>
                <w:rFonts w:ascii="Arial" w:cs="Arial" w:eastAsia="Arial" w:hAnsi="Arial"/>
                <w:sz w:val="14"/>
                <w:szCs w:val="14"/>
                <w:b w:val="1"/>
                <w:bCs w:val="1"/>
                <w:color w:val="auto"/>
                <w:w w:val="96"/>
              </w:rPr>
              <w:t>December 31,</w:t>
            </w:r>
          </w:p>
        </w:tc>
      </w:tr>
      <w:tr>
        <w:trPr>
          <w:trHeight w:val="188"/>
        </w:trPr>
        <w:tc>
          <w:tcPr>
            <w:tcW w:w="5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183"/>
        </w:trPr>
        <w:tc>
          <w:tcPr>
            <w:tcW w:w="56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224"/>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4,725</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9,287</w:t>
            </w: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10,374</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liquidity as the ongoing ability to pay our liabilities as they become due, fund business operations and meet all monetary contractual obligations. Our primary sources of liquidity at December 31, 2021 were unrestricted cash and cash equivalents on hand, capacity under our ABL Facility, and cash generated from operations. Unrestricted cash and cash equivalents at December 31, 2021 totaled $65.0 million and availability under the ABL Facility totaled $36.7 million, resulting in total liquidity of $101.7 million.</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in the Condensed Consolidated Balance Sheets to the total cash, cash equivalents and restricted cash shown in the Condensed Consolidated Statements of Cash Flows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60" w:type="dxa"/>
            <w:vAlign w:val="bottom"/>
          </w:tcPr>
          <w:p>
            <w:pPr>
              <w:jc w:val="right"/>
              <w:ind w:right="316"/>
              <w:spacing w:after="0"/>
              <w:rPr>
                <w:sz w:val="20"/>
                <w:szCs w:val="20"/>
                <w:color w:val="auto"/>
              </w:rPr>
            </w:pPr>
            <w:r>
              <w:rPr>
                <w:rFonts w:ascii="Arial" w:cs="Arial" w:eastAsia="Arial" w:hAnsi="Arial"/>
                <w:sz w:val="14"/>
                <w:szCs w:val="14"/>
                <w:b w:val="1"/>
                <w:bCs w:val="1"/>
                <w:color w:val="auto"/>
              </w:rPr>
              <w:t>June 30,</w:t>
            </w:r>
          </w:p>
        </w:tc>
      </w:tr>
      <w:tr>
        <w:trPr>
          <w:trHeight w:val="188"/>
        </w:trPr>
        <w:tc>
          <w:tcPr>
            <w:tcW w:w="85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r>
      <w:tr>
        <w:trPr>
          <w:trHeight w:val="224"/>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83,878</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w w:val="92"/>
              </w:rPr>
              <w:t>Total cash, cash equivalents and restricted cash shown in the Condensed Consolidated Statements of Cash Flows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83,878</w:t>
            </w:r>
          </w:p>
        </w:tc>
      </w:tr>
      <w:tr>
        <w:trPr>
          <w:trHeight w:val="21"/>
        </w:trPr>
        <w:tc>
          <w:tcPr>
            <w:tcW w:w="8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we saw improvement in our project awards and business environment during the first half of fiscal 2022, the near- and intermediate-term business impacts from the COVID-19 pandemic and its disruption of our markets are still uncertain. Therefore we continue to maintain a strong balance sheet, which we believe is sufficient to support our near- to intermediate-term needs. We are continuing to take the following actions:</w:t>
      </w:r>
    </w:p>
    <w:p>
      <w:pPr>
        <w:spacing w:after="0" w:line="11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strategically reviewing business processes and organizational 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proactively managing our the cost structure and working capital;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capital expenditures to critical needs.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252" w:lineRule="exact"/>
        <w:rPr>
          <w:sz w:val="20"/>
          <w:szCs w:val="20"/>
          <w:color w:val="auto"/>
        </w:rPr>
      </w:pPr>
    </w:p>
    <w:p>
      <w:pPr>
        <w:ind w:left="660" w:right="28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97" w:lineRule="exact"/>
        <w:rPr>
          <w:rFonts w:ascii="Arial" w:cs="Arial" w:eastAsia="Arial" w:hAnsi="Arial"/>
          <w:sz w:val="18"/>
          <w:szCs w:val="18"/>
          <w:color w:val="auto"/>
        </w:rPr>
      </w:pPr>
    </w:p>
    <w:p>
      <w:pPr>
        <w:ind w:left="1300" w:right="140" w:hanging="320"/>
        <w:spacing w:after="0" w:line="27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some cost-plus and fixed-price customer contracts are billed based on milestones which may require us to incur significant expenditures prior to collections from our customers;</w:t>
      </w:r>
    </w:p>
    <w:p>
      <w:pPr>
        <w:spacing w:after="0" w:line="197" w:lineRule="exact"/>
        <w:rPr>
          <w:rFonts w:ascii="Arial" w:cs="Arial" w:eastAsia="Arial" w:hAnsi="Arial"/>
          <w:sz w:val="18"/>
          <w:szCs w:val="18"/>
          <w:color w:val="auto"/>
        </w:rPr>
      </w:pPr>
    </w:p>
    <w:p>
      <w:pPr>
        <w:ind w:left="1300" w:right="480" w:hanging="320"/>
        <w:spacing w:after="0" w:line="27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some fixed-price customer contracts allow for significant upfront billings at the beginning of a project, which temporarily increases liquidity near term;</w:t>
      </w:r>
    </w:p>
    <w:p>
      <w:pPr>
        <w:spacing w:after="0" w:line="197" w:lineRule="exact"/>
        <w:rPr>
          <w:rFonts w:ascii="Arial" w:cs="Arial" w:eastAsia="Arial" w:hAnsi="Arial"/>
          <w:sz w:val="18"/>
          <w:szCs w:val="18"/>
          <w:color w:val="auto"/>
        </w:rPr>
      </w:pPr>
    </w:p>
    <w:p>
      <w:pPr>
        <w:ind w:left="1300" w:right="40" w:hanging="320"/>
        <w:spacing w:after="0" w:line="27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 and</w:t>
      </w:r>
    </w:p>
    <w:p>
      <w:pPr>
        <w:spacing w:after="0" w:line="197" w:lineRule="exact"/>
        <w:rPr>
          <w:rFonts w:ascii="Arial" w:cs="Arial" w:eastAsia="Arial" w:hAnsi="Arial"/>
          <w:sz w:val="18"/>
          <w:szCs w:val="18"/>
          <w:color w:val="auto"/>
        </w:rPr>
      </w:pPr>
    </w:p>
    <w:p>
      <w:pPr>
        <w:ind w:left="1300" w:right="600" w:hanging="320"/>
        <w:spacing w:after="0" w:line="27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security in the form of letters of credit or significant retentions. The timing of collection of retentions is often uncertain;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changes in working capital;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52"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collection issues, including those caused by weak commodity prices, economic slowdowns or other factors which can lead to credit deterioration of our customers;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issuances of letters of credit;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long-term liquidity include:</w:t>
      </w:r>
    </w:p>
    <w:p>
      <w:pPr>
        <w:spacing w:after="0" w:line="25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borrowing constraints under our ABL Facility and maintaining compliance with all covenants contained in the ABL Facility;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and disposals of businesses;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Credit Facility and Senior Secured Revolving Credit Facility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Credit Facility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9, 2021, we and our primary U.S. and Canada operating subsidiaries entered into an asset-backed credit agreement (the "ABL Facility") as borrowers with Bank of Montreal, as Administrative Agent, Swing-Line Lender, a Letter of Credit Issuer and a Lender. The ABL Facility is guaranteed by substantially all of our remaining U.S. and Canadian subsidiaries. The ABL Facility provides for available borrowings of up to $100.0 million, which may be increased further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secured by a first lien on all our assets and the assets of our co-borrowers and guarantors under the ABL Facility.</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ABL Facility matures and any outstanding amounts become due and payable on September 9, 2026.</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December 31, 2021, our borrowing base was $70.1 million and we had $33.4 million in letters of credit outstanding issued by Bank of Montreal, which resulted in availability of $36.7 million under the ABL Facility. In addition, there were $9.5 million in letters of credit outstanding issued by JPMorgan Chase Bank, N.A. ("JPMorgan"). JPMorgan was the administrative agent of our former senior secured revolving credit facility, which was terminated and replaced with the ABL Facility. The JPMorgan letters of credit outstanding as of December 31, 2021 were in the process of being replaced by Bank of Montreal letters of credit, and that process was substantially complete at the end of January. The letters of credit outstanding from Bank of Montreal had reduced from $33.4 million as of December 31, 2021 to $23.6 million as of January 31, 2022. In addition, the letters of credit outstanding from JPMorgan had reduced from $9.5 million as of December 31, 2021 to $0.2 million as of January 31, 2022.</w:t>
      </w:r>
    </w:p>
    <w:p>
      <w:pPr>
        <w:spacing w:after="0" w:line="1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Borrowings under the ABL Facility bear interest through maturity at a variable rate based upon, at our option, an annual rate equal to any of a base rate (“Base Rate”), Canadian prime rate, CDOR rate or a LIBOR rate, plus an applicable margin. The Base Rate is defined as a fluctuating interest rate equal to the greatest of (i) rate of interest announced by Bank of Montreal from time to time as its prime rate; (ii) the U.S. federal funds rate plus 0.50%; (iii) LIBOR rate for one month period plus 1.00%; and (iv) 1.00%. Depending on the amount of average availability, the applicable margin is between 1.00% to 1.50% for either U.S. Base Rate Loans or Canadian prime rate, and between 2.00% and 2.50% for CDOR and LIBOR rate borrowings. Interest is payable either (i) monthly for Base Rate borrowings or (ii) the last day of the interest period for LIBOR or CDOR rate borrowings, as set forth in the Credit Agreement. The fee for undrawn amounts is 0.25% per annum and is due quarterly.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commitments under the ABL Facility then in effect, a consolidated Fixed Charge Coverage Ratio of at least 1.00 to 1.00 must be maintained. We are in compliance with all covenants of the ABL Facility as of December 31, 2021.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Revolving Credit Facility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ABL Facility replaced the Fifth Amended and Restated Credit Agreement (the "Prior Credit Agreement"), that was entered into on November 2, 2020, and subsequently amended on May 4, 2021, by and among us and certain foreign subsidiaries, as Borrowers, various subsidiaries of ours, as Guarantors, JPMorgan, as Administrative Agent, Sole Lead Arranger and Sole Book Runner, and the other Lenders party thereto. The Prior Credit Agreement provided for a three-year senior secured revolving credit facility of $200.0 million was set to expire November 2, 2023.</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borrowings and $41.3 million of letters of credit outstanding under the Prior Credit Agreement as of the date we commenced the ABL Facility. As of December 31, 2021 there were $9.5 million in letters of credit outstanding under the Prior Credit Agreement, which decreased to $0.2 million outstanding as of January 31, 2022. Interest expense during the six months ended December 31, 2021 included $1.5 million of accelerated amortization of deferred debt amendment fees associated with the Prior Credit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Six Months Ended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for the six months ended December 31, 2021 totaled $11.4 million. The various components are as follows:</w:t>
      </w:r>
    </w:p>
    <w:p>
      <w:pPr>
        <w:sectPr>
          <w:pgSz w:w="11900" w:h="16838" w:orient="portrait"/>
          <w:cols w:equalWidth="0" w:num="1">
            <w:col w:w="11240"/>
          </w:cols>
          <w:pgMar w:left="320" w:top="368" w:right="339" w:bottom="1440" w:gutter="0" w:footer="0" w:header="0"/>
        </w:sectPr>
      </w:pPr>
    </w:p>
    <w:p>
      <w:pPr>
        <w:spacing w:after="0" w:line="260" w:lineRule="exact"/>
        <w:rPr>
          <w:sz w:val="20"/>
          <w:szCs w:val="20"/>
          <w:color w:val="auto"/>
        </w:rPr>
      </w:pPr>
    </w:p>
    <w:p>
      <w:pPr>
        <w:jc w:val="center"/>
        <w:ind w:left="164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7"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auto"/>
        </w:rPr>
        <w:t>(In thousands)</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Non-cash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income tax</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effect of 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operating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Cash effect of changes in operating assets and liabilities at December 31, 2021 in comparison to June 30, 2021 include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9" w:hanging="659"/>
        <w:spacing w:after="0"/>
        <w:tabs>
          <w:tab w:leader="none" w:pos="659" w:val="left"/>
        </w:tabs>
        <w:numPr>
          <w:ilvl w:val="0"/>
          <w:numId w:val="21"/>
        </w:numPr>
        <w:rPr>
          <w:rFonts w:ascii="Arial" w:cs="Arial" w:eastAsia="Arial" w:hAnsi="Arial"/>
          <w:sz w:val="16"/>
          <w:szCs w:val="16"/>
          <w:color w:val="auto"/>
        </w:rPr>
      </w:pPr>
      <w:r>
        <w:rPr>
          <w:rFonts w:ascii="Arial" w:cs="Arial" w:eastAsia="Arial" w:hAnsi="Arial"/>
          <w:sz w:val="16"/>
          <w:szCs w:val="16"/>
          <w:color w:val="auto"/>
        </w:rPr>
        <w:t>(42,457)</w:t>
      </w:r>
    </w:p>
    <w:p>
      <w:pPr>
        <w:spacing w:after="0" w:line="46" w:lineRule="exact"/>
        <w:rPr>
          <w:rFonts w:ascii="Arial" w:cs="Arial" w:eastAsia="Arial" w:hAnsi="Arial"/>
          <w:sz w:val="16"/>
          <w:szCs w:val="16"/>
          <w:color w:val="auto"/>
        </w:rPr>
      </w:pPr>
    </w:p>
    <w:p>
      <w:pPr>
        <w:ind w:left="739"/>
        <w:spacing w:after="0"/>
        <w:rPr>
          <w:rFonts w:ascii="Arial" w:cs="Arial" w:eastAsia="Arial" w:hAnsi="Arial"/>
          <w:sz w:val="16"/>
          <w:szCs w:val="16"/>
          <w:color w:val="auto"/>
        </w:rPr>
      </w:pPr>
      <w:r>
        <w:rPr>
          <w:rFonts w:ascii="Arial" w:cs="Arial" w:eastAsia="Arial" w:hAnsi="Arial"/>
          <w:sz w:val="17"/>
          <w:szCs w:val="17"/>
          <w:color w:val="auto"/>
        </w:rPr>
        <w:t>12,957</w:t>
      </w:r>
    </w:p>
    <w:p>
      <w:pPr>
        <w:spacing w:after="0" w:line="34" w:lineRule="exact"/>
        <w:rPr>
          <w:rFonts w:ascii="Arial" w:cs="Arial" w:eastAsia="Arial" w:hAnsi="Arial"/>
          <w:sz w:val="16"/>
          <w:szCs w:val="16"/>
          <w:color w:val="auto"/>
        </w:rPr>
      </w:pPr>
    </w:p>
    <w:p>
      <w:pPr>
        <w:ind w:left="819"/>
        <w:spacing w:after="0"/>
        <w:rPr>
          <w:rFonts w:ascii="Arial" w:cs="Arial" w:eastAsia="Arial" w:hAnsi="Arial"/>
          <w:sz w:val="16"/>
          <w:szCs w:val="16"/>
          <w:color w:val="auto"/>
        </w:rPr>
      </w:pPr>
      <w:r>
        <w:rPr>
          <w:rFonts w:ascii="Arial" w:cs="Arial" w:eastAsia="Arial" w:hAnsi="Arial"/>
          <w:sz w:val="18"/>
          <w:szCs w:val="18"/>
          <w:color w:val="auto"/>
        </w:rPr>
        <w:t>5,340</w:t>
      </w:r>
    </w:p>
    <w:p>
      <w:pPr>
        <w:spacing w:after="0" w:line="22" w:lineRule="exact"/>
        <w:rPr>
          <w:rFonts w:ascii="Arial" w:cs="Arial" w:eastAsia="Arial" w:hAnsi="Arial"/>
          <w:sz w:val="16"/>
          <w:szCs w:val="16"/>
          <w:color w:val="auto"/>
        </w:rPr>
      </w:pPr>
    </w:p>
    <w:p>
      <w:pPr>
        <w:ind w:left="739"/>
        <w:spacing w:after="0"/>
        <w:rPr>
          <w:rFonts w:ascii="Arial" w:cs="Arial" w:eastAsia="Arial" w:hAnsi="Arial"/>
          <w:sz w:val="16"/>
          <w:szCs w:val="16"/>
          <w:color w:val="auto"/>
        </w:rPr>
      </w:pPr>
      <w:r>
        <w:rPr>
          <w:rFonts w:ascii="Arial" w:cs="Arial" w:eastAsia="Arial" w:hAnsi="Arial"/>
          <w:sz w:val="17"/>
          <w:szCs w:val="17"/>
          <w:color w:val="auto"/>
        </w:rPr>
        <w:t>35,500</w:t>
      </w:r>
    </w:p>
    <w:p>
      <w:pPr>
        <w:spacing w:after="0" w:line="34" w:lineRule="exact"/>
        <w:rPr>
          <w:rFonts w:ascii="Arial" w:cs="Arial" w:eastAsia="Arial" w:hAnsi="Arial"/>
          <w:sz w:val="16"/>
          <w:szCs w:val="16"/>
          <w:color w:val="auto"/>
        </w:rPr>
      </w:pPr>
    </w:p>
    <w:p>
      <w:pPr>
        <w:ind w:left="1059"/>
        <w:spacing w:after="0"/>
        <w:rPr>
          <w:rFonts w:ascii="Arial" w:cs="Arial" w:eastAsia="Arial" w:hAnsi="Arial"/>
          <w:sz w:val="16"/>
          <w:szCs w:val="16"/>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401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5" w:lineRule="exact"/>
        <w:rPr>
          <w:sz w:val="20"/>
          <w:szCs w:val="20"/>
          <w:color w:val="auto"/>
        </w:rPr>
      </w:pPr>
    </w:p>
    <w:p>
      <w:pPr>
        <w:ind w:left="739" w:hanging="739"/>
        <w:spacing w:after="0"/>
        <w:tabs>
          <w:tab w:leader="none" w:pos="739" w:val="left"/>
        </w:tabs>
        <w:numPr>
          <w:ilvl w:val="0"/>
          <w:numId w:val="22"/>
        </w:numPr>
        <w:rPr>
          <w:rFonts w:ascii="Arial" w:cs="Arial" w:eastAsia="Arial" w:hAnsi="Arial"/>
          <w:sz w:val="17"/>
          <w:szCs w:val="17"/>
          <w:color w:val="auto"/>
        </w:rPr>
      </w:pPr>
      <w:r>
        <w:rPr>
          <w:rFonts w:ascii="Arial" w:cs="Arial" w:eastAsia="Arial" w:hAnsi="Arial"/>
          <w:sz w:val="17"/>
          <w:szCs w:val="17"/>
          <w:color w:val="auto"/>
        </w:rPr>
        <w:t>11,385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8401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47625</wp:posOffset>
            </wp:positionV>
            <wp:extent cx="8401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674" w:lineRule="exact"/>
        <w:rPr>
          <w:sz w:val="20"/>
          <w:szCs w:val="20"/>
          <w:color w:val="auto"/>
        </w:rPr>
      </w:pPr>
    </w:p>
    <w:p>
      <w:pPr>
        <w:sectPr>
          <w:pgSz w:w="11900" w:h="16838" w:orient="portrait"/>
          <w:cols w:equalWidth="0" w:num="2">
            <w:col w:w="9600" w:space="321"/>
            <w:col w:w="1319"/>
          </w:cols>
          <w:pgMar w:left="320" w:top="368" w:right="339" w:bottom="1440" w:gutter="0" w:footer="0" w:header="0"/>
          <w:type w:val="continuous"/>
        </w:sectPr>
      </w:pPr>
    </w:p>
    <w:p>
      <w:pPr>
        <w:spacing w:after="0" w:line="75" w:lineRule="exact"/>
        <w:rPr>
          <w:sz w:val="20"/>
          <w:szCs w:val="20"/>
          <w:color w:val="auto"/>
        </w:rPr>
      </w:pPr>
    </w:p>
    <w:p>
      <w:pPr>
        <w:ind w:left="980" w:right="30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Accounts receivable decreased $26.5 million during the six months ended December 31, 2021, which increased cash flows from operating activities. The variance is primarily attributable to the timing of billing and collections.</w:t>
      </w:r>
    </w:p>
    <w:p>
      <w:pPr>
        <w:spacing w:after="0" w:line="197" w:lineRule="exact"/>
        <w:rPr>
          <w:rFonts w:ascii="Arial" w:cs="Arial" w:eastAsia="Arial" w:hAnsi="Arial"/>
          <w:sz w:val="18"/>
          <w:szCs w:val="18"/>
          <w:color w:val="auto"/>
        </w:rPr>
      </w:pPr>
    </w:p>
    <w:p>
      <w:pPr>
        <w:ind w:left="980" w:right="60" w:hanging="324"/>
        <w:spacing w:after="0" w:line="279" w:lineRule="auto"/>
        <w:tabs>
          <w:tab w:leader="none" w:pos="9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Costs and estimated earnings in excess of billings on uncompleted contracts ("CIE") increased $3.7 million, which decreased cash flows from operating activities. Billings on uncompleted contracts in excess of costs and estimated earnings ("BIE") increased $31.0 million, which increased cash flows from operating activities. CIE and BIE balances can experience significant fluctuations based on business volumes and the timing of when job costs are incurred and the timing of customer billings and payments.</w:t>
      </w:r>
    </w:p>
    <w:p>
      <w:pPr>
        <w:spacing w:after="0" w:line="198" w:lineRule="exact"/>
        <w:rPr>
          <w:rFonts w:ascii="Arial" w:cs="Arial" w:eastAsia="Arial" w:hAnsi="Arial"/>
          <w:sz w:val="17"/>
          <w:szCs w:val="17"/>
          <w:color w:val="auto"/>
        </w:rPr>
      </w:pPr>
    </w:p>
    <w:p>
      <w:pPr>
        <w:ind w:left="980" w:hanging="324"/>
        <w:spacing w:after="0" w:line="301" w:lineRule="auto"/>
        <w:tabs>
          <w:tab w:leader="none" w:pos="9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Inventories, income taxes receivable, other current assets, operating right-of-use lease assets and other assets, non-current, were flat during the six months ended December 31, 2021, which did not affect cash flows from operating activities. These operating assets can fluctuate based on the timing of inventory builds and draw-downs, accrual and receipt of income taxes receivable; prepayments of certain expenses; lease commencement, passage of time, expiration, or termination of operating leases; business volumes; and other timing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right="200" w:hanging="324"/>
        <w:spacing w:after="0" w:line="279" w:lineRule="auto"/>
        <w:tabs>
          <w:tab w:leader="none" w:pos="9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Accounts payable, accrued wages and benefits, accrued insurance, operating lease liabilities, other accrued expenses, and other liabilities, non-current decreased by $18.1 million during the six months ended December 31, 2021, which decreased cash flows from operating activities. These operating liabilities can fluctuate based on the timing of vendor payments; accruals; lease commencement, lease payments, expiration, or termination of operating leases; business volumes; and other timing differences.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Investing Activities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Investing activities used $0.5 million of cash in the six months ended December 31, 2021 primarily due to $0.6 million of capital expenditures, partially offset by $0.1 million of proceeds from other asset sales.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Financing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Financing activities used $1.8 million of cash in the six months ended December 31, 2021 primarily due to $1.0 million paid in fees to enter into our ABL Facility and $0.9 million paid to repurchase our stock for payment of withholding taxes due on equity-based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terms of our ABL Facility limit share repurchases to $2.5 million per fiscal year provided that we meet certain availability thresholds and do not violate our Fixed Charge Coverage Ratio financial covenant. 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the first half of fiscal 2022 and have no current plans to repurchase stock.</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there were 1,349,037 shares available for repurchase under the Stock Buyback Program. We had 1,114,242 treasury shares as of December 31, 2021 and intend to utilize these treasury shares in connection with equity awards under the our stock incentive plans and for sales to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2021 Annual Report on Form 10-K filed with the SEC. For more information on our critical accounting policies, see Part II, Item 7 of our fiscal 2021 Annual Report on Form 10-K. The following section provides certain information with respect to our critical accounting policies as of the close of our most recent quarterly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 about our Contracts with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 comes from contracts to provide engineering, procurement, fabrication and construction, repair and maintenance and other services. Our engineering, procurement and fabrication and construction services are usually provided in association with capital projects, which are commonly fixed-price contracts that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exceed one year for capital projects.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Contract Identification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a single contract. This evaluation requires judgment and could change the timing of the amount of revenue and profit recorded for a given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Identify Performance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Contract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Assign Contract Price to Performance Obligations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5: Recognize Revenue as Performance Obligations are Satisfied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revenue for contracts with our customers as we satisfy the contracts' performance obligations. We recognize revenue on performance obligations associated with fixed-price contracts for engineering, procurement, fabrication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the revenue accounting standards,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We do not sell separate warranties.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Orders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 of the Notes to Condensed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 of the Notes to Financial Statements.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$10.1 million at December 31, 2021 and $14.6 million at June 30, 2021. The amounts ultimately realized may be significantly different than the recorded amounts resulting in a material adjustment to future earnings.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but is tested at least annually for impairment at the reporting unit level, which is a level below our reportable segments.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perform our annual impairment test as of May 31st of each fiscal year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fair values of our reporting units compared to our market capitalization.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We believe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Various legal actions, claims, and other contingencies arise in the normal course of our business. Contingencies are recorded in the condensed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2021, filed with the Securities and Exchange Commission. For more information on market risk, see Part II, Item 7A in our fiscal 2021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December 31, 2021. Based on the foregoing, our Chief Executive Officer and Chief Financial Officer concluded that our disclosure controls and procedures were effective at the reasonable assurance level at December 31, 2021.</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December 31,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amended the following Risk Factor that appeared in Item 1A of Part I of our Annual Report on Form 10-K for the fiscal year ended June 30, 2021. This amended Risk Factor should be considered along with the other Risk Factors that appeared in our Annual Report for the fiscal year ended June 30, 2021. Except as set forth below, there have been no material changes to the risk factors involving us from those previously disclosed in Item 1A of our Annual Report on Form 10-K for the fiscal year ended June 30,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adversely affected our business and operations.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COVID-19 pandemic has adversely affected our business and operations and the business and operations of our customers. We have experienced unpredictable reductions in demand for our services. In response to the COVID-19 pandemic, companies within the oil and natural gas and other industries (including our customers) have announced spending cuts and/or project delays which, in turn, have resulted in decreased awards of new contracts or adjustments, reductions, suspensions or cancellations of existing contracts. Such continued delays have impacted our business, results of operations and financial condition.</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ongoing pandemic has also resulted in disruptions to labor and global supply chains, which have led to labor shortages and higher prices for some of the materials we need to run our business, including, but not limited to, structural steel, steel piping, rebar, valves, copper, and delivery freight. We have been proactive with managing our workforce and procurement processes to help reduce the impacts of labor shortages and rising materials prices on our business and to help ensure we continue to have the labor and materials we need available. However, rising prices and the potential for labor and materials shortages have created additional risk into bidding and executing work profitably.</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continue to monitor the potential for regulation requiring our employees to get vaccinated and/or tested frequently for COVID-19. No such regulation is in place at this time, but we have prepared for the possibility that we must comply with such regulation. It is not possible to predict with certainty the exact impact that such regulation would have on us or on our workforce. However, vaccine and testing mandates could result in employee attrition and difficulty securing future labor needs which could have an adverse effect on our business, results of operations and/or cash flows.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duration of the COVID-19 pandemic and its economic consequences are uncertain, rapidly changing and difficult to predict. While we expect the COVID-19 pandemic to continue to have an adverse effect on our business, financial condition, liquidity, cash flow and results of operations, we are unable to predict the nature, timing and extent of these impacts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information with respect to purchases we made of our common stock during the second quarter of fiscal year 2022.</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of Shares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Purchased as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22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5"/>
              </w:rPr>
              <w:t>Total Number</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restart"/>
          </w:tcPr>
          <w:p>
            <w:pPr>
              <w:jc w:val="center"/>
              <w:ind w:left="196"/>
              <w:spacing w:after="0"/>
              <w:rPr>
                <w:sz w:val="20"/>
                <w:szCs w:val="20"/>
                <w:color w:val="auto"/>
              </w:rPr>
            </w:pPr>
            <w:r>
              <w:rPr>
                <w:rFonts w:ascii="Arial" w:cs="Arial" w:eastAsia="Arial" w:hAnsi="Arial"/>
                <w:sz w:val="14"/>
                <w:szCs w:val="14"/>
                <w:b w:val="1"/>
                <w:bCs w:val="1"/>
                <w:color w:val="auto"/>
                <w:w w:val="92"/>
              </w:rPr>
              <w:t>Average Price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6"/>
              </w:rPr>
              <w:t>Part of Publicly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Announced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122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87"/>
              </w:rPr>
              <w:t>of Shares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left="176"/>
              <w:spacing w:after="0" w:line="135" w:lineRule="exact"/>
              <w:rPr>
                <w:sz w:val="20"/>
                <w:szCs w:val="20"/>
                <w:color w:val="auto"/>
              </w:rPr>
            </w:pPr>
            <w:r>
              <w:rPr>
                <w:rFonts w:ascii="Arial" w:cs="Arial" w:eastAsia="Arial" w:hAnsi="Arial"/>
                <w:sz w:val="14"/>
                <w:szCs w:val="14"/>
                <w:b w:val="1"/>
                <w:bCs w:val="1"/>
                <w:color w:val="auto"/>
                <w:w w:val="94"/>
              </w:rPr>
              <w:t>Paid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0"/>
              </w:rPr>
              <w:t>Plans or</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88"/>
        </w:trPr>
        <w:tc>
          <w:tcPr>
            <w:tcW w:w="47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89"/>
              </w:rPr>
              <w:t>Purchased</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196"/>
              <w:spacing w:after="0"/>
              <w:rPr>
                <w:sz w:val="20"/>
                <w:szCs w:val="20"/>
                <w:color w:val="auto"/>
              </w:rPr>
            </w:pPr>
            <w:r>
              <w:rPr>
                <w:rFonts w:ascii="Arial" w:cs="Arial" w:eastAsia="Arial" w:hAnsi="Arial"/>
                <w:sz w:val="14"/>
                <w:szCs w:val="14"/>
                <w:b w:val="1"/>
                <w:bCs w:val="1"/>
                <w:color w:val="auto"/>
                <w:w w:val="94"/>
              </w:rPr>
              <w:t>Per Share</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4"/>
              </w:rPr>
              <w:t>Programs</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(C)</w:t>
            </w:r>
          </w:p>
        </w:tc>
        <w:tc>
          <w:tcPr>
            <w:tcW w:w="0" w:type="dxa"/>
            <w:vAlign w:val="bottom"/>
          </w:tcPr>
          <w:p>
            <w:pPr>
              <w:spacing w:after="0"/>
              <w:rPr>
                <w:sz w:val="1"/>
                <w:szCs w:val="1"/>
                <w:color w:val="auto"/>
              </w:rPr>
            </w:pPr>
          </w:p>
        </w:tc>
      </w:tr>
      <w:tr>
        <w:trPr>
          <w:trHeight w:val="211"/>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October 1 to October 31, 2021</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Stock Buyback Program (A)</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36"/>
              <w:spacing w:after="0"/>
              <w:rPr>
                <w:sz w:val="20"/>
                <w:szCs w:val="20"/>
                <w:color w:val="auto"/>
              </w:rPr>
            </w:pPr>
            <w:r>
              <w:rPr>
                <w:rFonts w:ascii="Arial" w:cs="Arial" w:eastAsia="Arial" w:hAnsi="Arial"/>
                <w:sz w:val="18"/>
                <w:szCs w:val="18"/>
                <w:color w:val="auto"/>
                <w:w w:val="79"/>
              </w:rPr>
              <w:t>$</w:t>
            </w: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Employee Transactions (B)</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1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1 to November 30, 2021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Buyback Program (A)</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1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29"/>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Employee Transactions (B)</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36"/>
              <w:spacing w:after="0"/>
              <w:rPr>
                <w:sz w:val="20"/>
                <w:szCs w:val="20"/>
                <w:color w:val="auto"/>
              </w:rPr>
            </w:pPr>
            <w:r>
              <w:rPr>
                <w:rFonts w:ascii="Arial" w:cs="Arial" w:eastAsia="Arial" w:hAnsi="Arial"/>
                <w:sz w:val="18"/>
                <w:szCs w:val="18"/>
                <w:color w:val="auto"/>
                <w:w w:val="79"/>
              </w:rPr>
              <w:t>$</w:t>
            </w: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1 to December 31, 2021</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Stock Buyback Program (A)</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36"/>
              <w:spacing w:after="0"/>
              <w:rPr>
                <w:sz w:val="20"/>
                <w:szCs w:val="20"/>
                <w:color w:val="auto"/>
              </w:rPr>
            </w:pPr>
            <w:r>
              <w:rPr>
                <w:rFonts w:ascii="Arial" w:cs="Arial" w:eastAsia="Arial" w:hAnsi="Arial"/>
                <w:sz w:val="18"/>
                <w:szCs w:val="18"/>
                <w:color w:val="auto"/>
                <w:w w:val="79"/>
              </w:rPr>
              <w:t>$</w:t>
            </w: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1,349,037</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Employee Transactions (B)</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1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60" w:hanging="309"/>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80" w:hanging="329"/>
        <w:spacing w:after="0" w:line="250" w:lineRule="auto"/>
        <w:tabs>
          <w:tab w:leader="none" w:pos="577"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our stock incentive plans.</w:t>
      </w:r>
    </w:p>
    <w:p>
      <w:pPr>
        <w:jc w:val="both"/>
        <w:ind w:left="580" w:hanging="329"/>
        <w:spacing w:after="0" w:line="290" w:lineRule="auto"/>
        <w:tabs>
          <w:tab w:leader="none" w:pos="577"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The terms of our ABL Facility also limit share repurchases to $2.5 million per fiscal year provided that we meet certain availability thresholds and we do not violate our Fixed Charge Coverage Ratio financial covenant. We made no repurchases under the program in the second quarter of fiscal 2022 and have no current plans to repurchase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documents are included as exhibits to this Quarterly Report on Form 10-Q. Any exhibits below incorporated by reference herein are indicated as such by the information supplied in the parenthetical hereafter.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4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6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31.1:</w:t>
            </w:r>
          </w:p>
        </w:tc>
        <w:tc>
          <w:tcPr>
            <w:tcW w:w="556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Certification Pursuant to Section 302 of Sarbanes-Oxley Act of 2002 – CEO.</w:t>
              </w:r>
            </w:hyperlink>
          </w:p>
        </w:tc>
        <w:tc>
          <w:tcPr>
            <w:tcW w:w="3580" w:type="dxa"/>
            <w:vAlign w:val="bottom"/>
            <w:gridSpan w:val="3"/>
          </w:tcPr>
          <w:p>
            <w:pPr>
              <w:spacing w:after="0"/>
              <w:rPr>
                <w:sz w:val="22"/>
                <w:szCs w:val="22"/>
                <w:color w:val="auto"/>
              </w:rPr>
            </w:pPr>
          </w:p>
        </w:tc>
      </w:tr>
      <w:tr>
        <w:trPr>
          <w:trHeight w:val="264"/>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31.2:</w:t>
            </w:r>
          </w:p>
        </w:tc>
        <w:tc>
          <w:tcPr>
            <w:tcW w:w="9140" w:type="dxa"/>
            <w:vAlign w:val="bottom"/>
            <w:gridSpan w:val="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Pursuant to Section 302 of Sarbanes-Oxley Act of 2002 – CFO.</w:t>
              </w:r>
            </w:hyperlink>
          </w:p>
        </w:tc>
      </w:tr>
      <w:tr>
        <w:trPr>
          <w:trHeight w:val="20"/>
        </w:trPr>
        <w:tc>
          <w:tcPr>
            <w:tcW w:w="2100" w:type="dxa"/>
            <w:vAlign w:val="bottom"/>
            <w:gridSpan w:val="3"/>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6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32.1:</w:t>
            </w:r>
          </w:p>
        </w:tc>
        <w:tc>
          <w:tcPr>
            <w:tcW w:w="682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Certification Pursuant to 18 U.S.C. 1350 (section 906 of Sarbanes-Oxley Act of 2002) – CEO.</w:t>
              </w:r>
            </w:hyperlink>
          </w:p>
        </w:tc>
        <w:tc>
          <w:tcPr>
            <w:tcW w:w="2320" w:type="dxa"/>
            <w:vAlign w:val="bottom"/>
          </w:tcPr>
          <w:p>
            <w:pPr>
              <w:spacing w:after="0"/>
              <w:rPr>
                <w:sz w:val="22"/>
                <w:szCs w:val="22"/>
                <w:color w:val="auto"/>
              </w:rPr>
            </w:pPr>
          </w:p>
        </w:tc>
      </w:tr>
      <w:tr>
        <w:trPr>
          <w:trHeight w:val="264"/>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32.2:</w:t>
            </w:r>
          </w:p>
        </w:tc>
        <w:tc>
          <w:tcPr>
            <w:tcW w:w="68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Pursuant to 18 U.S.C. 1350 (section 906 of Sarbanes-Oxley Act of 2002) – CFO.</w:t>
              </w:r>
            </w:hyperlink>
          </w:p>
        </w:tc>
        <w:tc>
          <w:tcPr>
            <w:tcW w:w="2340" w:type="dxa"/>
            <w:vAlign w:val="bottom"/>
            <w:gridSpan w:val="2"/>
          </w:tcPr>
          <w:p>
            <w:pPr>
              <w:spacing w:after="0"/>
              <w:rPr>
                <w:sz w:val="22"/>
                <w:szCs w:val="22"/>
                <w:color w:val="auto"/>
              </w:rPr>
            </w:pPr>
          </w:p>
        </w:tc>
      </w:tr>
      <w:tr>
        <w:trPr>
          <w:trHeight w:val="26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95:</w:t>
            </w:r>
          </w:p>
        </w:tc>
        <w:tc>
          <w:tcPr>
            <w:tcW w:w="9140" w:type="dxa"/>
            <w:vAlign w:val="bottom"/>
            <w:gridSpan w:val="8"/>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Mine Safety Disclosure.</w:t>
              </w:r>
            </w:hyperlink>
          </w:p>
        </w:tc>
      </w:tr>
      <w:tr>
        <w:trPr>
          <w:trHeight w:val="20"/>
        </w:trPr>
        <w:tc>
          <w:tcPr>
            <w:tcW w:w="2100" w:type="dxa"/>
            <w:vAlign w:val="bottom"/>
            <w:gridSpan w:val="3"/>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r>
      <w:tr>
        <w:trPr>
          <w:trHeight w:val="250"/>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101.INS:</w:t>
            </w:r>
          </w:p>
        </w:tc>
        <w:tc>
          <w:tcPr>
            <w:tcW w:w="9140" w:type="dxa"/>
            <w:vAlign w:val="bottom"/>
            <w:gridSpan w:val="8"/>
          </w:tcPr>
          <w:p>
            <w:pPr>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14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101.SCH:</w:t>
            </w:r>
          </w:p>
        </w:tc>
        <w:tc>
          <w:tcPr>
            <w:tcW w:w="9140" w:type="dxa"/>
            <w:vAlign w:val="bottom"/>
            <w:gridSpan w:val="8"/>
          </w:tcPr>
          <w:p>
            <w:pPr>
              <w:spacing w:after="0"/>
              <w:rPr>
                <w:sz w:val="20"/>
                <w:szCs w:val="20"/>
                <w:color w:val="auto"/>
              </w:rPr>
            </w:pPr>
            <w:r>
              <w:rPr>
                <w:rFonts w:ascii="Arial" w:cs="Arial" w:eastAsia="Arial" w:hAnsi="Arial"/>
                <w:sz w:val="18"/>
                <w:szCs w:val="18"/>
                <w:color w:val="auto"/>
              </w:rPr>
              <w:t>XBRL Taxonomy Schema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101.CAL:</w:t>
            </w:r>
          </w:p>
        </w:tc>
        <w:tc>
          <w:tcPr>
            <w:tcW w:w="91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101.DEF:</w:t>
            </w:r>
          </w:p>
        </w:tc>
        <w:tc>
          <w:tcPr>
            <w:tcW w:w="91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101.LAB:</w:t>
            </w:r>
          </w:p>
        </w:tc>
        <w:tc>
          <w:tcPr>
            <w:tcW w:w="914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83"/>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101.PRE:</w:t>
            </w:r>
          </w:p>
        </w:tc>
        <w:tc>
          <w:tcPr>
            <w:tcW w:w="91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4"/>
        </w:trPr>
        <w:tc>
          <w:tcPr>
            <w:tcW w:w="2100" w:type="dxa"/>
            <w:vAlign w:val="bottom"/>
            <w:gridSpan w:val="3"/>
          </w:tcPr>
          <w:p>
            <w:pPr>
              <w:ind w:left="20"/>
              <w:spacing w:after="0"/>
              <w:rPr>
                <w:sz w:val="20"/>
                <w:szCs w:val="20"/>
                <w:color w:val="auto"/>
              </w:rPr>
            </w:pPr>
            <w:r>
              <w:rPr>
                <w:rFonts w:ascii="Arial" w:cs="Arial" w:eastAsia="Arial" w:hAnsi="Arial"/>
                <w:sz w:val="18"/>
                <w:szCs w:val="18"/>
                <w:color w:val="auto"/>
              </w:rPr>
              <w:t>Exhibit 104</w:t>
            </w:r>
          </w:p>
        </w:tc>
        <w:tc>
          <w:tcPr>
            <w:tcW w:w="914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918"/>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00" w:type="dxa"/>
            <w:vAlign w:val="bottom"/>
            <w:gridSpan w:val="2"/>
          </w:tcPr>
          <w:p>
            <w:pPr>
              <w:ind w:left="3380"/>
              <w:spacing w:after="0"/>
              <w:rPr>
                <w:sz w:val="20"/>
                <w:szCs w:val="20"/>
                <w:color w:val="auto"/>
              </w:rPr>
            </w:pPr>
            <w:r>
              <w:rPr>
                <w:rFonts w:ascii="Arial" w:cs="Arial" w:eastAsia="Arial" w:hAnsi="Arial"/>
                <w:sz w:val="18"/>
                <w:szCs w:val="18"/>
                <w:color w:val="auto"/>
              </w:rPr>
              <w:t>-40-</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15"/>
        </w:trPr>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MATRIX SERVICE COMPANY</w:t>
      </w:r>
    </w:p>
    <w:p>
      <w:pPr>
        <w:spacing w:after="0" w:line="81" w:lineRule="exact"/>
        <w:rPr>
          <w:sz w:val="20"/>
          <w:szCs w:val="20"/>
          <w:color w:val="auto"/>
        </w:rPr>
      </w:pPr>
    </w:p>
    <w:p>
      <w:pPr>
        <w:ind w:left="20"/>
        <w:spacing w:after="0"/>
        <w:tabs>
          <w:tab w:leader="none" w:pos="600" w:val="left"/>
          <w:tab w:leader="none" w:pos="4680" w:val="left"/>
        </w:tabs>
        <w:rPr>
          <w:sz w:val="20"/>
          <w:szCs w:val="20"/>
          <w:color w:val="auto"/>
        </w:rPr>
      </w:pPr>
      <w:r>
        <w:rPr>
          <w:rFonts w:ascii="Arial" w:cs="Arial" w:eastAsia="Arial" w:hAnsi="Arial"/>
          <w:sz w:val="18"/>
          <w:szCs w:val="18"/>
          <w:color w:val="auto"/>
        </w:rPr>
        <w:t>Date:</w:t>
        <w:tab/>
        <w:t>February 8, 2022</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14605</wp:posOffset>
            </wp:positionV>
            <wp:extent cx="41402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6" w:lineRule="exact"/>
        <w:rPr>
          <w:sz w:val="20"/>
          <w:szCs w:val="20"/>
          <w:color w:val="auto"/>
        </w:rPr>
      </w:pPr>
    </w:p>
    <w:p>
      <w:pPr>
        <w:ind w:left="4700" w:right="380"/>
        <w:spacing w:after="0" w:line="235"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368"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620" w:right="20" w:hanging="640"/>
        <w:spacing w:after="0" w:line="286" w:lineRule="auto"/>
        <w:tabs>
          <w:tab w:leader="none" w:pos="161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80" w:hanging="640"/>
        <w:spacing w:after="0" w:line="263"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620" w:right="180" w:hanging="640"/>
        <w:spacing w:after="0" w:line="263" w:lineRule="auto"/>
        <w:tabs>
          <w:tab w:leader="none" w:pos="161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620" w:right="280" w:hanging="640"/>
        <w:spacing w:after="0" w:line="286" w:lineRule="auto"/>
        <w:tabs>
          <w:tab w:leader="none" w:pos="16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140" w:hanging="640"/>
        <w:spacing w:after="0" w:line="342" w:lineRule="auto"/>
        <w:tabs>
          <w:tab w:leader="none" w:pos="161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420" w:hanging="640"/>
        <w:spacing w:after="0" w:line="277"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February 8, 2022</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713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 Hewitt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80" w:hanging="324"/>
        <w:spacing w:after="0" w:line="263"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620" w:right="20" w:hanging="640"/>
        <w:spacing w:after="0" w:line="286" w:lineRule="auto"/>
        <w:tabs>
          <w:tab w:leader="none" w:pos="161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80" w:hanging="640"/>
        <w:spacing w:after="0" w:line="263"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620" w:right="180" w:hanging="640"/>
        <w:spacing w:after="0" w:line="263" w:lineRule="auto"/>
        <w:tabs>
          <w:tab w:leader="none" w:pos="161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620" w:right="280" w:hanging="640"/>
        <w:spacing w:after="0" w:line="286" w:lineRule="auto"/>
        <w:tabs>
          <w:tab w:leader="none" w:pos="16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140" w:hanging="640"/>
        <w:spacing w:after="0" w:line="342" w:lineRule="auto"/>
        <w:tabs>
          <w:tab w:leader="none" w:pos="161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420" w:hanging="640"/>
        <w:spacing w:after="0" w:line="277"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February 8, 2022</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2021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92"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644"/>
        <w:spacing w:after="0" w:line="277" w:lineRule="auto"/>
        <w:tabs>
          <w:tab w:leader="none" w:pos="12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February 8, 2022</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713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 Hewitt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Matrix Service Company (the “Company”) on Form 10-Q for the period ending December 31, 2021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76"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644"/>
        <w:spacing w:after="0" w:line="277" w:lineRule="auto"/>
        <w:tabs>
          <w:tab w:leader="none" w:pos="12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February 8, 2022</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74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240"/>
          </w:cols>
          <w:pgMar w:left="320" w:top="891" w:right="339" w:bottom="1440" w:gutter="0" w:footer="0" w:header="0"/>
        </w:sectPr>
      </w:pPr>
    </w:p>
    <w:bookmarkStart w:id="47" w:name="page48"/>
    <w:bookmarkEnd w:id="47"/>
    <w:p>
      <w:pPr>
        <w:jc w:val="right"/>
        <w:ind w:right="20"/>
        <w:spacing w:after="0"/>
        <w:rPr>
          <w:sz w:val="20"/>
          <w:szCs w:val="20"/>
          <w:color w:val="auto"/>
        </w:rPr>
      </w:pPr>
      <w:r>
        <w:rPr>
          <w:rFonts w:ascii="Arial" w:cs="Arial" w:eastAsia="Arial" w:hAnsi="Arial"/>
          <w:sz w:val="18"/>
          <w:szCs w:val="18"/>
          <w:b w:val="1"/>
          <w:bCs w:val="1"/>
          <w:color w:val="auto"/>
        </w:rPr>
        <w:t>Exhibit 95</w:t>
      </w:r>
    </w:p>
    <w:p>
      <w:pPr>
        <w:spacing w:after="0" w:line="200" w:lineRule="exact"/>
        <w:rPr>
          <w:sz w:val="20"/>
          <w:szCs w:val="20"/>
          <w:color w:val="auto"/>
        </w:rPr>
      </w:pPr>
    </w:p>
    <w:p>
      <w:pPr>
        <w:spacing w:after="0" w:line="38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December 31, 2021:</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060" w:type="dxa"/>
            <w:vAlign w:val="bottom"/>
            <w:tcBorders>
              <w:top w:val="single" w:sz="8" w:color="auto"/>
              <w:left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Received</w:t>
            </w: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Received Notice</w:t>
            </w:r>
          </w:p>
        </w:tc>
        <w:tc>
          <w:tcPr>
            <w:tcW w:w="8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Total Number</w:t>
            </w:r>
          </w:p>
        </w:tc>
        <w:tc>
          <w:tcPr>
            <w:tcW w:w="86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2"/>
              </w:rPr>
              <w:t>Notice of</w:t>
            </w:r>
          </w:p>
        </w:tc>
        <w:tc>
          <w:tcPr>
            <w:tcW w:w="92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Mine or Operating</w:t>
            </w: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7"/>
              </w:rPr>
              <w:t>Section</w:t>
            </w: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Total Dollar Value</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Total Number</w:t>
            </w:r>
          </w:p>
        </w:tc>
        <w:tc>
          <w:tcPr>
            <w:tcW w:w="8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7"/>
              </w:rPr>
              <w:t>Pattern of</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2"/>
              </w:rPr>
              <w:t>of Potential to</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1"/>
              </w:rPr>
              <w:t>of Legal</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Total Number of</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Total Number of</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7"/>
              </w:rPr>
              <w:t>Section</w:t>
            </w:r>
          </w:p>
        </w:tc>
        <w:tc>
          <w:tcPr>
            <w:tcW w:w="98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2"/>
              </w:rPr>
              <w:t>Violations</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Have Pattern of</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4"/>
              </w:rPr>
              <w:t>Actions</w:t>
            </w:r>
          </w:p>
        </w:tc>
        <w:tc>
          <w:tcPr>
            <w:tcW w:w="8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Name/MSHA</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104</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104(b)</w:t>
            </w:r>
          </w:p>
        </w:tc>
        <w:tc>
          <w:tcPr>
            <w:tcW w:w="7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4"/>
              </w:rPr>
              <w:t>104(d)</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Section 110(b)(2)</w:t>
            </w:r>
          </w:p>
        </w:tc>
        <w:tc>
          <w:tcPr>
            <w:tcW w:w="72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9"/>
              </w:rPr>
              <w:t>of MSHA</w:t>
            </w: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8"/>
              </w:rPr>
              <w:t>of Mining</w:t>
            </w:r>
          </w:p>
        </w:tc>
        <w:tc>
          <w:tcPr>
            <w:tcW w:w="8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Under Section</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1"/>
              </w:rPr>
              <w:t>Violations Under</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6"/>
              </w:rPr>
              <w:t>Pending as of</w:t>
            </w:r>
          </w:p>
        </w:tc>
        <w:tc>
          <w:tcPr>
            <w:tcW w:w="8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Legal Actions</w:t>
            </w:r>
          </w:p>
        </w:tc>
        <w:tc>
          <w:tcPr>
            <w:tcW w:w="9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Legal Actions</w:t>
            </w: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3"/>
              </w:rPr>
              <w:t>Identification</w:t>
            </w:r>
          </w:p>
        </w:tc>
        <w:tc>
          <w:tcPr>
            <w:tcW w:w="86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0"/>
              </w:rPr>
              <w:t>Citations and</w:t>
            </w:r>
          </w:p>
        </w:tc>
        <w:tc>
          <w:tcPr>
            <w:tcW w:w="9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7"/>
              </w:rPr>
              <w:t>107(a)</w:t>
            </w:r>
          </w:p>
        </w:tc>
        <w:tc>
          <w:tcPr>
            <w:tcW w:w="98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5"/>
              </w:rPr>
              <w:t>Assessments</w:t>
            </w:r>
          </w:p>
        </w:tc>
        <w:tc>
          <w:tcPr>
            <w:tcW w:w="8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4"/>
              </w:rPr>
              <w:t>Related</w:t>
            </w:r>
          </w:p>
        </w:tc>
        <w:tc>
          <w:tcPr>
            <w:tcW w:w="8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104(e)</w:t>
            </w:r>
            <w:r>
              <w:rPr>
                <w:rFonts w:ascii="Arial" w:cs="Arial" w:eastAsia="Arial" w:hAnsi="Arial"/>
                <w:sz w:val="7"/>
                <w:szCs w:val="7"/>
                <w:color w:val="auto"/>
                <w:w w:val="89"/>
              </w:rPr>
              <w:t>(6)</w:t>
            </w:r>
          </w:p>
        </w:tc>
        <w:tc>
          <w:tcPr>
            <w:tcW w:w="9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Section 104(e)</w:t>
            </w:r>
            <w:r>
              <w:rPr>
                <w:rFonts w:ascii="Arial" w:cs="Arial" w:eastAsia="Arial" w:hAnsi="Arial"/>
                <w:sz w:val="7"/>
                <w:szCs w:val="7"/>
                <w:color w:val="auto"/>
                <w:w w:val="89"/>
              </w:rPr>
              <w:t>(7)</w:t>
            </w:r>
          </w:p>
        </w:tc>
        <w:tc>
          <w:tcPr>
            <w:tcW w:w="8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9"/>
              </w:rPr>
              <w:t>Last Day of</w:t>
            </w:r>
          </w:p>
        </w:tc>
        <w:tc>
          <w:tcPr>
            <w:tcW w:w="86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91"/>
              </w:rPr>
              <w:t>Initiated During</w:t>
            </w:r>
          </w:p>
        </w:tc>
        <w:tc>
          <w:tcPr>
            <w:tcW w:w="9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1"/>
                <w:szCs w:val="11"/>
                <w:color w:val="auto"/>
                <w:w w:val="88"/>
              </w:rPr>
              <w:t>Resolved During</w:t>
            </w:r>
          </w:p>
        </w:tc>
        <w:tc>
          <w:tcPr>
            <w:tcW w:w="0" w:type="dxa"/>
            <w:vAlign w:val="bottom"/>
          </w:tcPr>
          <w:p>
            <w:pPr>
              <w:spacing w:after="0"/>
              <w:rPr>
                <w:sz w:val="1"/>
                <w:szCs w:val="1"/>
                <w:color w:val="auto"/>
              </w:rPr>
            </w:pPr>
          </w:p>
        </w:tc>
      </w:tr>
      <w:tr>
        <w:trPr>
          <w:trHeight w:val="136"/>
        </w:trPr>
        <w:tc>
          <w:tcPr>
            <w:tcW w:w="1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Number</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S&amp;S Citations</w:t>
            </w:r>
            <w:r>
              <w:rPr>
                <w:rFonts w:ascii="Arial" w:cs="Arial" w:eastAsia="Arial" w:hAnsi="Arial"/>
                <w:sz w:val="7"/>
                <w:szCs w:val="7"/>
                <w:color w:val="auto"/>
                <w:w w:val="94"/>
              </w:rPr>
              <w:t>(1)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Orders</w:t>
            </w:r>
            <w:r>
              <w:rPr>
                <w:rFonts w:ascii="Arial" w:cs="Arial" w:eastAsia="Arial" w:hAnsi="Arial"/>
                <w:sz w:val="7"/>
                <w:szCs w:val="7"/>
                <w:color w:val="auto"/>
                <w:w w:val="89"/>
              </w:rPr>
              <w:t>(2)</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Orders</w:t>
            </w:r>
            <w:r>
              <w:rPr>
                <w:rFonts w:ascii="Arial" w:cs="Arial" w:eastAsia="Arial" w:hAnsi="Arial"/>
                <w:sz w:val="7"/>
                <w:szCs w:val="7"/>
                <w:color w:val="auto"/>
                <w:w w:val="89"/>
              </w:rPr>
              <w:t>(3)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Violations</w:t>
            </w:r>
            <w:r>
              <w:rPr>
                <w:rFonts w:ascii="Arial" w:cs="Arial" w:eastAsia="Arial" w:hAnsi="Arial"/>
                <w:sz w:val="7"/>
                <w:szCs w:val="7"/>
                <w:color w:val="auto"/>
                <w:w w:val="92"/>
              </w:rPr>
              <w:t>(4)</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Orders</w:t>
            </w:r>
            <w:r>
              <w:rPr>
                <w:rFonts w:ascii="Arial" w:cs="Arial" w:eastAsia="Arial" w:hAnsi="Arial"/>
                <w:sz w:val="7"/>
                <w:szCs w:val="7"/>
                <w:color w:val="auto"/>
                <w:w w:val="89"/>
              </w:rPr>
              <w:t>(5)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0" w:type="dxa"/>
            <w:vAlign w:val="bottom"/>
          </w:tcPr>
          <w:p>
            <w:pPr>
              <w:spacing w:after="0"/>
              <w:rPr>
                <w:sz w:val="1"/>
                <w:szCs w:val="1"/>
                <w:color w:val="auto"/>
              </w:rPr>
            </w:pPr>
          </w:p>
        </w:tc>
      </w:tr>
      <w:tr>
        <w:trPr>
          <w:trHeight w:val="63"/>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060" w:type="dxa"/>
            <w:vAlign w:val="bottom"/>
            <w:tcBorders>
              <w:left w:val="single" w:sz="8" w:color="auto"/>
              <w:right w:val="single" w:sz="8" w:color="auto"/>
            </w:tcBorders>
          </w:tcPr>
          <w:p>
            <w:pPr>
              <w:jc w:val="center"/>
              <w:spacing w:after="0" w:line="105" w:lineRule="exact"/>
              <w:rPr>
                <w:sz w:val="20"/>
                <w:szCs w:val="20"/>
                <w:color w:val="auto"/>
              </w:rPr>
            </w:pPr>
            <w:r>
              <w:rPr>
                <w:rFonts w:ascii="Arial" w:cs="Arial" w:eastAsia="Arial" w:hAnsi="Arial"/>
                <w:sz w:val="11"/>
                <w:szCs w:val="11"/>
                <w:color w:val="auto"/>
                <w:w w:val="93"/>
              </w:rPr>
              <w:t>Pinto Valley Mine,</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9"/>
              </w:rPr>
              <w:t>No</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6"/>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02-01049</w:t>
            </w:r>
          </w:p>
        </w:tc>
        <w:tc>
          <w:tcPr>
            <w:tcW w:w="86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060" w:type="dxa"/>
            <w:vAlign w:val="bottom"/>
            <w:tcBorders>
              <w:left w:val="single" w:sz="8" w:color="auto"/>
              <w:right w:val="single" w:sz="8" w:color="auto"/>
            </w:tcBorders>
            <w:vMerge w:val="continue"/>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72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9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60" w:right="180" w:hanging="252"/>
        <w:spacing w:after="0" w:line="273" w:lineRule="auto"/>
        <w:tabs>
          <w:tab w:leader="none" w:pos="221"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19" w:lineRule="exact"/>
        <w:rPr>
          <w:rFonts w:ascii="Arial" w:cs="Arial" w:eastAsia="Arial" w:hAnsi="Arial"/>
          <w:sz w:val="14"/>
          <w:szCs w:val="14"/>
          <w:color w:val="auto"/>
        </w:rPr>
      </w:pPr>
    </w:p>
    <w:p>
      <w:pPr>
        <w:ind w:left="220" w:hanging="212"/>
        <w:spacing w:after="0"/>
        <w:tabs>
          <w:tab w:leader="none" w:pos="2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 a failure to abate a citation under section 104(a) within the period of time prescribed by MSHA.</w:t>
      </w:r>
    </w:p>
    <w:p>
      <w:pPr>
        <w:spacing w:after="0" w:line="174" w:lineRule="exact"/>
        <w:rPr>
          <w:rFonts w:ascii="Arial" w:cs="Arial" w:eastAsia="Arial" w:hAnsi="Arial"/>
          <w:sz w:val="13"/>
          <w:szCs w:val="13"/>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260"/>
      </w:cols>
      <w:pgMar w:left="320" w:top="105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lvl w:ilvl="1">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upperLetter"/>
      <w:start w:val="1"/>
    </w:lvl>
  </w:abstractNum>
  <w:abstractNum w:abstractNumId="25">
    <w:nsid w:val="2CA88611"/>
    <w:multiLevelType w:val="hybridMultilevel"/>
    <w:lvl w:ilvl="0">
      <w:lvlJc w:val="left"/>
      <w:lvlText w:val="%1."/>
      <w:numFmt w:val="decimal"/>
      <w:start w:val="1"/>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2022-02-08T15:37:48Z</dcterms:created>
  <dcterms:modified xsi:type="dcterms:W3CDTF">2022-02-08T15:37:48Z</dcterms:modified>
</cp:coreProperties>
</file>