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19"/>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3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3"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4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As of November 8, 2021 there were 27,888,217 shares of the Company’s common stock, $0.01 par value per share, issued and 26,765,025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201" w:lineRule="exact"/>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3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00" w:type="dxa"/>
            <w:vAlign w:val="bottom"/>
            <w:gridSpan w:val="9"/>
          </w:tcPr>
          <w:p>
            <w:pPr>
              <w:jc w:val="center"/>
              <w:ind w:right="2440"/>
              <w:spacing w:after="0" w:line="201" w:lineRule="exact"/>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900" w:type="dxa"/>
            <w:vAlign w:val="bottom"/>
            <w:gridSpan w:val="9"/>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Months Ended September 30, 2021 and 2020</w:t>
              </w:r>
            </w:hyperlink>
          </w:p>
        </w:tc>
        <w:tc>
          <w:tcPr>
            <w:tcW w:w="460" w:type="dxa"/>
            <w:vAlign w:val="bottom"/>
            <w:gridSpan w:val="2"/>
          </w:tcPr>
          <w:p>
            <w:pPr>
              <w:jc w:val="center"/>
              <w:ind w:left="2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6"/>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Condensed Consolidated Statements of Comprehensive Income for the Three Months Ended September 30, 2021 and 2020</w:t>
              </w:r>
            </w:hyperlink>
          </w:p>
        </w:tc>
        <w:tc>
          <w:tcPr>
            <w:tcW w:w="460" w:type="dxa"/>
            <w:vAlign w:val="bottom"/>
            <w:gridSpan w:val="2"/>
          </w:tcPr>
          <w:p>
            <w:pPr>
              <w:jc w:val="center"/>
              <w:ind w:left="2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60" w:type="dxa"/>
            <w:vAlign w:val="bottom"/>
            <w:tcBorders>
              <w:top w:val="single" w:sz="8" w:color="0000FF"/>
            </w:tcBorders>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September 30, 2021 and June 30, 2021</w:t>
              </w:r>
            </w:hyperlink>
          </w:p>
        </w:tc>
        <w:tc>
          <w:tcPr>
            <w:tcW w:w="46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Three Months Ended September 30, 2021 and 2020</w:t>
              </w:r>
            </w:hyperlink>
          </w:p>
        </w:tc>
        <w:tc>
          <w:tcPr>
            <w:tcW w:w="1320" w:type="dxa"/>
            <w:vAlign w:val="bottom"/>
            <w:gridSpan w:val="3"/>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6"/>
          </w:tcPr>
          <w:p>
            <w:pPr>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Condensed Consolidated Statements of Changes in Stockholders’ Equity for the Three Months Ended September 30, 2021 and</w:t>
              </w:r>
            </w:hyperlink>
          </w:p>
        </w:tc>
        <w:tc>
          <w:tcPr>
            <w:tcW w:w="360" w:type="dxa"/>
            <w:vAlign w:val="bottom"/>
            <w:vMerge w:val="restart"/>
          </w:tcPr>
          <w:p>
            <w:pPr>
              <w:spacing w:after="0"/>
              <w:rPr>
                <w:sz w:val="22"/>
                <w:szCs w:val="22"/>
                <w:color w:val="auto"/>
              </w:rPr>
            </w:pPr>
          </w:p>
        </w:tc>
        <w:tc>
          <w:tcPr>
            <w:tcW w:w="100" w:type="dxa"/>
            <w:vAlign w:val="bottom"/>
            <w:vMerge w:val="restart"/>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320" w:type="dxa"/>
            <w:vAlign w:val="bottom"/>
            <w:gridSpan w:val="8"/>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5"/>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2"/>
                <w:szCs w:val="22"/>
                <w:color w:val="auto"/>
              </w:rPr>
            </w:pPr>
          </w:p>
        </w:tc>
        <w:tc>
          <w:tcPr>
            <w:tcW w:w="2860" w:type="dxa"/>
            <w:vAlign w:val="bottom"/>
            <w:gridSpan w:val="5"/>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80" w:type="dxa"/>
            <w:vAlign w:val="bottom"/>
            <w:tcBorders>
              <w:left w:val="single" w:sz="8" w:color="0000FF"/>
            </w:tcBorders>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4980" w:type="dxa"/>
            <w:vAlign w:val="bottom"/>
            <w:gridSpan w:val="7"/>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4"/>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Legal Proceedings</w:t>
              </w:r>
            </w:hyperlink>
          </w:p>
        </w:tc>
        <w:tc>
          <w:tcPr>
            <w:tcW w:w="8000" w:type="dxa"/>
            <w:vAlign w:val="bottom"/>
            <w:gridSpan w:val="12"/>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8000" w:type="dxa"/>
            <w:vAlign w:val="bottom"/>
            <w:gridSpan w:val="12"/>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1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460" w:type="dxa"/>
            <w:vAlign w:val="bottom"/>
            <w:gridSpan w:val="2"/>
          </w:tcPr>
          <w:p>
            <w:pPr>
              <w:jc w:val="center"/>
              <w:ind w:left="1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4980" w:type="dxa"/>
            <w:vAlign w:val="bottom"/>
            <w:gridSpan w:val="7"/>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7000" w:type="dxa"/>
            <w:vAlign w:val="bottom"/>
            <w:gridSpan w:val="10"/>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Other Information</w:t>
              </w:r>
            </w:hyperlink>
          </w:p>
        </w:tc>
        <w:tc>
          <w:tcPr>
            <w:tcW w:w="440" w:type="dxa"/>
            <w:vAlign w:val="bottom"/>
          </w:tcPr>
          <w:p>
            <w:pPr>
              <w:spacing w:after="0"/>
              <w:rPr>
                <w:sz w:val="22"/>
                <w:szCs w:val="22"/>
                <w:color w:val="auto"/>
              </w:rPr>
            </w:pPr>
          </w:p>
        </w:tc>
        <w:tc>
          <w:tcPr>
            <w:tcW w:w="7560" w:type="dxa"/>
            <w:vAlign w:val="bottom"/>
            <w:gridSpan w:val="11"/>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Exhibits</w:t>
              </w:r>
            </w:hyperlink>
          </w:p>
        </w:tc>
        <w:tc>
          <w:tcPr>
            <w:tcW w:w="720" w:type="dxa"/>
            <w:vAlign w:val="bottom"/>
            <w:gridSpan w:val="2"/>
          </w:tcPr>
          <w:p>
            <w:pPr>
              <w:spacing w:after="0"/>
              <w:rPr>
                <w:sz w:val="22"/>
                <w:szCs w:val="22"/>
                <w:color w:val="auto"/>
              </w:rPr>
            </w:pPr>
          </w:p>
        </w:tc>
        <w:tc>
          <w:tcPr>
            <w:tcW w:w="8000" w:type="dxa"/>
            <w:vAlign w:val="bottom"/>
            <w:gridSpan w:val="12"/>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w:t>
              </w:r>
            </w:hyperlink>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36</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6"/>
              </w:rPr>
              <w:t>September 30,</w:t>
            </w:r>
          </w:p>
        </w:tc>
      </w:tr>
      <w:tr>
        <w:trPr>
          <w:trHeight w:val="188"/>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182,771</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168,421</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18,128</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(3,458)</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Interest expense (Note 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from federal, state and foreign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Diluted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26,265</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1"/>
              </w:rPr>
              <w:t>September 30,</w:t>
            </w:r>
          </w:p>
        </w:tc>
      </w:tr>
      <w:tr>
        <w:trPr>
          <w:trHeight w:val="188"/>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Foreign currency translation gain (loss) (net of tax expense of $54 and $12 for the three months ended</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2021 and 2020, respectively</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(Note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83,878</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Restricted cash (Note 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allowances (September 30, 2021—$586 and June 30, 2021—$898)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148,030</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30,774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16,965</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291,219</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Land and buildings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41,633</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94,453</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50,510</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 equipment and software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42,706</w:t>
            </w: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229,795</w:t>
            </w: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(160,388)</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69,407</w:t>
            </w:r>
          </w:p>
        </w:tc>
      </w:tr>
    </w:tbl>
    <w:p>
      <w:pPr>
        <w:spacing w:after="0" w:line="1" w:lineRule="exact"/>
        <w:rPr>
          <w:sz w:val="20"/>
          <w:szCs w:val="20"/>
          <w:color w:val="auto"/>
        </w:rPr>
      </w:pPr>
    </w:p>
    <w:p>
      <w:pPr>
        <w:sectPr>
          <w:pgSz w:w="11900" w:h="16838" w:orient="portrait"/>
          <w:cols w:equalWidth="0" w:num="1">
            <w:col w:w="11220"/>
          </w:cols>
          <w:pgMar w:left="320" w:top="368" w:right="359" w:bottom="1440" w:gutter="0" w:footer="0" w:header="0"/>
        </w:sectPr>
      </w:pPr>
    </w:p>
    <w:p>
      <w:pPr>
        <w:ind w:left="40" w:right="1380"/>
        <w:spacing w:after="0" w:line="266" w:lineRule="auto"/>
        <w:rPr>
          <w:sz w:val="20"/>
          <w:szCs w:val="20"/>
          <w:color w:val="auto"/>
        </w:rPr>
      </w:pPr>
      <w:r>
        <w:rPr>
          <w:rFonts w:ascii="Arial" w:cs="Arial" w:eastAsia="Arial" w:hAnsi="Arial"/>
          <w:sz w:val="18"/>
          <w:szCs w:val="18"/>
          <w:color w:val="auto"/>
        </w:rPr>
        <w:t>Restricted cash, non-current (Note 1) Operating lease right-of-use assets Goodwill</w:t>
      </w:r>
    </w:p>
    <w:p>
      <w:pPr>
        <w:ind w:left="40"/>
        <w:spacing w:after="0"/>
        <w:rPr>
          <w:sz w:val="20"/>
          <w:szCs w:val="20"/>
          <w:color w:val="auto"/>
        </w:rPr>
      </w:pPr>
      <w:r>
        <w:rPr>
          <w:rFonts w:ascii="Arial" w:cs="Arial" w:eastAsia="Arial" w:hAnsi="Arial"/>
          <w:sz w:val="16"/>
          <w:szCs w:val="16"/>
          <w:color w:val="auto"/>
        </w:rPr>
        <w:t>Other intangible assets, net of accumulated amortization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non-current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both"/>
        <w:ind w:left="4560"/>
        <w:spacing w:after="0"/>
        <w:tabs>
          <w:tab w:leader="none" w:pos="6240" w:val="left"/>
        </w:tabs>
        <w:rPr>
          <w:sz w:val="20"/>
          <w:szCs w:val="20"/>
          <w:color w:val="auto"/>
        </w:rPr>
      </w:pPr>
      <w:r>
        <w:rPr>
          <w:rFonts w:ascii="Arial" w:cs="Arial" w:eastAsia="Arial" w:hAnsi="Arial"/>
          <w:sz w:val="18"/>
          <w:szCs w:val="18"/>
          <w:color w:val="auto"/>
        </w:rPr>
        <w:t>25,000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14605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both"/>
        <w:ind w:left="4560"/>
        <w:spacing w:after="0"/>
        <w:tabs>
          <w:tab w:leader="none" w:pos="5920" w:val="left"/>
        </w:tabs>
        <w:rPr>
          <w:sz w:val="20"/>
          <w:szCs w:val="20"/>
          <w:color w:val="auto"/>
        </w:rPr>
      </w:pPr>
      <w:r>
        <w:rPr>
          <w:rFonts w:ascii="Arial" w:cs="Arial" w:eastAsia="Arial" w:hAnsi="Arial"/>
          <w:sz w:val="18"/>
          <w:szCs w:val="18"/>
          <w:color w:val="auto"/>
        </w:rPr>
        <w:t>21,515</w:t>
      </w:r>
      <w:r>
        <w:rPr>
          <w:sz w:val="20"/>
          <w:szCs w:val="20"/>
          <w:color w:val="auto"/>
        </w:rPr>
        <w:tab/>
      </w:r>
      <w:r>
        <w:rPr>
          <w:rFonts w:ascii="Arial" w:cs="Arial" w:eastAsia="Arial" w:hAnsi="Arial"/>
          <w:sz w:val="18"/>
          <w:szCs w:val="18"/>
          <w:color w:val="auto"/>
        </w:rPr>
        <w:t>22,412</w:t>
      </w:r>
    </w:p>
    <w:p>
      <w:pPr>
        <w:spacing w:after="0" w:line="23" w:lineRule="exact"/>
        <w:rPr>
          <w:sz w:val="20"/>
          <w:szCs w:val="20"/>
          <w:color w:val="auto"/>
        </w:rPr>
      </w:pPr>
    </w:p>
    <w:p>
      <w:pPr>
        <w:jc w:val="both"/>
        <w:ind w:left="4560"/>
        <w:spacing w:after="0"/>
        <w:tabs>
          <w:tab w:leader="none" w:pos="5920" w:val="left"/>
        </w:tabs>
        <w:rPr>
          <w:sz w:val="20"/>
          <w:szCs w:val="20"/>
          <w:color w:val="auto"/>
        </w:rPr>
      </w:pPr>
      <w:r>
        <w:rPr>
          <w:rFonts w:ascii="Arial" w:cs="Arial" w:eastAsia="Arial" w:hAnsi="Arial"/>
          <w:sz w:val="18"/>
          <w:szCs w:val="18"/>
          <w:color w:val="auto"/>
        </w:rPr>
        <w:t>60,540</w:t>
      </w:r>
      <w:r>
        <w:rPr>
          <w:sz w:val="20"/>
          <w:szCs w:val="20"/>
          <w:color w:val="auto"/>
        </w:rPr>
        <w:tab/>
      </w:r>
      <w:r>
        <w:rPr>
          <w:rFonts w:ascii="Arial" w:cs="Arial" w:eastAsia="Arial" w:hAnsi="Arial"/>
          <w:sz w:val="18"/>
          <w:szCs w:val="18"/>
          <w:color w:val="auto"/>
        </w:rPr>
        <w:t>60,636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14605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both"/>
        <w:ind w:left="4660"/>
        <w:spacing w:after="0"/>
        <w:tabs>
          <w:tab w:leader="none" w:pos="6000" w:val="left"/>
        </w:tabs>
        <w:rPr>
          <w:sz w:val="20"/>
          <w:szCs w:val="20"/>
          <w:color w:val="auto"/>
        </w:rPr>
      </w:pPr>
      <w:r>
        <w:rPr>
          <w:rFonts w:ascii="Arial" w:cs="Arial" w:eastAsia="Arial" w:hAnsi="Arial"/>
          <w:sz w:val="18"/>
          <w:szCs w:val="18"/>
          <w:color w:val="auto"/>
        </w:rPr>
        <w:t>6,094</w:t>
      </w:r>
      <w:r>
        <w:rPr>
          <w:sz w:val="20"/>
          <w:szCs w:val="20"/>
          <w:color w:val="auto"/>
        </w:rPr>
        <w:tab/>
      </w:r>
      <w:r>
        <w:rPr>
          <w:rFonts w:ascii="Arial" w:cs="Arial" w:eastAsia="Arial" w:hAnsi="Arial"/>
          <w:sz w:val="18"/>
          <w:szCs w:val="18"/>
          <w:color w:val="auto"/>
        </w:rPr>
        <w:t>6,614</w:t>
      </w:r>
    </w:p>
    <w:p>
      <w:pPr>
        <w:spacing w:after="0" w:line="23" w:lineRule="exact"/>
        <w:rPr>
          <w:sz w:val="20"/>
          <w:szCs w:val="20"/>
          <w:color w:val="auto"/>
        </w:rPr>
      </w:pPr>
    </w:p>
    <w:p>
      <w:pPr>
        <w:jc w:val="both"/>
        <w:ind w:left="4560"/>
        <w:spacing w:after="0"/>
        <w:tabs>
          <w:tab w:leader="none" w:pos="6000" w:val="left"/>
        </w:tabs>
        <w:rPr>
          <w:sz w:val="20"/>
          <w:szCs w:val="20"/>
          <w:color w:val="auto"/>
        </w:rPr>
      </w:pPr>
      <w:r>
        <w:rPr>
          <w:rFonts w:ascii="Arial" w:cs="Arial" w:eastAsia="Arial" w:hAnsi="Arial"/>
          <w:sz w:val="18"/>
          <w:szCs w:val="18"/>
          <w:color w:val="auto"/>
        </w:rPr>
        <w:t>10,687</w:t>
      </w:r>
      <w:r>
        <w:rPr>
          <w:sz w:val="20"/>
          <w:szCs w:val="20"/>
          <w:color w:val="auto"/>
        </w:rPr>
        <w:tab/>
      </w:r>
      <w:r>
        <w:rPr>
          <w:rFonts w:ascii="Arial" w:cs="Arial" w:eastAsia="Arial" w:hAnsi="Arial"/>
          <w:sz w:val="18"/>
          <w:szCs w:val="18"/>
          <w:color w:val="auto"/>
        </w:rPr>
        <w:t>5,295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14605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both"/>
        <w:ind w:left="4560"/>
        <w:spacing w:after="0"/>
        <w:tabs>
          <w:tab w:leader="none" w:pos="5920" w:val="left"/>
        </w:tabs>
        <w:rPr>
          <w:sz w:val="20"/>
          <w:szCs w:val="20"/>
          <w:color w:val="auto"/>
        </w:rPr>
      </w:pPr>
      <w:r>
        <w:rPr>
          <w:rFonts w:ascii="Arial" w:cs="Arial" w:eastAsia="Arial" w:hAnsi="Arial"/>
          <w:sz w:val="18"/>
          <w:szCs w:val="18"/>
          <w:color w:val="auto"/>
        </w:rPr>
        <w:t>10,368</w:t>
      </w:r>
      <w:r>
        <w:rPr>
          <w:sz w:val="20"/>
          <w:szCs w:val="20"/>
          <w:color w:val="auto"/>
        </w:rPr>
        <w:tab/>
      </w:r>
      <w:r>
        <w:rPr>
          <w:rFonts w:ascii="Arial" w:cs="Arial" w:eastAsia="Arial" w:hAnsi="Arial"/>
          <w:sz w:val="18"/>
          <w:szCs w:val="18"/>
          <w:color w:val="auto"/>
        </w:rPr>
        <w:t>11,973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14605</wp:posOffset>
            </wp:positionV>
            <wp:extent cx="1680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5" w:lineRule="exact"/>
        <w:rPr>
          <w:sz w:val="20"/>
          <w:szCs w:val="20"/>
          <w:color w:val="auto"/>
        </w:rPr>
      </w:pPr>
    </w:p>
    <w:p>
      <w:pPr>
        <w:jc w:val="both"/>
        <w:ind w:left="3880"/>
        <w:spacing w:after="0"/>
        <w:tabs>
          <w:tab w:leader="none" w:pos="4460" w:val="left"/>
          <w:tab w:leader="none" w:pos="5240" w:val="left"/>
          <w:tab w:leader="none" w:pos="5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450,277</w:t>
        <w:tab/>
        <w:t>$</w:t>
      </w:r>
      <w:r>
        <w:rPr>
          <w:sz w:val="20"/>
          <w:szCs w:val="20"/>
          <w:color w:val="auto"/>
        </w:rPr>
        <w:tab/>
      </w:r>
      <w:r>
        <w:rPr>
          <w:rFonts w:ascii="Arial" w:cs="Arial" w:eastAsia="Arial" w:hAnsi="Arial"/>
          <w:sz w:val="16"/>
          <w:szCs w:val="16"/>
          <w:color w:val="auto"/>
        </w:rPr>
        <w:t>467,556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14605</wp:posOffset>
            </wp:positionV>
            <wp:extent cx="168021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210" cy="342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ectPr>
          <w:pgSz w:w="11900" w:h="16838" w:orient="portrait"/>
          <w:cols w:equalWidth="0" w:num="2">
            <w:col w:w="4100" w:space="620"/>
            <w:col w:w="6500"/>
          </w:cols>
          <w:pgMar w:left="320" w:top="36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60,920</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53,832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153,402</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182,017</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340"/>
              <w:spacing w:after="0" w:line="176" w:lineRule="exact"/>
              <w:rPr>
                <w:sz w:val="20"/>
                <w:szCs w:val="20"/>
                <w:color w:val="auto"/>
              </w:rPr>
            </w:pPr>
            <w:r>
              <w:rPr>
                <w:rFonts w:ascii="Arial" w:cs="Arial" w:eastAsia="Arial" w:hAnsi="Arial"/>
                <w:sz w:val="18"/>
                <w:szCs w:val="18"/>
                <w:color w:val="auto"/>
                <w:w w:val="92"/>
              </w:rPr>
              <w:t>Common stock—$.01 par value; 60,000,000 shares authorized; 27,888,217 shares issued as of September 30,</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340"/>
              <w:spacing w:after="0" w:line="176" w:lineRule="exact"/>
              <w:rPr>
                <w:sz w:val="20"/>
                <w:szCs w:val="20"/>
                <w:color w:val="auto"/>
              </w:rPr>
            </w:pPr>
            <w:r>
              <w:rPr>
                <w:rFonts w:ascii="Arial" w:cs="Arial" w:eastAsia="Arial" w:hAnsi="Arial"/>
                <w:sz w:val="18"/>
                <w:szCs w:val="18"/>
                <w:color w:val="auto"/>
                <w:w w:val="90"/>
              </w:rPr>
              <w:t>2021 and June 30, 2021; 26,697,028 and 26,549,438 shares outstanding as of September 30, 2021 and June 30,</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137,575</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175,178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285,683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306,283</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0"/>
              </w:rPr>
              <w:t>Less: Treasury stock, at cost — 1,191,189 shares as of September 30, 2021, and 1,338,779 shares as of June 30,</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(17,385)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285,539</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134"/>
        </w:trPr>
        <w:tc>
          <w:tcPr>
            <w:tcW w:w="8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3"/>
              </w:rPr>
              <w:t>September 30,</w:t>
            </w:r>
          </w:p>
        </w:tc>
      </w:tr>
      <w:tr>
        <w:trPr>
          <w:trHeight w:val="188"/>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by operating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4,639</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Operating lease impairment due to restructuring</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Accelerated amortization of deferred debt amendment fees (Note 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Other assets and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(8,018)</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used by operating activities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(15,020)</w:t>
            </w: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24"/>
        </w:trPr>
        <w:tc>
          <w:tcPr>
            <w:tcW w:w="85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(1,703)</w:t>
            </w:r>
          </w:p>
        </w:tc>
      </w:tr>
    </w:tbl>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8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 (Note 1)</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 (Note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82,175</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 including payment of debt amendment fees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1,603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0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02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July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137,575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285,539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(217,084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(7,209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rPr>
              <w:t>Treasury shares purchased to satisfy tax withholding obligations (76,703</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135,308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157,640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(17,385)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(7,544)</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268,298</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Balances, July 1,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138,966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(8,373)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(478,703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(8,730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Treasury shares purchased to satisfy tax withholding obligations (168,765</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306,020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2021, included in our Annual Report on Form 10-K for the year then ended. The results of operations for the three month period ended September 30, 2021 may not necessarily be indicative of the results of operations for the full year ending June 30,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updated our significant accounting policies as a result of entering into an asset-backed credit agreement (the "ABL Facility"), which requires us to maintain a restricted cash balance (See Note 5 - Debt for more information about the ABL Facility). Our other significant accounting policies are detailed in “Note 1 - Summary of Significant Accounting Policies” of our Annual Report on Form 10-K for the year ended June 30,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requires us to maintain a minimum of $25.0 million of restricted cash at all times. Since this cash must be restricted through the maturity date of the ABL Facility, which is beyond one year, we have classified this restricted cash as non-current in our Condensed Consolidated Balance Sheets. In addition, we must maintain a restricted cash balance of $2.6 million in support of the purchase card program that is associated with our prior card administrator. We have included this restricted cash in current assets in our Condensed Consolidated Balance Sheets since we expect to dissolve the prior purchase card program during fiscal 2022.</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83,878</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r>
      <w:tr>
        <w:trPr>
          <w:trHeight w:val="20"/>
        </w:trPr>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$365.4 million of remaining performance obligations yet to be satisfied as of September 30, 2021. We expect to recognize $302.2 million of our remaining performance obligations as revenue within the next twelve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7"/>
              </w:rPr>
              <w:t>33,766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0"/>
              </w:rPr>
              <w:t>30,774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2"/>
              </w:rPr>
              <w:t>(50,973)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9"/>
              <w:spacing w:after="0"/>
              <w:rPr>
                <w:sz w:val="20"/>
                <w:szCs w:val="20"/>
                <w:color w:val="auto"/>
              </w:rPr>
            </w:pPr>
            <w:r>
              <w:rPr>
                <w:rFonts w:ascii="Arial" w:cs="Arial" w:eastAsia="Arial" w:hAnsi="Arial"/>
                <w:sz w:val="18"/>
                <w:szCs w:val="18"/>
                <w:color w:val="auto"/>
                <w:w w:val="92"/>
              </w:rPr>
              <w:t>(53,832)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2"/>
              </w:rPr>
              <w:t>(17,207)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8"/>
                <w:szCs w:val="18"/>
                <w:color w:val="auto"/>
                <w:w w:val="92"/>
              </w:rPr>
              <w:t>(23,058)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our CIE and BIE primarily results from the timing of revenue recognized relative to its billings. The amount of revenue recognized during the three months ended September 30, 2021 that was included in the June 30, 2021 BIE balance was $44.3 million. This revenue consists primarily of work performed during the period on contracts with customers that had advance billings.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September 30, 2021 and June 30, 2021 included retentions to be collected within one year of $12.8 million and $19.9 million, respectively. Contract retentions collectible beyond one year are included in other assets, non-current in the Condensed Consolidated Balance Sheet and totaled $2.6 million as of September 30, 2021 and $3.1 million as of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8600" w:type="dxa"/>
        <w:tblCellMar>
          <w:top w:w="0" w:type="dxa"/>
          <w:left w:w="0" w:type="dxa"/>
          <w:bottom w:w="0" w:type="dxa"/>
          <w:right w:w="0" w:type="dxa"/>
        </w:tblCellMar>
      </w:tblPr>
      <w:tr>
        <w:trPr>
          <w:trHeight w:val="140"/>
        </w:trPr>
        <w:tc>
          <w:tcPr>
            <w:tcW w:w="1320" w:type="dxa"/>
            <w:vAlign w:val="bottom"/>
            <w:tcBorders>
              <w:top w:val="single" w:sz="8" w:color="auto"/>
            </w:tcBorders>
          </w:tcPr>
          <w:p>
            <w:pPr>
              <w:jc w:val="center"/>
              <w:ind w:right="8"/>
              <w:spacing w:after="0" w:line="141"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September 30,</w:t>
            </w:r>
          </w:p>
        </w:tc>
      </w:tr>
      <w:tr>
        <w:trPr>
          <w:trHeight w:val="186"/>
        </w:trPr>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international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Contract Type Disaggregation: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r>
      <w:tr>
        <w:trPr>
          <w:trHeight w:val="23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153,284</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161,377</w:t>
            </w:r>
          </w:p>
        </w:tc>
      </w:tr>
      <w:tr>
        <w:trPr>
          <w:trHeight w:val="230"/>
        </w:trPr>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19,611</w:t>
            </w:r>
          </w:p>
        </w:tc>
      </w:tr>
      <w:tr>
        <w:trPr>
          <w:trHeight w:val="230"/>
        </w:trPr>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168,093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182,771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-624840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-333375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320" w:type="dxa"/>
            <w:vAlign w:val="bottom"/>
            <w:tcBorders>
              <w:top w:val="single" w:sz="8" w:color="auto"/>
            </w:tcBorders>
          </w:tcPr>
          <w:p>
            <w:pPr>
              <w:jc w:val="center"/>
              <w:ind w:right="8"/>
              <w:spacing w:after="0" w:line="141"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September 30,</w:t>
            </w:r>
          </w:p>
        </w:tc>
      </w:tr>
      <w:tr>
        <w:trPr>
          <w:trHeight w:val="186"/>
        </w:trPr>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p>
      <w:pPr>
        <w:sectPr>
          <w:pgSz w:w="11900" w:h="16838" w:orient="portrait"/>
          <w:cols w:equalWidth="0" w:num="2">
            <w:col w:w="7880" w:space="720"/>
            <w:col w:w="2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182,771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we assume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results of operations were materially impacted by an increase in the forecasted costs to complete a large capital project in the Utility and Power Infrastructure segment, which resulted in a decrease in gross profit of $5.9 million in the three months ended September 30, 2021. The change in estimate was principally due to unexpected equipment repairs during commissioning that delayed the scheduled completion and increased the estimated costs to complete. We achieved a critical performance milestone in the second quarter of fiscal 2022, which significantly reduced our financial exposure.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approximately 93% of all right-of-use assets as of September 30, 2021. Most real estate and information technology equipment leases generally have fixed payments that follow an agreed upon payment schedule and have remaining lease terms ranging from less than a year to 14 years. Construction equipment leases generally have "month-to-month" lease terms that automatically renew as long as the equipment remains in use.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Borders>
              <w:bottom w:val="single" w:sz="8" w:color="auto"/>
            </w:tcBorders>
          </w:tcPr>
          <w:p>
            <w:pPr>
              <w:spacing w:after="0"/>
              <w:rPr>
                <w:sz w:val="16"/>
                <w:szCs w:val="16"/>
                <w:color w:val="auto"/>
              </w:rPr>
            </w:pPr>
          </w:p>
        </w:tc>
      </w:tr>
      <w:tr>
        <w:trPr>
          <w:trHeight w:val="186"/>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2020</w:t>
            </w:r>
          </w:p>
        </w:tc>
      </w:tr>
      <w:tr>
        <w:trPr>
          <w:trHeight w:val="212"/>
        </w:trPr>
        <w:tc>
          <w:tcPr>
            <w:tcW w:w="260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6000" w:type="dxa"/>
            <w:vAlign w:val="bottom"/>
          </w:tcPr>
          <w:p>
            <w:pPr>
              <w:ind w:left="2220"/>
              <w:spacing w:after="0"/>
              <w:rPr>
                <w:sz w:val="20"/>
                <w:szCs w:val="20"/>
                <w:color w:val="auto"/>
              </w:rPr>
            </w:pPr>
            <w:r>
              <w:rPr>
                <w:rFonts w:ascii="Arial" w:cs="Arial" w:eastAsia="Arial" w:hAnsi="Arial"/>
                <w:sz w:val="18"/>
                <w:szCs w:val="18"/>
                <w:b w:val="1"/>
                <w:bCs w:val="1"/>
                <w:color w:val="auto"/>
              </w:rPr>
              <w:t>Location of Expense</w:t>
            </w:r>
          </w:p>
        </w:tc>
        <w:tc>
          <w:tcPr>
            <w:tcW w:w="380" w:type="dxa"/>
            <w:vAlign w:val="bottom"/>
          </w:tcPr>
          <w:p>
            <w:pPr>
              <w:spacing w:after="0"/>
              <w:rPr>
                <w:sz w:val="18"/>
                <w:szCs w:val="18"/>
                <w:color w:val="auto"/>
              </w:rPr>
            </w:pPr>
          </w:p>
        </w:tc>
        <w:tc>
          <w:tcPr>
            <w:tcW w:w="1680" w:type="dxa"/>
            <w:vAlign w:val="bottom"/>
            <w:gridSpan w:val="3"/>
          </w:tcPr>
          <w:p>
            <w:pPr>
              <w:jc w:val="center"/>
              <w:ind w:left="97"/>
              <w:spacing w:after="0"/>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8"/>
                <w:szCs w:val="18"/>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 w:type="dxa"/>
            <w:vAlign w:val="bottom"/>
            <w:tcBorders>
              <w:top w:val="single" w:sz="8" w:color="CCEEFF"/>
            </w:tcBorders>
            <w:shd w:val="clear" w:color="auto" w:fill="CCEEFF"/>
          </w:tcPr>
          <w:p>
            <w:pPr>
              <w:spacing w:after="0"/>
              <w:rPr>
                <w:sz w:val="19"/>
                <w:szCs w:val="19"/>
                <w:color w:val="auto"/>
              </w:rPr>
            </w:pPr>
          </w:p>
        </w:tc>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 and Selling, general and administrative expenses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29"/>
        </w:trPr>
        <w:tc>
          <w:tcPr>
            <w:tcW w:w="26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w:t>
            </w:r>
          </w:p>
        </w:tc>
      </w:tr>
      <w:tr>
        <w:trPr>
          <w:trHeight w:val="248"/>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6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our Condensed Consolidated Balance Sheets,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September 30, 2021</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Maturity Analysis:</w:t>
            </w: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4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4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4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4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4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25,521</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4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52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September 30,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years</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566"/>
        </w:trPr>
        <w:tc>
          <w:tcPr>
            <w:tcW w:w="5200" w:type="dxa"/>
            <w:vAlign w:val="bottom"/>
          </w:tcPr>
          <w:p>
            <w:pPr>
              <w:spacing w:after="0"/>
              <w:rPr>
                <w:sz w:val="20"/>
                <w:szCs w:val="20"/>
                <w:color w:val="auto"/>
              </w:rPr>
            </w:pPr>
            <w:r>
              <w:rPr>
                <w:rFonts w:ascii="Arial" w:cs="Arial" w:eastAsia="Arial" w:hAnsi="Arial"/>
                <w:sz w:val="18"/>
                <w:szCs w:val="18"/>
                <w:color w:val="auto"/>
                <w:w w:val="98"/>
              </w:rPr>
              <w:t>Supplemental cash flow information related to leases is as follows: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4"/>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Operating lease payments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center"/>
              <w:ind w:left="6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center"/>
              <w:ind w:left="6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809"/>
        </w:trPr>
        <w:tc>
          <w:tcPr>
            <w:tcW w:w="5200" w:type="dxa"/>
            <w:vAlign w:val="bottom"/>
          </w:tcPr>
          <w:p>
            <w:pPr>
              <w:spacing w:after="0"/>
              <w:rPr>
                <w:sz w:val="20"/>
                <w:szCs w:val="20"/>
                <w:color w:val="auto"/>
              </w:rPr>
            </w:pPr>
            <w:r>
              <w:rPr>
                <w:rFonts w:ascii="Arial" w:cs="Arial" w:eastAsia="Arial" w:hAnsi="Arial"/>
                <w:sz w:val="18"/>
                <w:szCs w:val="18"/>
                <w:b w:val="1"/>
                <w:bCs w:val="1"/>
                <w:color w:val="auto"/>
              </w:rPr>
              <w:t>Note 4 – Intangible Assets Including 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40" w:type="dxa"/>
            <w:vAlign w:val="bottom"/>
            <w:gridSpan w:val="2"/>
          </w:tcPr>
          <w:p>
            <w:pPr>
              <w:spacing w:after="0"/>
              <w:rPr>
                <w:sz w:val="20"/>
                <w:szCs w:val="20"/>
                <w:color w:val="auto"/>
              </w:rPr>
            </w:pPr>
            <w:r>
              <w:rPr>
                <w:rFonts w:ascii="Arial" w:cs="Arial" w:eastAsia="Arial" w:hAnsi="Arial"/>
                <w:sz w:val="18"/>
                <w:szCs w:val="18"/>
                <w:color w:val="auto"/>
                <w:w w:val="91"/>
              </w:rPr>
              <w:t>The changes in the carrying value of goodwill by segment are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Storage and Terminal</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left="613"/>
              <w:spacing w:after="0"/>
              <w:rPr>
                <w:sz w:val="20"/>
                <w:szCs w:val="20"/>
                <w:color w:val="auto"/>
              </w:rPr>
            </w:pPr>
            <w:r>
              <w:rPr>
                <w:rFonts w:ascii="Arial" w:cs="Arial" w:eastAsia="Arial" w:hAnsi="Arial"/>
                <w:sz w:val="18"/>
                <w:szCs w:val="18"/>
                <w:color w:val="auto"/>
                <w:w w:val="93"/>
              </w:rPr>
              <w:t>(58)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test our goodwill for impairment annually as of May 31st. While there continues to be uncertainty around the near-term level of spending by some of our customers due to the impacts of the COVID-19 pandemic and the timing of the economic recovery in certain energy markets, we concluded, that based on the totality of both positive and negative factors, no impairment indicators existed at September 30, 2021. However, if customer spending levels do not improve or if the outlook in certain key markets deteriorates, we may need to perform an interim goodwill impairment test, which could result in an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At September 30, 2021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totaled $0.5 million and $0.6 million during the three months ended September 30, 2021 and September 30, 2020,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September 30, 2021 amortizing intangible assets will be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estimated remaining amortization expense at September 30, 2021</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w:t>
            </w:r>
          </w:p>
        </w:tc>
      </w:tr>
      <w:tr>
        <w:trPr>
          <w:trHeight w:val="20"/>
        </w:trPr>
        <w:tc>
          <w:tcPr>
            <w:tcW w:w="9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At September 30, 2021, availability under the ABL Facility was $32.1 million and there were $43.1 million in letters of credit outstanding. The ABL Facility matures and any outstanding amounts become due and payable on September 9, 2026.</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equal to any of a base rate (“Base Rate”), Canadian prime rate, CDOR rate or a LIBOR rate, plus an applicable margin. The Base Rate is defined as a fluctuating interest rate equal to the greatest of (i) rate of interest announced by Bank of Montreal from time to time as its prime rate; (ii) the U.S. federal funds rate plus 0.50%; (iii) LIBOR rate for one month period plus 1.00%; and (iv) 1.00%. Depending on the amount of average availability, the applicable margin is between 1.00% to 1.50% for either U.S. Base Rate Loans or Canadian prime rate, and between 2.00% and 2.50% for CDOR and LIBOR rate borrowings. Interest is payable either (i) monthly for Base Rate borrowings or (ii) the last day of the interest period for LIBOR or CDOR rate borrowings, as set forth in the Credit Agreement. The fee for undrawn amounts is 0.25% per annum and is due quarterly.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Chase Bank, N.A., as Administrative Agent, Sole Lead Arranger and Sole Book Runner, and the other Lenders party thereto. The Prior Credit Agreement provided for a three-year senior secured revolving credit facility of $200.0 million that expired November 2, 2023.</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borrowings and $41.3 million of letters of credit outstanding under the Prior Credit Agreement as of the date we commenced the ABL Facility. Interest expense during the three months ended September 30, 2021 included $1.5 million of accelerated amortization of deferred debt amendment fees associated with the Prior Credit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rates were 23.1% and (9.8)% for the three months ended September 30, 2021 and September 30, 2020, respectively. The effective tax rate for the three months ended September 30, 2020 was negatively impacted by a $1.0 million deferred tax asset adjustment.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Carryback and Refund of Prior Years Overpayment</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Through provisions in the CARES Act, we had income tax benefits of $5.2 million during fiscal 2021 and $0.3 million during the three months ended September 30, 2021 from the ability to carryback the fiscal 2021 federal net operating loss to a period with a higher statutory federal income tax rate. We estimate that we will receive a $13.6 million tax refund in connection with this carryback, which is included in income taxes receivable in the Condensed Consolidated Balance Sheets.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expect to receive a $2.4 million tax refund in connection with overpayments from prior years, which is included in income taxes receivable in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deferred $11.1 million of U.S. payroll tax as of September 30, 2021 through provisions of CARES Act. We must repay half of the deferred payroll tax by December 31, 2021 and the remainder by December 31, 2022. The current portion of deferred payroll taxes is included within accrued wages and benefits and the non-current portion is included within other liabilities, non-current in the Condensed Consolidated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insurance coverage for various aspects of its operations. However, exposure to potential losses is retained through the use of deductibles, self-insured retentions and coverage limits.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$15.3 million at September 30, 2021 and $14.6 million at June 30, 2021.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third quarter of fiscal 2020, we commenced litigation in an effort to collect accounts receivable from an iron and steel customer following the deterioration of the relationship in the second quarter of fiscal 2020. The unpaid receivable balance at September 30, 2021 was $17.0 million. Litigation is unpredictable, however, based on the terms of the contract with this customer, we believe we are entitled to collect the full amount owed under the contract.</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subsidiaries are participants in various legal actions. It is the opinion of management that none of the other known legal actions, including a contract dispute with a customer involving the construction of a crude terminal, will have a material impact on our financial position, results of operations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5"/>
              <w:spacing w:after="0" w:line="135" w:lineRule="exact"/>
              <w:rPr>
                <w:sz w:val="20"/>
                <w:szCs w:val="20"/>
                <w:color w:val="auto"/>
              </w:rPr>
            </w:pPr>
            <w:r>
              <w:rPr>
                <w:rFonts w:ascii="Arial" w:cs="Arial" w:eastAsia="Arial" w:hAnsi="Arial"/>
                <w:sz w:val="14"/>
                <w:szCs w:val="14"/>
                <w:b w:val="1"/>
                <w:bCs w:val="1"/>
                <w:color w:val="auto"/>
                <w:w w:val="96"/>
              </w:rPr>
              <w:t>September 30,</w:t>
            </w:r>
          </w:p>
        </w:tc>
      </w:tr>
      <w:tr>
        <w:trPr>
          <w:trHeight w:val="188"/>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63"/>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375"/>
              <w:spacing w:after="0"/>
              <w:rPr>
                <w:sz w:val="20"/>
                <w:szCs w:val="20"/>
                <w:color w:val="auto"/>
              </w:rPr>
            </w:pPr>
            <w:r>
              <w:rPr>
                <w:rFonts w:ascii="Arial" w:cs="Arial" w:eastAsia="Arial" w:hAnsi="Arial"/>
                <w:sz w:val="13"/>
                <w:szCs w:val="13"/>
                <w:color w:val="auto"/>
                <w:w w:val="97"/>
              </w:rPr>
              <w:t>(In thousands, except per share data)</w:t>
            </w:r>
          </w:p>
        </w:tc>
      </w:tr>
      <w:tr>
        <w:trPr>
          <w:trHeight w:val="23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80" w:type="dxa"/>
            <w:vAlign w:val="bottom"/>
          </w:tcPr>
          <w:p>
            <w:pPr>
              <w:ind w:left="20"/>
              <w:spacing w:after="0" w:line="203" w:lineRule="exact"/>
              <w:rPr>
                <w:sz w:val="20"/>
                <w:szCs w:val="20"/>
                <w:color w:val="auto"/>
              </w:rPr>
            </w:pPr>
            <w:r>
              <w:rPr>
                <w:rFonts w:ascii="Arial" w:cs="Arial" w:eastAsia="Arial" w:hAnsi="Arial"/>
                <w:sz w:val="18"/>
                <w:szCs w:val="18"/>
                <w:color w:val="auto"/>
              </w:rPr>
              <w:t>Basic loss per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construction and maintenance services to a variety of power generation facilities, including natural gas fired facilities in simple or combined cycle configuration, and provide engineering, fabrication, and construction services for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We also include work related to cryogenic</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evaluate performance and allocate resources based on operating income. We record intersegment sales and transfers at cost; therefore, no intercompany profit or loss is recognized. In addition, corporate selling, general and administrative expenses are reported separately from the three reportable segments.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1"/>
              <w:spacing w:after="0" w:line="13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57,204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60,671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77,596</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gross revenue</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inter-segment revenue</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76,169</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consolidated revenue</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182,771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gross profit (loss)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Restructuring costs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restructuring costs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 operating loss</w:t>
            </w:r>
          </w:p>
        </w:tc>
        <w:tc>
          <w:tcPr>
            <w:tcW w:w="3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780" w:type="dxa"/>
            <w:vAlign w:val="bottom"/>
            <w:vMerge w:val="restart"/>
          </w:tcPr>
          <w:p>
            <w:pPr>
              <w:jc w:val="right"/>
              <w:ind w:right="261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7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106,619</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160,782</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118,438</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Restructuring Costs</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fiscal 2020, we initiated a business improvement plan to increase profitability and reduce our cost structure due to our strategic initiative to exit the domestic iron and steel industry and the decline in revenue caused by the ongoing effects of the COVID-19 pandemic and related market disruptions.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improvement plan consists of discretionary cost reductions, workforce reductions, reduction of capital expenditures and the reduction in size or closure of certain offices in order to increase the utilization of our staff and bring the cost structure of the business in line with revenue volumes. We incurred $0.6 million of restructuring costs during the three months ended September 30, 2021 and $21.4 million of restructuring costs since inception of the plan. The restructuring costs consist primarily of severance costs, facility closure costs, and other liabilities as a result of exiting certain operations. We expect to substantially complete this initiative in fiscal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under our business improvement plan are classified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2"/>
              </w:rPr>
              <w:t>Since Inception of</w:t>
            </w:r>
          </w:p>
        </w:tc>
        <w:tc>
          <w:tcPr>
            <w:tcW w:w="0" w:type="dxa"/>
            <w:vAlign w:val="bottom"/>
          </w:tcPr>
          <w:p>
            <w:pPr>
              <w:spacing w:after="0"/>
              <w:rPr>
                <w:sz w:val="1"/>
                <w:szCs w:val="1"/>
                <w:color w:val="auto"/>
              </w:rPr>
            </w:pPr>
          </w:p>
        </w:tc>
      </w:tr>
      <w:tr>
        <w:trPr>
          <w:trHeight w:val="40"/>
        </w:trPr>
        <w:tc>
          <w:tcPr>
            <w:tcW w:w="708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08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2021</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11"/>
                <w:szCs w:val="11"/>
                <w:color w:val="auto"/>
              </w:rPr>
            </w:pPr>
          </w:p>
        </w:tc>
        <w:tc>
          <w:tcPr>
            <w:tcW w:w="122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88"/>
        </w:trPr>
        <w:tc>
          <w:tcPr>
            <w:tcW w:w="708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Improvement Plan</w:t>
            </w:r>
          </w:p>
        </w:tc>
        <w:tc>
          <w:tcPr>
            <w:tcW w:w="0" w:type="dxa"/>
            <w:vAlign w:val="bottom"/>
          </w:tcPr>
          <w:p>
            <w:pPr>
              <w:spacing w:after="0"/>
              <w:rPr>
                <w:sz w:val="1"/>
                <w:szCs w:val="1"/>
                <w:color w:val="auto"/>
              </w:rPr>
            </w:pPr>
          </w:p>
        </w:tc>
      </w:tr>
      <w:tr>
        <w:trPr>
          <w:trHeight w:val="183"/>
        </w:trPr>
        <w:tc>
          <w:tcPr>
            <w:tcW w:w="7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Utility and Power Infrastructure</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8"/>
        </w:trPr>
        <w:tc>
          <w:tcPr>
            <w:tcW w:w="7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Utility and Power Infrastructure</w:t>
            </w: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Process and Industrial Facilities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Process and Industrial Facilities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Storage and Terminal Solutions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8"/>
        </w:trPr>
        <w:tc>
          <w:tcPr>
            <w:tcW w:w="7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Storage and Terminal Solutions</w:t>
            </w: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7080" w:type="dxa"/>
            <w:vAlign w:val="bottom"/>
          </w:tcPr>
          <w:p>
            <w:pPr>
              <w:ind w:left="240"/>
              <w:spacing w:after="0"/>
              <w:rPr>
                <w:sz w:val="20"/>
                <w:szCs w:val="20"/>
                <w:color w:val="auto"/>
              </w:rPr>
            </w:pPr>
            <w:r>
              <w:rPr>
                <w:rFonts w:ascii="Arial" w:cs="Arial" w:eastAsia="Arial" w:hAnsi="Arial"/>
                <w:sz w:val="18"/>
                <w:szCs w:val="18"/>
                <w:color w:val="auto"/>
              </w:rPr>
              <w:t>Total Corporate</w:t>
            </w: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restructuring costs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restructuring reserve is included in other accrued expenses and other liabilities in the Condensed Consolidated Balance Sheets. The table below is a reconciliation of the beginning and ending restructuring reserve balance under the business improvement plan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6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Balance as of September 30, 2021</w:t>
            </w:r>
          </w:p>
        </w:tc>
        <w:tc>
          <w:tcPr>
            <w:tcW w:w="52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200" w:type="dxa"/>
            <w:vAlign w:val="bottom"/>
            <w:vMerge w:val="restart"/>
          </w:tcPr>
          <w:p>
            <w:pPr>
              <w:jc w:val="right"/>
              <w:ind w:right="3310"/>
              <w:spacing w:after="0"/>
              <w:rPr>
                <w:sz w:val="20"/>
                <w:szCs w:val="20"/>
                <w:color w:val="auto"/>
              </w:rPr>
            </w:pPr>
            <w:r>
              <w:rPr>
                <w:rFonts w:ascii="Arial" w:cs="Arial" w:eastAsia="Arial" w:hAnsi="Arial"/>
                <w:sz w:val="18"/>
                <w:szCs w:val="18"/>
                <w:color w:val="auto"/>
              </w:rPr>
              <w:t>-18-</w:t>
            </w: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38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and nature of future project awards, revenue and margins from each of our segments;</w:t>
      </w:r>
    </w:p>
    <w:p>
      <w:pPr>
        <w:spacing w:after="0" w:line="171"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980" w:right="6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2021 and listed from time to time in our filings with the Securities and Exchange Commission;</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COVID-19 pandemic) and in the oil, natural gas, power, petrochemical, agricultural and mining industries in particular;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delays in the commencement or progression of major projects, whether due to COVID-19 concerns, permitting issues or other factors;</w:t>
      </w:r>
    </w:p>
    <w:p>
      <w:pPr>
        <w:spacing w:after="0" w:line="182" w:lineRule="exact"/>
        <w:rPr>
          <w:rFonts w:ascii="Arial" w:cs="Arial" w:eastAsia="Arial" w:hAnsi="Arial"/>
          <w:sz w:val="17"/>
          <w:szCs w:val="17"/>
          <w:color w:val="auto"/>
        </w:rPr>
      </w:pPr>
    </w:p>
    <w:p>
      <w:pPr>
        <w:ind w:left="980" w:right="3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and other commodity prices which affect our customers' businesses;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the course of the COVID-19 pandemic, our top priority has been to maintain a safe working environment for all employees, customers and business partners. Our project teams, in coordination with our clients, are monitoring the impact of new variants of COVID-19 and continue to operate under enhanced work processes to protect the health and safety of everyone on our job sites.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beginning of the pandemic we have reduced our cost structure by more than $70 million, or approximately 27%, with one-third of those reductions related to SG&amp;A and the rest related to construction overhead, which is included in cost of revenue in the Consolidated Statements of Income. These cost savings were primarily the result of the business improvement plan that began in fiscal 2020 and continues to evolve based on our markets, organizational structure and outlook. We expect to complete the plan in fiscal 2022. See Item 1. Financial Statements, Note 10 - Restructuring Costs, for more information. Despite these significant reductions in construction overhead, our low revenue volume still has not allowed for the complete recovery of construction overhead or leveraging of SG&amp;A costs. As we move through fiscal 2022, we expect the business improvement plan along with improving revenue volumes to positively impact earnings.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construction and maintenance services to a variety of power generation facilities, including natural gas fired facilities in simple or combined cycle configuration and provide engineering, fabrication, and construction services for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We also include work related to cryogenic</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evaluate performance and allocate resources based on operating income. We record intersegment sales and transfers at cost; therefore, no intercompany profit or loss is recognized. In addition, corporate selling, general and administrative expenses are reported separately from the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3480"/>
        <w:spacing w:after="0" w:line="440" w:lineRule="auto"/>
        <w:rPr>
          <w:sz w:val="20"/>
          <w:szCs w:val="20"/>
          <w:color w:val="auto"/>
        </w:rPr>
      </w:pPr>
      <w:r>
        <w:rPr>
          <w:rFonts w:ascii="Arial" w:cs="Arial" w:eastAsia="Arial" w:hAnsi="Arial"/>
          <w:sz w:val="18"/>
          <w:szCs w:val="18"/>
          <w:b w:val="1"/>
          <w:bCs w:val="1"/>
          <w:color w:val="auto"/>
        </w:rPr>
        <w:t xml:space="preserve">Three Months Ended September 30, 2021 Compared to the Three Months Ended September 30, 2020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revenue was $168.1 million for the three months ended September 30, 2021, compared to $182.8 million in the same period last year. On a segment basis, revenue decreased in the Storage and Terminal Solutions, Utility and Power Infrastructure, and Process and Industrial Facilities segments by $9.2 million, $3.5 million and $2.0 million, respectively.</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gross profit (loss) decreased to $(3.5) million in the three months ended September 30, 2021 compared to $14.4 million in the same period last year. Gross margin (loss) decreased to (2.1)% in the three months ended September 30, 2021 compared to 7.9% in the same period last year. Gross margins in fiscal 2022 were negatively impacted by a lower than previously forecasted margin on a large capital project and an unfavorable settlement of a claim with a customer, both in the Utility and Power Infrastructure segment, and by lower than previously forecasted margins on a limited number of projects in the Storage and Terminal Solutions segment. In addition, gross margins were also negatively impacted by lower than forecasted volumes, which led to under recovery of construction overhead costs.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SG&amp;A expenses were $16.6 million in the three months ended September 30, 2021 compared to $18.1 million in the same period a year earlier. The decrease is primarily attributable to implemented cost reductions.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restructuring activities, we recorded $0.6 million of restructuring costs in the three months ended September 30, 2021. See Item 1. Financial Statements, Note 10 - Restructuring Costs, for more information.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$2.0 million in the three months ended September 30, 2021 compared to $0.4 million in the three months ended September 30, 2020. Interest expense in fiscal 2022 included $1.5 million of accelerated amortization of deferred debt amendment fees associated with the Prior Credit Agreement (see Item 1. Financial Statements, Note 5 - Debt, for more information).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rates for the three months ended September 30, 2021 and September 30, 2020 were 23.1% and (9.8)%, respectively. The effective tax rate for the three months ended September 30, 2020 was negatively impacted by a $1.0 million deferred tax asset adjustment.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2021, we had a net loss of $17.5 million, or $0.66 per fully diluted share, compared to a net loss of $3.0 million, or $0.12 per fully diluted share, in the three months ended September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Utility and Power Infrastructure segment was $57.2 million in the three months ended September 30, 2021 compared to $60.7 million in the same period last year. The decrease is primarily due to lower volumes of power delivery and natural gas utility peak shaving work, partially offset by higher volumes of storm response service work.</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segment gross margin (loss) was (10.7)% in fiscal 2022 compared to 11.4% in fiscal 2021. The fiscal 2022 segment gross margin was negatively impacted by an increase in the forecasted costs to complete a large capital project, which resulted in a decrease in gross profit of $5.9 million. The change in estimate was principally due to unexpected equipment repairs during commissioning that delayed the scheduled completion and increased the estimated costs to complete. We achieved a critical performance milestone in the second quarter of fiscal 2022, which significantly reduced our financial exposure. In addition, segment gross margin was negatively impacted by an unfavorable settlement of a claim with a customer, and low volumes, which led to the under recovery of construction overhead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Process and Industrial Facilities segment was $43.9 million in the three months ended September 30, 2021 compared to $45.9 million in the same period last year. The decrease is primarily due to lower volumes of thermal vacuum chamber and capital work, largely offset by an increase in refinery turnaround and maintenance work.</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segment gross margin was 6.5% for the three months ended September 30, 2021 compared to 8.0% in the same period last year. Project execution in fiscal 2021 was strong, but gross margin was negatively impacted by lower volumes, which led to the under recovery of construction overhead costs. The lower segment gross margin in fiscal 2022 was the result of lower direct margins largely offset by improved recovery of construction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Storage and Terminal Solutions segment was $67.0 million in the three months ended September 30, 2021 compared to $76.2 million in the same period last year. The decrease in segment revenue is primarily a result of lower volumes of crude oil tank and terminal capital work, partially offset by an increase in tank repair and maintenance work.</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segment gross margin was 0.6% for the three months ended September 30, 2021 compared to 5.0% in the same period last year. The fiscal 2022 segment gross margin was negatively impacted by lower than previously forecasted margins on a limited number of projects and a higher percentage of lower margin maintenance work. While recovery of construction overhead costs improved in fiscal 2022, revenue volumes were still not sufficient to allow full recovery. The fiscal 2021 segment gross margin was negatively impacted by the under recovery of construction overhead costs and a lower than previously forecasted margin on a crude oil storage terminal capital project that reached substantial completion in fiscal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Unallocated corporate expenses were $7.6 million during the three months ended September 30, 2021 compared to $6.9 million in the same period last year. The increase is primarily attributable to an increase in legal costs for outstanding litigation (see Item 1. Financial Statements, Note 7 - Commitment and Contingencies, for more information) and third party consulting services related to restructuring activities (see "Operational Update" in this Results of Operations section), partially offset by cost reductions we implemented.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2021: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462,561</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266,887</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(168,093)</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176,876</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561,355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145415</wp:posOffset>
            </wp:positionV>
            <wp:extent cx="7969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12" w:lineRule="exact"/>
        <w:rPr>
          <w:sz w:val="20"/>
          <w:szCs w:val="20"/>
          <w:color w:val="auto"/>
        </w:rPr>
      </w:pPr>
    </w:p>
    <w:p>
      <w:pPr>
        <w:ind w:left="560" w:hanging="309"/>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Utility and Power Infrastructure segment, bidding activity is strong in the power delivery portion of the business. During the first quarter of fiscal 2022, we received several key contracts for electrical infrastructure services including substation rebuilds, relay upgrades, and fiber installation. Similarly, our opportunity pipeline for LNG peak shaving projects is building, however those awards, while significant, can be less frequent. In addition, we expect the new $1.2 trillion Infrastructure Investment and Jobs Act recently passed by congress will lead to increased opportunities in this segment.</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Process and Industrial Facilities segment, client spending related to refinery maintenance operations has returned to near-normal levels. During the first quarter of fiscal 2022, we received a key award for the construction of a thermal vacuum chamber. We continue to see strong demand for thermal vacuum chambers in the coming quarters, as well as increasing opportunities in mining and minerals and chemicals. In addition, we are seeing more opportunities for midstream gas work, including some larger scale projects.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Storage and Terminal Solutions segment, oil and natural gas producers have remained cautious with capital spending, which has limited new production volumes and opportunities in crude oil tanks and terminals. However, we received key capital construction contracts for an LNG tank and a storage tank package consisting of seven biodiesel tanks, in the first quarter of fiscal 2022. This segment also includes significant opportunities for storage infrastructure projects related to natural gas, LNG, ammonia, hydrogen, NGLs and other forms of renewable energy.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also impacted by the COVID-19 pandemic, which has led to the loss of productivity, among other issues.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usually leads to over or under recovery of fixed overhead costs, which can have a material impact on our gross margin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order to more clearly depict our core profitability, the following tables present our operating results after certain adjustments: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Loss and Diluted Loss per Common Share</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r>
      <w:tr>
        <w:trPr>
          <w:trHeight w:val="187"/>
        </w:trPr>
        <w:tc>
          <w:tcPr>
            <w:tcW w:w="852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2020</w:t>
            </w:r>
          </w:p>
        </w:tc>
      </w:tr>
      <w:tr>
        <w:trPr>
          <w:trHeight w:val="224"/>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Restructuring costs incurred</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Accelerated amortization of deferred debt amendment fees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 impact of adjustments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loss</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fully diluted share, as reported</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20" w:type="dxa"/>
            <w:vAlign w:val="bottom"/>
          </w:tcPr>
          <w:p>
            <w:pPr>
              <w:ind w:left="20"/>
              <w:spacing w:after="0" w:line="203" w:lineRule="exact"/>
              <w:rPr>
                <w:sz w:val="20"/>
                <w:szCs w:val="20"/>
                <w:color w:val="auto"/>
              </w:rPr>
            </w:pPr>
            <w:r>
              <w:rPr>
                <w:rFonts w:ascii="Arial" w:cs="Arial" w:eastAsia="Arial" w:hAnsi="Arial"/>
                <w:sz w:val="18"/>
                <w:szCs w:val="18"/>
                <w:color w:val="auto"/>
              </w:rPr>
              <w:t>Adjusted loss per fully diluted share</w:t>
            </w:r>
          </w:p>
        </w:tc>
        <w:tc>
          <w:tcPr>
            <w:tcW w:w="400" w:type="dxa"/>
            <w:vAlign w:val="bottom"/>
            <w:tcBorders>
              <w:bottom w:val="single" w:sz="8" w:color="auto"/>
            </w:tcBorders>
          </w:tcPr>
          <w:p>
            <w:pPr>
              <w:jc w:val="right"/>
              <w:ind w:right="194"/>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(0.60)</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49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r>
      <w:tr>
        <w:trPr>
          <w:trHeight w:val="20"/>
        </w:trPr>
        <w:tc>
          <w:tcPr>
            <w:tcW w:w="8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96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1" w:lineRule="exact"/>
        <w:rPr>
          <w:sz w:val="20"/>
          <w:szCs w:val="20"/>
          <w:color w:val="auto"/>
        </w:rPr>
      </w:pPr>
    </w:p>
    <w:p>
      <w:pPr>
        <w:jc w:val="both"/>
        <w:ind w:left="580" w:hanging="329"/>
        <w:spacing w:after="0" w:line="273" w:lineRule="auto"/>
        <w:tabs>
          <w:tab w:leader="none" w:pos="572"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table presents non-GAAP financial measures of our adjusted net loss and adjusted diluted loss per common share for the three months ended September 30, 2021 and 2020. The most directly comparable financial measures are net loss and net loss per diluted share, respectively, presented in the Condensed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diluted loss per common share are not measures of performance calculated in accordance with GAAP, they should be considered in addition to, rather than as a substitute for, the most directly comparable GAAP financial measures.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Adjusted EBITDA, which we define as net loss before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27" w:lineRule="exact"/>
        <w:rPr>
          <w:sz w:val="20"/>
          <w:szCs w:val="20"/>
          <w:color w:val="auto"/>
        </w:rPr>
      </w:pPr>
    </w:p>
    <w:p>
      <w:pPr>
        <w:ind w:left="980" w:right="52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220" w:hanging="324"/>
        <w:spacing w:after="0" w:line="259"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132"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10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loss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tcPr>
          <w:p>
            <w:pPr>
              <w:jc w:val="right"/>
              <w:ind w:right="134"/>
              <w:spacing w:after="0" w:line="135" w:lineRule="exact"/>
              <w:rPr>
                <w:sz w:val="20"/>
                <w:szCs w:val="20"/>
                <w:color w:val="auto"/>
              </w:rPr>
            </w:pPr>
            <w:r>
              <w:rPr>
                <w:rFonts w:ascii="Arial" w:cs="Arial" w:eastAsia="Arial" w:hAnsi="Arial"/>
                <w:sz w:val="14"/>
                <w:szCs w:val="14"/>
                <w:b w:val="1"/>
                <w:bCs w:val="1"/>
                <w:color w:val="auto"/>
                <w:w w:val="96"/>
              </w:rPr>
              <w:t>September 30,</w:t>
            </w:r>
          </w:p>
        </w:tc>
      </w:tr>
      <w:tr>
        <w:trPr>
          <w:trHeight w:val="188"/>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from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at September 30, 2021 were unrestricted cash and cash equivalents on hand, capacity under our credit agreement, and cash generated from operations. Unrestricted cash and cash equivalents at September 30, 2021 totaled $34.7 million and availability under the ABL Facility totaled $32.1 million, resulting in total liquidity of $66.8 million. We expect letters of credit outstanding to decrease by approximately $20.0 million in the second quarter of fiscal 2022, which will increase availability under the ABL Facility by the same amount.</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83,878</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r>
      <w:tr>
        <w:trPr>
          <w:trHeight w:val="20"/>
        </w:trPr>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saw improvement in our project awards and business environment during the first quarter of fiscal 2022, the near- and intermediate-term business impacts from the COVID-19 pandemic and its disruption of our markets are still uncertain. Therefore we continue to maintain a strong balance sheet, which we believe is sufficient to support our near- to intermediate-term needs. We are continuing to take the following actions:</w:t>
      </w:r>
    </w:p>
    <w:p>
      <w:pPr>
        <w:spacing w:after="0" w:line="1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strategically reviewing business processes and organizational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proactively managing our the cost structure and 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eliminating all non-critical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97" w:lineRule="exact"/>
        <w:rPr>
          <w:rFonts w:ascii="Arial" w:cs="Arial" w:eastAsia="Arial" w:hAnsi="Arial"/>
          <w:sz w:val="18"/>
          <w:szCs w:val="18"/>
          <w:color w:val="auto"/>
        </w:rPr>
      </w:pPr>
    </w:p>
    <w:p>
      <w:pPr>
        <w:ind w:left="1300" w:right="14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some cost-plus and fixed-price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300" w:right="48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some fixed-price customer contracts allow for significant upfront billings at the beginning of a project, which temporarily increases liquidity near term;</w:t>
      </w:r>
    </w:p>
    <w:p>
      <w:pPr>
        <w:spacing w:after="0" w:line="197"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 and</w:t>
      </w:r>
    </w:p>
    <w:p>
      <w:pPr>
        <w:spacing w:after="0" w:line="197" w:lineRule="exact"/>
        <w:rPr>
          <w:rFonts w:ascii="Arial" w:cs="Arial" w:eastAsia="Arial" w:hAnsi="Arial"/>
          <w:sz w:val="18"/>
          <w:szCs w:val="18"/>
          <w:color w:val="auto"/>
        </w:rPr>
      </w:pPr>
    </w:p>
    <w:p>
      <w:pPr>
        <w:ind w:left="1300" w:right="60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changes in working capital;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of letters of credit;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long-term liquidity include:</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borrowing constraints under our ABL Facility and maintaining compliance with all covenants contained in the ABL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disposals of businesses;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Credit Facility and Senior Secured Revolving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At September 30, 2021, availability under the ABL Facility was $32.1 million and there were $43.1 million in letters of credit outstanding. The ABL Facility matures and any outstanding amounts become due and payable on September 9, 2026.</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equal to any of a base rate (“Base Rate”), Canadian prime rate, CDOR rate or a LIBOR rate, plus an applicable margin. The Base Rate is defined as a fluctuating interest rate equal to the greatest of (i) rate of interest announced by Bank of Montreal from time to time as its prime rate; (ii) the U.S. federal funds rate plus 0.50%; (iii) LIBOR rate for one month period plus 1.00%; and (iv) 1.00%. Depending on the amount of average availability, the applicable margin is between 1.00% to 1.50% for either U.S. Base Rate Loans or Canadian prime rate, and between 2.00% and 2.50% for CDOR and LIBOR rate borrowings. Interest is payable either (i) monthly for Base Rate borrowings or (ii) the last day of the interest period for LIBOR or CDOR rate borrowings, as set forth in the Credit Agreement. The fee for undrawn amounts is 0.25% per annum and is due quarterly.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Chase Bank, N.A., as Administrative Agent, Sole Lead Arranger and Sole Book Runner, and the other Lenders party thereto. The Prior Credit Agreement provided for a three-year senior secured revolving credit facility of $200.0 million that expired November 2, 2023.</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borrowings and $41.3 million of letters of credit outstanding under the Prior Credit Agreement as of the date we commenced the ABL Facility. Interest expense during the three months ended September 30, 2021 included $1.5 million of accelerated amortization of deferred debt amendment fees associated with the Prior Credit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used by operating activities for the three months ended September 30, 2021 totaled $19.2 million. The various components are as follows: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6200" w:type="dxa"/>
            <w:vAlign w:val="bottom"/>
            <w:gridSpan w:val="2"/>
          </w:tcPr>
          <w:p>
            <w:pPr>
              <w:jc w:val="right"/>
              <w:ind w:right="3110"/>
              <w:spacing w:after="0"/>
              <w:rPr>
                <w:sz w:val="20"/>
                <w:szCs w:val="20"/>
                <w:color w:val="auto"/>
              </w:rPr>
            </w:pPr>
            <w:r>
              <w:rPr>
                <w:rFonts w:ascii="Arial" w:cs="Arial" w:eastAsia="Arial" w:hAnsi="Arial"/>
                <w:sz w:val="18"/>
                <w:szCs w:val="18"/>
                <w:b w:val="1"/>
                <w:bCs w:val="1"/>
                <w:color w:val="auto"/>
                <w:w w:val="90"/>
              </w:rPr>
              <w:t>Net Cash Used by Operating Activities</w:t>
            </w:r>
          </w:p>
        </w:tc>
        <w:tc>
          <w:tcPr>
            <w:tcW w:w="920" w:type="dxa"/>
            <w:vAlign w:val="bottom"/>
          </w:tcPr>
          <w:p>
            <w:pPr>
              <w:spacing w:after="0"/>
              <w:rPr>
                <w:sz w:val="19"/>
                <w:szCs w:val="19"/>
                <w:color w:val="auto"/>
              </w:rPr>
            </w:pPr>
          </w:p>
        </w:tc>
      </w:tr>
      <w:tr>
        <w:trPr>
          <w:trHeight w:val="230"/>
        </w:trPr>
        <w:tc>
          <w:tcPr>
            <w:tcW w:w="4080" w:type="dxa"/>
            <w:vAlign w:val="bottom"/>
          </w:tcPr>
          <w:p>
            <w:pPr>
              <w:spacing w:after="0"/>
              <w:rPr>
                <w:sz w:val="20"/>
                <w:szCs w:val="20"/>
                <w:color w:val="auto"/>
              </w:rPr>
            </w:pPr>
          </w:p>
        </w:tc>
        <w:tc>
          <w:tcPr>
            <w:tcW w:w="6200" w:type="dxa"/>
            <w:vAlign w:val="bottom"/>
            <w:gridSpan w:val="2"/>
          </w:tcPr>
          <w:p>
            <w:pPr>
              <w:jc w:val="right"/>
              <w:ind w:right="40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2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5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7,342</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5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Cash effect of changes in operating assets and liabilities</w:t>
            </w:r>
          </w:p>
        </w:tc>
        <w:tc>
          <w:tcPr>
            <w:tcW w:w="58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by operating activities</w:t>
            </w:r>
          </w:p>
        </w:tc>
        <w:tc>
          <w:tcPr>
            <w:tcW w:w="5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Cash effect of changes in operating assets and liabilities at September 30, 2021 in comparison to June 30, 2021 include the following:</w:t>
      </w:r>
    </w:p>
    <w:p>
      <w:pPr>
        <w:spacing w:after="0" w:line="252" w:lineRule="exact"/>
        <w:rPr>
          <w:sz w:val="20"/>
          <w:szCs w:val="20"/>
          <w:color w:val="auto"/>
        </w:rPr>
      </w:pPr>
    </w:p>
    <w:p>
      <w:pPr>
        <w:ind w:left="980" w:right="20" w:hanging="324"/>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receivable, net of credit losses recognized during the period and other adjustments, decreased $3.1 million during the three months ended September 30, 2021, which increased cash flows from operating activities. The variance is primarily attributable to the timing of billing and collections.</w:t>
      </w:r>
    </w:p>
    <w:p>
      <w:pPr>
        <w:spacing w:after="0" w:line="210" w:lineRule="exact"/>
        <w:rPr>
          <w:rFonts w:ascii="Arial" w:cs="Arial" w:eastAsia="Arial" w:hAnsi="Arial"/>
          <w:sz w:val="18"/>
          <w:szCs w:val="18"/>
          <w:color w:val="auto"/>
        </w:rPr>
      </w:pPr>
    </w:p>
    <w:p>
      <w:pPr>
        <w:ind w:left="980" w:right="60" w:hanging="324"/>
        <w:spacing w:after="0" w:line="279"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increased $3.0 million, which decreased cash flows from operating activities. Billings on uncompleted contracts in excess of costs and estimated earnings ("BIE") decreased $2.9 million, which decreased cash flows from operating activities. CIE and BIE balances can experience significant fluctuations based on business volumes and the timing of when job costs are incurred and the timing of customer billings and payments.</w:t>
      </w:r>
    </w:p>
    <w:p>
      <w:pPr>
        <w:spacing w:after="0" w:line="198" w:lineRule="exact"/>
        <w:rPr>
          <w:rFonts w:ascii="Arial" w:cs="Arial" w:eastAsia="Arial" w:hAnsi="Arial"/>
          <w:sz w:val="17"/>
          <w:szCs w:val="17"/>
          <w:color w:val="auto"/>
        </w:rPr>
      </w:pPr>
    </w:p>
    <w:p>
      <w:pPr>
        <w:ind w:left="980" w:right="100" w:hanging="324"/>
        <w:spacing w:after="0" w:line="25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Inventories, income taxes receivable, other current assets, operating right-of-use lease assets and other assets, non-current, increased $3.3 million during the three months ended September 30, 2021,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214" w:lineRule="exact"/>
        <w:rPr>
          <w:rFonts w:ascii="Arial" w:cs="Arial" w:eastAsia="Arial" w:hAnsi="Arial"/>
          <w:sz w:val="18"/>
          <w:szCs w:val="18"/>
          <w:color w:val="auto"/>
        </w:rPr>
      </w:pPr>
    </w:p>
    <w:p>
      <w:pPr>
        <w:ind w:left="980" w:right="200" w:hanging="324"/>
        <w:spacing w:after="0" w:line="279"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Accounts payable, accrued wages and benefits, accrued insurance, operating lease liabilities, other accrued expenses, and other liabilities, non-current increased by $2.8 million during the three months ended September 30, 2021, which increased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Investing activities used $0.1 million of cash in the three months ended September 30, 2021 primarily due to $0.2 million of capital expenditures, partially offset by $0.1 million of proceeds from other asset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used $1.8 million of cash in the three months ended September 30, 2021 primarily due to $0.9 million paid to repurchase our stock for payment of withholding taxes due on equity-based compensation and $0.9 million paid in fees to enter into our ABL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terms of our Credit Agreement limit share repurchases to $2.5 million per fiscal year provided that we meet certain availability thresholds and do not violate our Fixed Charge Coverage Ratio financial covenant. 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first quarter of fiscal 2022 and have no current plans to repurchase stock in the near-term.</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September 30, 2021, there were 1,349,037 shares available for repurchase under the Stock Buyback Program. We had 1,191,189 treasury shares as of September 30, 2021 and intend to utilize these treasury shares in connection with equity awards under the our stock incentive plans and for sales to the Employee Stock Purchase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2021 Annual Report on Form 10-K filed with the SEC. For more information on our critical accounting policies, see Part II, Item 7 of our fiscal 2021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$15.3 million at September 30, 2021 and $14.6 million at June 30, 2021.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perform our annual impairment test as of May 31st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compared to our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legal actions, claims, and other contingencies arise in the normal course of our business. Contingencies are recorded in the condensed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2021, filed with the Securities and Exchange Commission. For more information on market risk, see Part II, Item 7A in our fiscal 2021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2021. Based on the foregoing, our Chief Executive Officer and Chief Financial Officer concluded that our disclosure controls and procedures were effective at the reasonable assurance level at September 30, 2021.</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amended the following Risk Factor that appeared in Item 1A of Part I of our Annual Report on Form 10-K for the fiscal year ended June 30, 2021. This amended Risk Factor should be considered along with the other Risk Factors that appeared in our Annual Report for the fiscal year ended June 30, 2021. Except as set forth below, there have been no material changes to the risk factors involving us from those previously disclosed in Item 1A of our Annual Report on Form 10-K for the fiscal year ended June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affected our business and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has adversely affected our business and operations and the business and operations of our customers. We have experienced unpredictable reductions in demand for our services. In response to the COVID-19 pandemic, companies within the oil and natural gas and other industries (including our customers) have announced spending cuts and/or project delays which, in turn, have resulted in decreased awards of new contracts or adjustments, reductions, suspensions or cancellations of existing contracts. Such continued delays have impacted our business, results of operations and financial condition.</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ongoing pandemic has also resulted in disruptions to labor and global supply chains, which have led to labor shortages and higher prices for some of the materials we need to run our business, including, but not limited to, structural steel, steel piping, rebar, valves, copper, and delivery freight. We have been proactive with managing our workforce and procurement processes to help reduce the impacts of labor shortages and rising materials prices on our business and to help ensure we continue to have the labor and materials we need available. However, rising prices and the potential for labor and materials shortages have created additional risk into bidding and executing work profitably.</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9, 2021, President Biden announced a proposed new rule requiring all employers with at least 100 employees to require that their employees be fully vaccinated or tested weekly. On November 4, 2021, the U.S. Department of Labor’s Occupational Safety and Health Administration (“OSHA”) issued an emergency regulation to carry out this mandate, which is expected to take effect on January 4, 2022. As a company with more than 100 employees, we are subject to the OSHA regulation concerning COVID-19 vaccination. At this time, it is not possible to predict with certainty the exact impact that the new regulation will have on us or on our workforce. The proposed new regulation may result in employee attrition and difficulty securing future labor needs which could have an adverse effect on our business, results of operations and/or cash flows.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duration of the COVID-19 pandemic and its economic consequences are uncertain, rapidly changing and difficult to predict, the impact on our business, financial condition and results of operations remains uncertain. While we expect the COVID-19 pandemic to have an adverse effect on our business, financial condition, liquidity, cash flow and results of operations, we are unable to predict the extent, nature or duration of these impacts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with respect to purchases we made of our common stock during the first quarter of fiscal year 2022.</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1"/>
                <w:szCs w:val="11"/>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1"/>
                <w:szCs w:val="11"/>
                <w:color w:val="auto"/>
              </w:rPr>
            </w:pPr>
          </w:p>
        </w:tc>
        <w:tc>
          <w:tcPr>
            <w:tcW w:w="14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to July 31, 2021</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Stock Buyback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August 1 to August 31,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Buyback Program (A)</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Employee Transactions (B)</w:t>
            </w:r>
          </w:p>
        </w:tc>
        <w:tc>
          <w:tcPr>
            <w:tcW w:w="1520" w:type="dxa"/>
            <w:vAlign w:val="bottom"/>
          </w:tcPr>
          <w:p>
            <w:pPr>
              <w:jc w:val="right"/>
              <w:spacing w:after="0"/>
              <w:rPr>
                <w:sz w:val="20"/>
                <w:szCs w:val="20"/>
                <w:color w:val="auto"/>
              </w:rPr>
            </w:pPr>
            <w:r>
              <w:rPr>
                <w:rFonts w:ascii="Arial" w:cs="Arial" w:eastAsia="Arial" w:hAnsi="Arial"/>
                <w:sz w:val="18"/>
                <w:szCs w:val="18"/>
                <w:color w:val="auto"/>
              </w:rPr>
              <w:t>76,703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to September 30,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40"/>
              <w:spacing w:after="0"/>
              <w:rPr>
                <w:sz w:val="20"/>
                <w:szCs w:val="20"/>
                <w:color w:val="auto"/>
              </w:rPr>
            </w:pPr>
            <w:r>
              <w:rPr>
                <w:rFonts w:ascii="Arial" w:cs="Arial" w:eastAsia="Arial" w:hAnsi="Arial"/>
                <w:sz w:val="18"/>
                <w:szCs w:val="18"/>
                <w:color w:val="auto"/>
              </w:rPr>
              <w:t>Stock Buyback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our stock incentive plans.</w:t>
      </w:r>
    </w:p>
    <w:p>
      <w:pPr>
        <w:jc w:val="both"/>
        <w:ind w:left="580" w:hanging="329"/>
        <w:spacing w:after="0" w:line="252" w:lineRule="auto"/>
        <w:tabs>
          <w:tab w:leader="none" w:pos="5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program in the first quarter of fiscal 2022 and have no current plans to repurchase stock in the near-term.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w:t>
            </w:r>
          </w:p>
        </w:tc>
        <w:tc>
          <w:tcPr>
            <w:tcW w:w="9140" w:type="dxa"/>
            <w:vAlign w:val="bottom"/>
            <w:gridSpan w:val="11"/>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Credit Agreement dated as of September 9, 2021 by and among, Matrix Service Company and certain subsidiaries thereof,</w:t>
              </w:r>
            </w:hyperlink>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2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certain financial institutions as lenders, and Bank of Montreal, as administrative agent (Exhibit 10.19 to the Company's</w:t>
              </w:r>
            </w:hyperlink>
          </w:p>
        </w:tc>
        <w:tc>
          <w:tcPr>
            <w:tcW w:w="320" w:type="dxa"/>
            <w:vAlign w:val="bottom"/>
          </w:tcPr>
          <w:p>
            <w:pPr>
              <w:spacing w:after="0"/>
              <w:rPr>
                <w:sz w:val="13"/>
                <w:szCs w:val="13"/>
                <w:color w:val="auto"/>
              </w:rPr>
            </w:pPr>
          </w:p>
        </w:tc>
      </w:tr>
      <w:tr>
        <w:trPr>
          <w:trHeight w:val="155"/>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Annual Report on Form 10-K (File No. 1-15461) filed September 13, 2021).</w:t>
              </w:r>
            </w:hyperlink>
          </w:p>
        </w:tc>
        <w:tc>
          <w:tcPr>
            <w:tcW w:w="3060" w:type="dxa"/>
            <w:vAlign w:val="bottom"/>
            <w:tcBorders>
              <w:top w:val="single" w:sz="8" w:color="0000FF"/>
            </w:tcBorders>
            <w:gridSpan w:val="5"/>
          </w:tcPr>
          <w:p>
            <w:pPr>
              <w:spacing w:after="0"/>
              <w:rPr>
                <w:sz w:val="13"/>
                <w:szCs w:val="13"/>
                <w:color w:val="auto"/>
              </w:rPr>
            </w:pPr>
          </w:p>
        </w:tc>
        <w:tc>
          <w:tcPr>
            <w:tcW w:w="560" w:type="dxa"/>
            <w:vAlign w:val="bottom"/>
            <w:gridSpan w:val="2"/>
          </w:tcPr>
          <w:p>
            <w:pPr>
              <w:spacing w:after="0"/>
              <w:rPr>
                <w:sz w:val="13"/>
                <w:szCs w:val="13"/>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Pursuant to Section 302 of Sarbanes-Oxley Act of 2002 – CEO.</w:t>
              </w:r>
            </w:hyperlink>
          </w:p>
        </w:tc>
        <w:tc>
          <w:tcPr>
            <w:tcW w:w="3580" w:type="dxa"/>
            <w:vAlign w:val="bottom"/>
            <w:gridSpan w:val="5"/>
          </w:tcPr>
          <w:p>
            <w:pPr>
              <w:spacing w:after="0"/>
              <w:rPr>
                <w:sz w:val="22"/>
                <w:szCs w:val="22"/>
                <w:color w:val="auto"/>
              </w:rPr>
            </w:pPr>
          </w:p>
        </w:tc>
      </w:tr>
      <w:tr>
        <w:trPr>
          <w:trHeight w:val="26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31.2:</w:t>
            </w:r>
          </w:p>
        </w:tc>
        <w:tc>
          <w:tcPr>
            <w:tcW w:w="9140" w:type="dxa"/>
            <w:vAlign w:val="bottom"/>
            <w:gridSpan w:val="1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Pursuant to Section 302 of Sarbanes-Oxley Act of 2002 – CFO.</w:t>
              </w:r>
            </w:hyperlink>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Pursuant to 18 U.S.C. 1350 (section 906 of Sarbanes-Oxley Act of 2002) – CEO.</w:t>
              </w:r>
            </w:hyperlink>
          </w:p>
        </w:tc>
        <w:tc>
          <w:tcPr>
            <w:tcW w:w="2320" w:type="dxa"/>
            <w:vAlign w:val="bottom"/>
            <w:gridSpan w:val="3"/>
          </w:tcPr>
          <w:p>
            <w:pPr>
              <w:spacing w:after="0"/>
              <w:rPr>
                <w:sz w:val="22"/>
                <w:szCs w:val="22"/>
                <w:color w:val="auto"/>
              </w:rPr>
            </w:pPr>
          </w:p>
        </w:tc>
      </w:tr>
      <w:tr>
        <w:trPr>
          <w:trHeight w:val="26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Pursuant to 18 U.S.C. 1350 (section 906 of Sarbanes-Oxley Act of 2002) – CFO.</w:t>
              </w:r>
            </w:hyperlink>
          </w:p>
        </w:tc>
        <w:tc>
          <w:tcPr>
            <w:tcW w:w="2340" w:type="dxa"/>
            <w:vAlign w:val="bottom"/>
            <w:gridSpan w:val="4"/>
          </w:tcPr>
          <w:p>
            <w:pPr>
              <w:spacing w:after="0"/>
              <w:rPr>
                <w:sz w:val="22"/>
                <w:szCs w:val="22"/>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95:</w:t>
            </w:r>
          </w:p>
        </w:tc>
        <w:tc>
          <w:tcPr>
            <w:tcW w:w="914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w:t>
              </w:r>
            </w:hyperlink>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r>
      <w:tr>
        <w:trPr>
          <w:trHeight w:val="250"/>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101.INS:</w:t>
            </w:r>
          </w:p>
        </w:tc>
        <w:tc>
          <w:tcPr>
            <w:tcW w:w="9140" w:type="dxa"/>
            <w:vAlign w:val="bottom"/>
            <w:gridSpan w:val="11"/>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101.SCH:</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Schema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101.CAL:</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101.DEF:</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101.LAB:</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101.PRE:</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104</w:t>
            </w:r>
          </w:p>
        </w:tc>
        <w:tc>
          <w:tcPr>
            <w:tcW w:w="914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918"/>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gridSpan w:val="2"/>
          </w:tcPr>
          <w:p>
            <w:pPr>
              <w:ind w:left="3380"/>
              <w:spacing w:after="0"/>
              <w:rPr>
                <w:sz w:val="20"/>
                <w:szCs w:val="20"/>
                <w:color w:val="auto"/>
              </w:rPr>
            </w:pPr>
            <w:r>
              <w:rPr>
                <w:rFonts w:ascii="Arial" w:cs="Arial" w:eastAsia="Arial" w:hAnsi="Arial"/>
                <w:sz w:val="18"/>
                <w:szCs w:val="18"/>
                <w:color w:val="auto"/>
              </w:rPr>
              <w:t>-35-</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November 9, 2021</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35"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6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2021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September 30, 2021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9,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2021:</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Received</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Received Notice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Notice of</w:t>
            </w: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Section</w:t>
            </w: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Pattern of</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of Potential to</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of Legal</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Violations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Have Pattern of</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Actions</w:t>
            </w: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104(d)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110(b)(2)</w:t>
            </w:r>
          </w:p>
        </w:tc>
        <w:tc>
          <w:tcPr>
            <w:tcW w:w="7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5"/>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Under Section</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Violations Under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Pending as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Identification</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Citations and</w:t>
            </w: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107(a)</w:t>
            </w: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2"/>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Related</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Last Day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Number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S&amp;S Citations</w:t>
            </w:r>
            <w:r>
              <w:rPr>
                <w:rFonts w:ascii="Arial" w:cs="Arial" w:eastAsia="Arial" w:hAnsi="Arial"/>
                <w:sz w:val="7"/>
                <w:szCs w:val="7"/>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Orders</w:t>
            </w:r>
            <w:r>
              <w:rPr>
                <w:rFonts w:ascii="Arial" w:cs="Arial" w:eastAsia="Arial" w:hAnsi="Arial"/>
                <w:sz w:val="7"/>
                <w:szCs w:val="7"/>
                <w:color w:val="auto"/>
                <w:w w:val="85"/>
              </w:rPr>
              <w:t>(2)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Violations</w:t>
            </w:r>
            <w:r>
              <w:rPr>
                <w:rFonts w:ascii="Arial" w:cs="Arial" w:eastAsia="Arial" w:hAnsi="Arial"/>
                <w:sz w:val="7"/>
                <w:szCs w:val="7"/>
                <w:color w:val="auto"/>
                <w:w w:val="92"/>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63"/>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None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right="160" w:hanging="252"/>
        <w:spacing w:after="0" w:line="273" w:lineRule="auto"/>
        <w:tabs>
          <w:tab w:leader="none" w:pos="221"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19"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174" w:lineRule="exact"/>
        <w:rPr>
          <w:rFonts w:ascii="Arial" w:cs="Arial" w:eastAsia="Arial" w:hAnsi="Arial"/>
          <w:sz w:val="13"/>
          <w:szCs w:val="13"/>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upp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64" Type="http://schemas.openxmlformats.org/officeDocument/2006/relationships/hyperlink" Target="http://www.sec.gov/Archives/edgar/data/866273/000086627321000088/exhibit1019-credi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2021-11-09T14:51:39Z</dcterms:created>
  <dcterms:modified xsi:type="dcterms:W3CDTF">2021-11-09T14:51:39Z</dcterms:modified>
</cp:coreProperties>
</file>