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786765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1500" w:hanging="432"/>
        <w:spacing w:after="0"/>
        <w:tabs>
          <w:tab w:leader="none" w:pos="15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December 31, 2019</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1500" w:hanging="432"/>
        <w:spacing w:after="0"/>
        <w:tabs>
          <w:tab w:leader="none" w:pos="150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128"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No. 1-15461</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MATRIX SERVICE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300"/>
          </w:cols>
          <w:pgMar w:left="240" w:top="449" w:right="359" w:bottom="1440" w:gutter="0" w:footer="0" w:header="0"/>
        </w:sectPr>
      </w:pPr>
    </w:p>
    <w:p>
      <w:pPr>
        <w:spacing w:after="0" w:line="149"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2" w:lineRule="exact"/>
        <w:rPr>
          <w:sz w:val="24"/>
          <w:szCs w:val="24"/>
          <w:color w:val="auto"/>
        </w:rPr>
      </w:pPr>
    </w:p>
    <w:p>
      <w:pPr>
        <w:sectPr>
          <w:pgSz w:w="11900" w:h="16838" w:orient="portrait"/>
          <w:cols w:equalWidth="0" w:num="2">
            <w:col w:w="6960" w:space="720"/>
            <w:col w:w="3620"/>
          </w:cols>
          <w:pgMar w:left="240" w:top="449" w:right="359" w:bottom="1440" w:gutter="0" w:footer="0" w:header="0"/>
          <w:type w:val="continuous"/>
        </w:sectPr>
      </w:pPr>
    </w:p>
    <w:p>
      <w:pPr>
        <w:jc w:val="center"/>
        <w:ind w:left="46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84" w:lineRule="exact"/>
        <w:rPr>
          <w:sz w:val="24"/>
          <w:szCs w:val="24"/>
          <w:color w:val="auto"/>
        </w:rPr>
      </w:pPr>
    </w:p>
    <w:p>
      <w:pPr>
        <w:sectPr>
          <w:pgSz w:w="11900" w:h="16838" w:orient="portrait"/>
          <w:cols w:equalWidth="0" w:num="2">
            <w:col w:w="6300" w:space="720"/>
            <w:col w:w="4280"/>
          </w:cols>
          <w:pgMar w:left="240" w:top="449"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5100 East Skelly Drive, Suite 500, Tulsa, Oklahoma 74135</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110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040" w:type="dxa"/>
            <w:vAlign w:val="bottom"/>
            <w:gridSpan w:val="2"/>
          </w:tcPr>
          <w:p>
            <w:pPr>
              <w:jc w:val="center"/>
              <w:ind w:right="1700"/>
              <w:spacing w:after="0"/>
              <w:rPr>
                <w:sz w:val="20"/>
                <w:szCs w:val="20"/>
                <w:color w:val="auto"/>
              </w:rPr>
            </w:pPr>
            <w:r>
              <w:rPr>
                <w:rFonts w:ascii="Arial" w:cs="Arial" w:eastAsia="Arial" w:hAnsi="Arial"/>
                <w:sz w:val="18"/>
                <w:szCs w:val="18"/>
                <w:b w:val="1"/>
                <w:bCs w:val="1"/>
                <w:color w:val="auto"/>
                <w:w w:val="86"/>
              </w:rPr>
              <w:t>Title of each class</w:t>
            </w:r>
          </w:p>
        </w:tc>
        <w:tc>
          <w:tcPr>
            <w:tcW w:w="21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860"/>
              <w:spacing w:after="0"/>
              <w:rPr>
                <w:sz w:val="20"/>
                <w:szCs w:val="20"/>
                <w:color w:val="auto"/>
              </w:rPr>
            </w:pPr>
            <w:r>
              <w:rPr>
                <w:rFonts w:ascii="Arial" w:cs="Arial" w:eastAsia="Arial" w:hAnsi="Arial"/>
                <w:sz w:val="18"/>
                <w:szCs w:val="18"/>
                <w:color w:val="auto"/>
                <w:w w:val="89"/>
              </w:rPr>
              <w:t>Common Stock, par value $0.01 per share</w:t>
            </w:r>
          </w:p>
        </w:tc>
        <w:tc>
          <w:tcPr>
            <w:tcW w:w="2160" w:type="dxa"/>
            <w:vAlign w:val="bottom"/>
            <w:gridSpan w:val="2"/>
          </w:tcPr>
          <w:p>
            <w:pPr>
              <w:jc w:val="center"/>
              <w:ind w:right="680"/>
              <w:spacing w:after="0"/>
              <w:rPr>
                <w:sz w:val="20"/>
                <w:szCs w:val="20"/>
                <w:color w:val="auto"/>
              </w:rPr>
            </w:pPr>
            <w:r>
              <w:rPr>
                <w:rFonts w:ascii="Arial" w:cs="Arial" w:eastAsia="Arial" w:hAnsi="Arial"/>
                <w:sz w:val="18"/>
                <w:szCs w:val="18"/>
                <w:color w:val="auto"/>
              </w:rPr>
              <w:t>MTRX</w:t>
            </w:r>
          </w:p>
        </w:tc>
        <w:tc>
          <w:tcPr>
            <w:tcW w:w="336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121" w:lineRule="exact"/>
        <w:rPr>
          <w:sz w:val="24"/>
          <w:szCs w:val="24"/>
          <w:color w:val="auto"/>
        </w:rPr>
      </w:pPr>
    </w:p>
    <w:p>
      <w:pPr>
        <w:ind w:right="360"/>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75" w:lineRule="exact"/>
        <w:rPr>
          <w:sz w:val="24"/>
          <w:szCs w:val="24"/>
          <w:color w:val="auto"/>
        </w:rPr>
      </w:pPr>
    </w:p>
    <w:p>
      <w:pPr>
        <w:ind w:right="420"/>
        <w:spacing w:after="0" w:line="26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4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40" w:type="dxa"/>
        <w:tblCellMar>
          <w:top w:w="0" w:type="dxa"/>
          <w:left w:w="0" w:type="dxa"/>
          <w:bottom w:w="0" w:type="dxa"/>
          <w:right w:w="0" w:type="dxa"/>
        </w:tblCellMar>
      </w:tblPr>
      <w:tr>
        <w:trPr>
          <w:trHeight w:val="311"/>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4420" w:type="dxa"/>
            <w:vAlign w:val="bottom"/>
          </w:tcPr>
          <w:p>
            <w:pPr>
              <w:ind w:left="206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2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11"/>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4420" w:type="dxa"/>
            <w:vAlign w:val="bottom"/>
          </w:tcPr>
          <w:p>
            <w:pPr>
              <w:ind w:left="206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2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9"/>
        </w:trPr>
        <w:tc>
          <w:tcPr>
            <w:tcW w:w="22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48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44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87" w:lineRule="exact"/>
        <w:rPr>
          <w:sz w:val="24"/>
          <w:szCs w:val="24"/>
          <w:color w:val="auto"/>
        </w:rPr>
      </w:pPr>
    </w:p>
    <w:p>
      <w:pPr>
        <w:ind w:right="20"/>
        <w:spacing w:after="0" w:line="26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3" w:lineRule="exact"/>
        <w:rPr>
          <w:sz w:val="24"/>
          <w:szCs w:val="24"/>
          <w:color w:val="auto"/>
        </w:rPr>
      </w:pPr>
    </w:p>
    <w:p>
      <w:pPr>
        <w:spacing w:after="0" w:line="242" w:lineRule="exact"/>
        <w:tabs>
          <w:tab w:leader="none" w:pos="8340" w:val="left"/>
          <w:tab w:leader="none" w:pos="90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4, 2020 there were 27,888,217 shares of the Company’s common stock, $0.01 par value per share, issued and 26,677,219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3"/>
          </w:tcPr>
          <w:p>
            <w:pPr>
              <w:ind w:left="140"/>
              <w:spacing w:after="0"/>
              <w:rPr>
                <w:sz w:val="20"/>
                <w:szCs w:val="20"/>
                <w:color w:val="auto"/>
              </w:rPr>
            </w:pPr>
            <w:r>
              <w:rPr>
                <w:rFonts w:ascii="Arial" w:cs="Arial" w:eastAsia="Arial" w:hAnsi="Arial"/>
                <w:sz w:val="14"/>
                <w:szCs w:val="14"/>
                <w:b w:val="1"/>
                <w:bCs w:val="1"/>
                <w:color w:val="auto"/>
                <w:w w:val="95"/>
              </w:rPr>
              <w:t>PAGE</w:t>
            </w:r>
          </w:p>
        </w:tc>
      </w:tr>
      <w:tr>
        <w:trPr>
          <w:trHeight w:val="215"/>
        </w:trPr>
        <w:tc>
          <w:tcPr>
            <w:tcW w:w="10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8"/>
          </w:tcPr>
          <w:p>
            <w:pPr>
              <w:jc w:val="center"/>
              <w:ind w:right="2500"/>
              <w:spacing w:after="0"/>
              <w:rPr>
                <w:sz w:val="20"/>
                <w:szCs w:val="20"/>
                <w:color w:val="auto"/>
              </w:rPr>
            </w:pPr>
            <w:r>
              <w:rPr>
                <w:rFonts w:ascii="Arial" w:cs="Arial" w:eastAsia="Arial" w:hAnsi="Arial"/>
                <w:sz w:val="18"/>
                <w:szCs w:val="18"/>
                <w:b w:val="1"/>
                <w:bCs w:val="1"/>
                <w:color w:val="auto"/>
              </w:rPr>
              <w:t>FINANCIAL INFORMATION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2"/>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440" w:type="dxa"/>
            <w:vAlign w:val="bottom"/>
            <w:gridSpan w:val="2"/>
          </w:tcPr>
          <w:p>
            <w:pPr>
              <w:spacing w:after="0"/>
              <w:rPr>
                <w:sz w:val="24"/>
                <w:szCs w:val="24"/>
                <w:color w:val="auto"/>
              </w:rPr>
            </w:pPr>
          </w:p>
        </w:tc>
        <w:tc>
          <w:tcPr>
            <w:tcW w:w="956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60" w:type="dxa"/>
            <w:vAlign w:val="bottom"/>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 for the Three and Six Months Ended December 31, 2019 and 2018</w:t>
              </w:r>
            </w:hyperlink>
          </w:p>
        </w:tc>
        <w:tc>
          <w:tcPr>
            <w:tcW w:w="1300" w:type="dxa"/>
            <w:vAlign w:val="bottom"/>
            <w:gridSpan w:val="2"/>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60" w:type="dxa"/>
            <w:vAlign w:val="bottom"/>
            <w:gridSpan w:val="1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Comprehensive Income for the Three and Six Months Ended December 31, 2019 and 2018</w:t>
              </w:r>
            </w:hyperlink>
          </w:p>
        </w:tc>
        <w:tc>
          <w:tcPr>
            <w:tcW w:w="380" w:type="dxa"/>
            <w:vAlign w:val="bottom"/>
            <w:gridSpan w:val="2"/>
          </w:tcPr>
          <w:p>
            <w:pPr>
              <w:jc w:val="center"/>
              <w:ind w:left="211"/>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40" w:type="dxa"/>
            <w:vAlign w:val="bottom"/>
            <w:gridSpan w:val="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December 31, 2019 and June 30, 2019</w:t>
              </w:r>
            </w:hyperlink>
          </w:p>
        </w:tc>
        <w:tc>
          <w:tcPr>
            <w:tcW w:w="328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0" w:type="dxa"/>
            <w:vAlign w:val="bottom"/>
            <w:gridSpan w:val="1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Six Months Ended December 31, 2019 and 2018</w:t>
              </w:r>
            </w:hyperlink>
          </w:p>
        </w:tc>
        <w:tc>
          <w:tcPr>
            <w:tcW w:w="1760" w:type="dxa"/>
            <w:vAlign w:val="bottom"/>
            <w:gridSpan w:val="3"/>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Condensed Consolidated Statements of Changes in Stockholders’ Equity for the Three and Six Months Ended December 31, 2019</w:t>
              </w:r>
            </w:hyperlink>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560" w:type="dxa"/>
            <w:vAlign w:val="bottom"/>
            <w:gridSpan w:val="1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and 2018</w:t>
              </w:r>
            </w:hyperlink>
          </w:p>
        </w:tc>
        <w:tc>
          <w:tcPr>
            <w:tcW w:w="380" w:type="dxa"/>
            <w:vAlign w:val="bottom"/>
            <w:gridSpan w:val="2"/>
          </w:tcPr>
          <w:p>
            <w:pPr>
              <w:jc w:val="center"/>
              <w:ind w:left="211"/>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1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7"/>
          </w:tcPr>
          <w:p>
            <w:pPr>
              <w:spacing w:after="0"/>
              <w:rPr>
                <w:rFonts w:ascii="Arial" w:cs="Arial" w:eastAsia="Arial" w:hAnsi="Arial"/>
                <w:sz w:val="18"/>
                <w:szCs w:val="18"/>
                <w:color w:val="0000FF"/>
                <w:w w:val="88"/>
              </w:rPr>
            </w:pPr>
            <w:hyperlink w:anchor="page11">
              <w:r>
                <w:rPr>
                  <w:rFonts w:ascii="Arial" w:cs="Arial" w:eastAsia="Arial" w:hAnsi="Arial"/>
                  <w:sz w:val="18"/>
                  <w:szCs w:val="18"/>
                  <w:color w:val="0000FF"/>
                  <w:w w:val="88"/>
                </w:rPr>
                <w:t>Notes to Condensed Consolidated Financial Statements</w:t>
              </w:r>
            </w:hyperlink>
          </w:p>
        </w:tc>
        <w:tc>
          <w:tcPr>
            <w:tcW w:w="5560" w:type="dxa"/>
            <w:vAlign w:val="bottom"/>
            <w:gridSpan w:val="7"/>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9</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4"/>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380" w:type="dxa"/>
            <w:vAlign w:val="bottom"/>
            <w:gridSpan w:val="2"/>
          </w:tcPr>
          <w:p>
            <w:pPr>
              <w:jc w:val="center"/>
              <w:ind w:left="111"/>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22</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24"/>
                <w:szCs w:val="24"/>
                <w:color w:val="auto"/>
              </w:rPr>
            </w:pPr>
          </w:p>
        </w:tc>
        <w:tc>
          <w:tcPr>
            <w:tcW w:w="3100" w:type="dxa"/>
            <w:vAlign w:val="bottom"/>
            <w:gridSpan w:val="4"/>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39</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tcBorders>
              <w:left w:val="single" w:sz="8" w:color="0000FF"/>
            </w:tcBorders>
            <w:gridSpan w:val="6"/>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8"/>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Controls and Procedures</w:t>
              </w:r>
            </w:hyperlink>
          </w:p>
        </w:tc>
        <w:tc>
          <w:tcPr>
            <w:tcW w:w="5200" w:type="dxa"/>
            <w:vAlign w:val="bottom"/>
            <w:gridSpan w:val="6"/>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39</w:t>
              </w:r>
            </w:hyperlink>
          </w:p>
        </w:tc>
        <w:tc>
          <w:tcPr>
            <w:tcW w:w="160" w:type="dxa"/>
            <w:vAlign w:val="bottom"/>
          </w:tcPr>
          <w:p>
            <w:pPr>
              <w:spacing w:after="0"/>
              <w:rPr>
                <w:sz w:val="24"/>
                <w:szCs w:val="24"/>
                <w:color w:val="auto"/>
              </w:rPr>
            </w:pPr>
          </w:p>
        </w:tc>
      </w:tr>
      <w:tr>
        <w:trPr>
          <w:trHeight w:val="574"/>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42">
              <w:r>
                <w:rPr>
                  <w:rFonts w:ascii="Arial" w:cs="Arial" w:eastAsia="Arial" w:hAnsi="Arial"/>
                  <w:sz w:val="18"/>
                  <w:szCs w:val="18"/>
                  <w:b w:val="1"/>
                  <w:bCs w:val="1"/>
                  <w:color w:val="0000EE"/>
                  <w:w w:val="99"/>
                </w:rPr>
                <w:t>PART II</w:t>
              </w:r>
            </w:hyperlink>
          </w:p>
        </w:tc>
        <w:tc>
          <w:tcPr>
            <w:tcW w:w="3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40" w:type="dxa"/>
            <w:vAlign w:val="bottom"/>
            <w:gridSpan w:val="8"/>
          </w:tcPr>
          <w:p>
            <w:pPr>
              <w:jc w:val="center"/>
              <w:ind w:right="2480"/>
              <w:spacing w:after="0"/>
              <w:rPr>
                <w:sz w:val="20"/>
                <w:szCs w:val="20"/>
                <w:color w:val="auto"/>
              </w:rPr>
            </w:pPr>
            <w:r>
              <w:rPr>
                <w:rFonts w:ascii="Arial" w:cs="Arial" w:eastAsia="Arial" w:hAnsi="Arial"/>
                <w:sz w:val="18"/>
                <w:szCs w:val="18"/>
                <w:b w:val="1"/>
                <w:bCs w:val="1"/>
                <w:color w:val="auto"/>
              </w:rPr>
              <w:t>OTHER INFORMATION</w:t>
            </w:r>
          </w:p>
        </w:tc>
        <w:tc>
          <w:tcPr>
            <w:tcW w:w="3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3"/>
          </w:tcPr>
          <w:p>
            <w:pPr>
              <w:spacing w:after="0"/>
              <w:rPr>
                <w:rFonts w:ascii="Arial" w:cs="Arial" w:eastAsia="Arial" w:hAnsi="Arial"/>
                <w:sz w:val="18"/>
                <w:szCs w:val="18"/>
                <w:color w:val="0000FF"/>
                <w:w w:val="85"/>
              </w:rPr>
            </w:pPr>
            <w:hyperlink w:anchor="page42">
              <w:r>
                <w:rPr>
                  <w:rFonts w:ascii="Arial" w:cs="Arial" w:eastAsia="Arial" w:hAnsi="Arial"/>
                  <w:sz w:val="18"/>
                  <w:szCs w:val="18"/>
                  <w:color w:val="0000FF"/>
                  <w:w w:val="85"/>
                </w:rPr>
                <w:t>Legal Proceedings</w:t>
              </w:r>
            </w:hyperlink>
          </w:p>
        </w:tc>
        <w:tc>
          <w:tcPr>
            <w:tcW w:w="8240" w:type="dxa"/>
            <w:vAlign w:val="bottom"/>
            <w:gridSpan w:val="11"/>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3"/>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Risk Factors</w:t>
              </w:r>
            </w:hyperlink>
          </w:p>
        </w:tc>
        <w:tc>
          <w:tcPr>
            <w:tcW w:w="8240" w:type="dxa"/>
            <w:vAlign w:val="bottom"/>
            <w:gridSpan w:val="11"/>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8"/>
          </w:tcPr>
          <w:p>
            <w:pP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Unregistered Sales of Equity Securities and Use of Proceeds</w:t>
              </w:r>
            </w:hyperlink>
          </w:p>
        </w:tc>
        <w:tc>
          <w:tcPr>
            <w:tcW w:w="5200" w:type="dxa"/>
            <w:vAlign w:val="bottom"/>
            <w:gridSpan w:val="6"/>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Defaults Upon Senior Securities</w:t>
              </w:r>
            </w:hyperlink>
          </w:p>
        </w:tc>
        <w:tc>
          <w:tcPr>
            <w:tcW w:w="5200" w:type="dxa"/>
            <w:vAlign w:val="bottom"/>
            <w:gridSpan w:val="6"/>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41</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240" w:type="dxa"/>
            <w:vAlign w:val="bottom"/>
            <w:gridSpan w:val="9"/>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4"/>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Mine Safety Disclosures</w:t>
              </w:r>
            </w:hyperlink>
          </w:p>
        </w:tc>
        <w:tc>
          <w:tcPr>
            <w:tcW w:w="540" w:type="dxa"/>
            <w:vAlign w:val="bottom"/>
          </w:tcPr>
          <w:p>
            <w:pPr>
              <w:spacing w:after="0"/>
              <w:rPr>
                <w:sz w:val="24"/>
                <w:szCs w:val="24"/>
                <w:color w:val="auto"/>
              </w:rPr>
            </w:pPr>
          </w:p>
        </w:tc>
        <w:tc>
          <w:tcPr>
            <w:tcW w:w="7240" w:type="dxa"/>
            <w:vAlign w:val="bottom"/>
            <w:gridSpan w:val="9"/>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41</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780" w:type="dxa"/>
            <w:vAlign w:val="bottom"/>
            <w:gridSpan w:val="10"/>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3"/>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Other Information</w:t>
              </w:r>
            </w:hyperlink>
          </w:p>
        </w:tc>
        <w:tc>
          <w:tcPr>
            <w:tcW w:w="460" w:type="dxa"/>
            <w:vAlign w:val="bottom"/>
          </w:tcPr>
          <w:p>
            <w:pPr>
              <w:spacing w:after="0"/>
              <w:rPr>
                <w:sz w:val="24"/>
                <w:szCs w:val="24"/>
                <w:color w:val="auto"/>
              </w:rPr>
            </w:pPr>
          </w:p>
        </w:tc>
        <w:tc>
          <w:tcPr>
            <w:tcW w:w="7780" w:type="dxa"/>
            <w:vAlign w:val="bottom"/>
            <w:gridSpan w:val="10"/>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41</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8240" w:type="dxa"/>
            <w:vAlign w:val="bottom"/>
            <w:gridSpan w:val="11"/>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Exhibits</w:t>
              </w:r>
            </w:hyperlink>
          </w:p>
        </w:tc>
        <w:tc>
          <w:tcPr>
            <w:tcW w:w="8240" w:type="dxa"/>
            <w:vAlign w:val="bottom"/>
            <w:gridSpan w:val="11"/>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41</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42</w:t>
              </w:r>
            </w:hyperlink>
          </w:p>
        </w:tc>
        <w:tc>
          <w:tcPr>
            <w:tcW w:w="16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60"/>
          </w:cols>
          <w:pgMar w:left="240" w:top="341"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318,677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340,568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656,774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659,079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288,676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312,682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594,308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607,772</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62,466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51,307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23,165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22,359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46,856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43,560</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 impairment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(31,679)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7,747</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556</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524</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(benefit) for federal, state and foreign income taxes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1,937</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 earnings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0.23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26,925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27,043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26,930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26,982</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26,925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27,582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26,930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27,628</w:t>
            </w:r>
          </w:p>
        </w:tc>
      </w:tr>
      <w:tr>
        <w:trPr>
          <w:trHeight w:val="27"/>
        </w:trPr>
        <w:tc>
          <w:tcPr>
            <w:tcW w:w="5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6,237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gain (loss), net of tax:</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Foreign currency translation gain (loss) (net of tax expense (benefit) of</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6"/>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$59 and $37 for the three and six months ended December 31, 2019,</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respectively, and ($238) and ($176) for the three and six months ended</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December 31, 2018, respectively)</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(27,485)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2,863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5,569</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110,495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89,715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receivable, less allowances (December 31, 2019—$1,722 and June 30, 2019—$923)</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199,066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218,432</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57,223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96,083</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7,185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8,017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7,444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5,034</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381,511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417,310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and buildings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41,179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Construction equipment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95,354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91,793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52,526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Office equipment and software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44,207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43,632</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7,619</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property, plant and equipment - at cost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245,125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236,749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(157,414)</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83,940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79,335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60,504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93,368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accumulated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19,472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5,542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2,683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21,226</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591,888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633,394</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74,461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114,647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110,562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105,626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38,357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7,649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9,021</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2,517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229,824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275,499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23,949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senior secured revolving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293</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269,093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281,437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0"/>
              </w:rPr>
              <w:t>Common stock—$.01 par value; 60,000,000 shares authorized; 27,888,217 shares issued as of December 31, 2019</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w w:val="93"/>
              </w:rPr>
              <w:t>and June 30, 2019; 26,672,114 and 26,807,203 shares outstanding as of December 31, 2019 and June 30, 2019</w:t>
            </w: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135,057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137,712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217,619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239,476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(7,751)</w:t>
            </w:r>
          </w:p>
        </w:tc>
      </w:tr>
      <w:tr>
        <w:trPr>
          <w:trHeight w:val="237"/>
        </w:trPr>
        <w:tc>
          <w:tcPr>
            <w:tcW w:w="88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345,333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369,716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Less: Treasury stock, at cost — 1,216,103 shares as of December 31, 2019, and 1,081,014 shares as of June 30,</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(17,759)</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322,795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351,957</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591,888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633,394</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(21,857)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6,237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Adjustments to reconcile net income (loss) to net cash provided by operating activities, net of effects from acquisitions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disposals: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9,702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9,126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and other intangible asset impairment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5,813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5,738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Gain on disposal of business</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Provision for uncollectible accounts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7"/>
              </w:rPr>
              <w:t>Changes in operating assets and liabilities increasing (decreasing) cash, net of effects from acquisitions and</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rPr>
              <w:t>disposals: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38,860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3,580</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Other assets and liabilities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(10,551)</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8,622</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4,936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(5,243)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38,625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13,484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(6,055)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disposal of business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asset sales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923</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by investing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r>
      <w:tr>
        <w:trPr>
          <w:trHeight w:val="27"/>
        </w:trPr>
        <w:tc>
          <w:tcPr>
            <w:tcW w:w="8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w:t>
      </w:r>
    </w:p>
    <w:p>
      <w:pPr>
        <w:sectPr>
          <w:pgSz w:w="11900" w:h="16838" w:orient="portrait"/>
          <w:cols w:equalWidth="0" w:num="1">
            <w:col w:w="11420"/>
          </w:cols>
          <w:pgMar w:left="240" w:top="341"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Advances under senior secured revolving credit facility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17,395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8,383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advances under senior secured revolving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Open market purchase of treasury shares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(3,230)</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Issuances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used by financing activities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(4,460)</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20,780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7,432</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89,715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64,057</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110,495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71,489</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1"/>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849</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304"/>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Purchases of property, plant and equipment on account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820</w:t>
            </w:r>
          </w:p>
        </w:tc>
      </w:tr>
      <w:tr>
        <w:trPr>
          <w:trHeight w:val="251"/>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Accrual for unsettled stock repurchases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1,960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Condensed Consolidated Statements of Changes in Stockholders’ Equity</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00"/>
          </w:cols>
          <w:pgMar w:left="240" w:top="341" w:right="259" w:bottom="10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Balances, September 30, 2019</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deferred shares (40,786 shares)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Treasury shares sold to Employee Stock Purchase Plan (4,468 shares)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Open market purchases of treasury shares (500,000 shares)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Treasury shares purchased to satisfy tax withholding obligations (4,586 shares)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Balances, December 31, 2019</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2"/>
                <w:szCs w:val="12"/>
                <w:color w:val="auto"/>
              </w:rPr>
            </w:pPr>
          </w:p>
        </w:tc>
        <w:tc>
          <w:tcPr>
            <w:tcW w:w="12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30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Income(Loss)</w:t>
            </w:r>
          </w:p>
        </w:tc>
        <w:tc>
          <w:tcPr>
            <w:tcW w:w="3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132,936</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245,627</w:t>
            </w: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(13,270)</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(8,145)</w:t>
            </w:r>
          </w:p>
        </w:tc>
        <w:tc>
          <w:tcPr>
            <w:tcW w:w="3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357,427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20" w:type="dxa"/>
            <w:vAlign w:val="bottom"/>
            <w:gridSpan w:val="2"/>
          </w:tcPr>
          <w:p>
            <w:pPr>
              <w:ind w:left="5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(28,008)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(28,008)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523</w:t>
            </w:r>
          </w:p>
        </w:tc>
        <w:tc>
          <w:tcPr>
            <w:tcW w:w="3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(9,913)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76"/>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2,789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2,789</w:t>
            </w:r>
          </w:p>
        </w:tc>
        <w:tc>
          <w:tcPr>
            <w:tcW w:w="0" w:type="dxa"/>
            <w:vAlign w:val="bottom"/>
          </w:tcPr>
          <w:p>
            <w:pPr>
              <w:spacing w:after="0"/>
              <w:rPr>
                <w:sz w:val="1"/>
                <w:szCs w:val="1"/>
                <w:color w:val="auto"/>
              </w:rPr>
            </w:pPr>
          </w:p>
        </w:tc>
      </w:tr>
      <w:tr>
        <w:trPr>
          <w:trHeight w:val="264"/>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135,057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217,619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(22,538)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(7,622)</w:t>
            </w:r>
          </w:p>
        </w:tc>
        <w:tc>
          <w:tcPr>
            <w:tcW w:w="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322,795</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-1585595</wp:posOffset>
            </wp:positionV>
            <wp:extent cx="7229475"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-1234440</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-891540</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-548005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-205105</wp:posOffset>
            </wp:positionV>
            <wp:extent cx="7229475"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188595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80" w:space="100"/>
            <w:col w:w="6720"/>
          </w:cols>
          <w:pgMar w:left="240" w:top="341" w:right="259" w:bottom="1029" w:gutter="0" w:footer="0" w:header="0"/>
          <w:type w:val="continuous"/>
        </w:sectPr>
      </w:pP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Balances, September 30, 2018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deferred shares (70,803 shares)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Treasury shares sold to Employee Stock Purchase Plan (3,124 shares)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Open market purchases of treasury shares (310,532 shares)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Treasury shares purchased to satisfy tax withholding obligations (4,814 shares)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Balances, December 31, 2018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jc w:val="right"/>
              <w:ind w:right="168"/>
              <w:spacing w:after="0"/>
              <w:rPr>
                <w:sz w:val="20"/>
                <w:szCs w:val="20"/>
                <w:color w:val="auto"/>
              </w:rPr>
            </w:pPr>
            <w:r>
              <w:rPr>
                <w:rFonts w:ascii="Arial" w:cs="Arial" w:eastAsia="Arial" w:hAnsi="Arial"/>
                <w:sz w:val="14"/>
                <w:szCs w:val="14"/>
                <w:color w:val="auto"/>
                <w:w w:val="85"/>
              </w:rPr>
              <w:t>279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129,885</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213,799</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(14,172)</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(7,010)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322,781</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3,932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3,932</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(1,069)</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(1,069)</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(1,172)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1,172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75</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(5,190)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(5,190)</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76"/>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3,153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3,153</w:t>
            </w:r>
          </w:p>
        </w:tc>
      </w:tr>
      <w:tr>
        <w:trPr>
          <w:trHeight w:val="264"/>
        </w:trPr>
        <w:tc>
          <w:tcPr>
            <w:tcW w:w="460" w:type="dxa"/>
            <w:vAlign w:val="bottom"/>
          </w:tcPr>
          <w:p>
            <w:pPr>
              <w:jc w:val="right"/>
              <w:ind w:right="168"/>
              <w:spacing w:after="0"/>
              <w:rPr>
                <w:sz w:val="20"/>
                <w:szCs w:val="20"/>
                <w:color w:val="auto"/>
              </w:rPr>
            </w:pPr>
            <w:r>
              <w:rPr>
                <w:rFonts w:ascii="Arial" w:cs="Arial" w:eastAsia="Arial" w:hAnsi="Arial"/>
                <w:sz w:val="14"/>
                <w:szCs w:val="14"/>
                <w:color w:val="auto"/>
                <w:w w:val="85"/>
              </w:rPr>
              <w:t>279</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131,889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217,731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(18,230)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(8,079)</w:t>
            </w:r>
          </w:p>
        </w:tc>
        <w:tc>
          <w:tcPr>
            <w:tcW w:w="3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323,590</w:t>
            </w:r>
          </w:p>
        </w:tc>
      </w:tr>
      <w:tr>
        <w:trPr>
          <w:trHeight w:val="20"/>
        </w:trPr>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-1234440</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-891540</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-548005</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-205105</wp:posOffset>
            </wp:positionV>
            <wp:extent cx="7229475"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580" w:space="120"/>
            <w:col w:w="80" w:space="500"/>
            <w:col w:w="6120"/>
          </w:cols>
          <w:pgMar w:left="240" w:top="341" w:right="259" w:bottom="1029"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See accompanying notes.</w:t>
      </w:r>
    </w:p>
    <w:p>
      <w:pPr>
        <w:sectPr>
          <w:pgSz w:w="11900" w:h="16838" w:orient="portrait"/>
          <w:cols w:equalWidth="0" w:num="1">
            <w:col w:w="11400"/>
          </w:cols>
          <w:pgMar w:left="240" w:top="341" w:right="259" w:bottom="102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- 7-</w:t>
      </w:r>
    </w:p>
    <w:p>
      <w:pPr>
        <w:sectPr>
          <w:pgSz w:w="11900" w:h="16838" w:orient="portrait"/>
          <w:cols w:equalWidth="0" w:num="1">
            <w:col w:w="11400"/>
          </w:cols>
          <w:pgMar w:left="240" w:top="341" w:right="259" w:bottom="1029"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Income(Loss)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July 1, 2019</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137,712</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239,476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(17,759)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(7,751)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351,957</w:t>
            </w:r>
          </w:p>
        </w:tc>
        <w:tc>
          <w:tcPr>
            <w:tcW w:w="0" w:type="dxa"/>
            <w:vAlign w:val="bottom"/>
          </w:tcPr>
          <w:p>
            <w:pPr>
              <w:spacing w:after="0"/>
              <w:rPr>
                <w:sz w:val="1"/>
                <w:szCs w:val="1"/>
                <w:color w:val="auto"/>
              </w:rPr>
            </w:pPr>
          </w:p>
        </w:tc>
      </w:tr>
      <w:tr>
        <w:trPr>
          <w:trHeight w:val="80"/>
        </w:trPr>
        <w:tc>
          <w:tcPr>
            <w:tcW w:w="49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920" w:type="dxa"/>
            <w:vAlign w:val="bottom"/>
          </w:tcPr>
          <w:p>
            <w:pPr>
              <w:ind w:left="4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(21,857)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(21,857)</w:t>
            </w:r>
          </w:p>
        </w:tc>
        <w:tc>
          <w:tcPr>
            <w:tcW w:w="0" w:type="dxa"/>
            <w:vAlign w:val="bottom"/>
          </w:tcPr>
          <w:p>
            <w:pPr>
              <w:spacing w:after="0"/>
              <w:rPr>
                <w:sz w:val="1"/>
                <w:szCs w:val="1"/>
                <w:color w:val="auto"/>
              </w:rPr>
            </w:pPr>
          </w:p>
        </w:tc>
      </w:tr>
      <w:tr>
        <w:trPr>
          <w:trHeight w:val="74"/>
        </w:trPr>
        <w:tc>
          <w:tcPr>
            <w:tcW w:w="4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80"/>
        </w:trPr>
        <w:tc>
          <w:tcPr>
            <w:tcW w:w="4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920" w:type="dxa"/>
            <w:vAlign w:val="bottom"/>
          </w:tcPr>
          <w:p>
            <w:pPr>
              <w:ind w:left="40"/>
              <w:spacing w:after="0"/>
              <w:rPr>
                <w:sz w:val="20"/>
                <w:szCs w:val="20"/>
                <w:color w:val="auto"/>
              </w:rPr>
            </w:pPr>
            <w:r>
              <w:rPr>
                <w:rFonts w:ascii="Arial" w:cs="Arial" w:eastAsia="Arial" w:hAnsi="Arial"/>
                <w:sz w:val="14"/>
                <w:szCs w:val="14"/>
                <w:color w:val="auto"/>
              </w:rPr>
              <w:t>Issuance of deferred shares (535,060 shares)</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(8,486)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8,486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shares sold to Employee Stock Purchase Plan (8,521 shares)</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80"/>
        </w:trPr>
        <w:tc>
          <w:tcPr>
            <w:tcW w:w="4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920" w:type="dxa"/>
            <w:vAlign w:val="bottom"/>
          </w:tcPr>
          <w:p>
            <w:pPr>
              <w:ind w:left="40"/>
              <w:spacing w:after="0"/>
              <w:rPr>
                <w:sz w:val="20"/>
                <w:szCs w:val="20"/>
                <w:color w:val="auto"/>
              </w:rPr>
            </w:pPr>
            <w:r>
              <w:rPr>
                <w:rFonts w:ascii="Arial" w:cs="Arial" w:eastAsia="Arial" w:hAnsi="Arial"/>
                <w:sz w:val="14"/>
                <w:szCs w:val="14"/>
                <w:color w:val="auto"/>
              </w:rPr>
              <w:t>Open market purchases of treasury shares (500,000 shares)</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(9,913)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(9,913)</w:t>
            </w:r>
          </w:p>
        </w:tc>
        <w:tc>
          <w:tcPr>
            <w:tcW w:w="0" w:type="dxa"/>
            <w:vAlign w:val="bottom"/>
          </w:tcPr>
          <w:p>
            <w:pPr>
              <w:spacing w:after="0"/>
              <w:rPr>
                <w:sz w:val="1"/>
                <w:szCs w:val="1"/>
                <w:color w:val="auto"/>
              </w:rPr>
            </w:pPr>
          </w:p>
        </w:tc>
      </w:tr>
      <w:tr>
        <w:trPr>
          <w:trHeight w:val="74"/>
        </w:trPr>
        <w:tc>
          <w:tcPr>
            <w:tcW w:w="4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Treasury shares purchased to satisfy tax withholding obligations (178,670 shares)</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(3,491)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(3,491)</w:t>
            </w:r>
          </w:p>
        </w:tc>
        <w:tc>
          <w:tcPr>
            <w:tcW w:w="0" w:type="dxa"/>
            <w:vAlign w:val="bottom"/>
          </w:tcPr>
          <w:p>
            <w:pPr>
              <w:spacing w:after="0"/>
              <w:rPr>
                <w:sz w:val="1"/>
                <w:szCs w:val="1"/>
                <w:color w:val="auto"/>
              </w:rPr>
            </w:pPr>
          </w:p>
        </w:tc>
      </w:tr>
      <w:tr>
        <w:trPr>
          <w:trHeight w:val="80"/>
        </w:trPr>
        <w:tc>
          <w:tcPr>
            <w:tcW w:w="4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92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5,813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5,813</w:t>
            </w:r>
          </w:p>
        </w:tc>
        <w:tc>
          <w:tcPr>
            <w:tcW w:w="0" w:type="dxa"/>
            <w:vAlign w:val="bottom"/>
          </w:tcPr>
          <w:p>
            <w:pPr>
              <w:spacing w:after="0"/>
              <w:rPr>
                <w:sz w:val="1"/>
                <w:szCs w:val="1"/>
                <w:color w:val="auto"/>
              </w:rPr>
            </w:pPr>
          </w:p>
        </w:tc>
      </w:tr>
      <w:tr>
        <w:trPr>
          <w:trHeight w:val="74"/>
        </w:trPr>
        <w:tc>
          <w:tcPr>
            <w:tcW w:w="4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December 31, 2019</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135,057</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217,619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(22,538)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(7,622)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322,795</w:t>
            </w:r>
          </w:p>
        </w:tc>
        <w:tc>
          <w:tcPr>
            <w:tcW w:w="0" w:type="dxa"/>
            <w:vAlign w:val="bottom"/>
          </w:tcPr>
          <w:p>
            <w:pPr>
              <w:spacing w:after="0"/>
              <w:rPr>
                <w:sz w:val="1"/>
                <w:szCs w:val="1"/>
                <w:color w:val="auto"/>
              </w:rPr>
            </w:pPr>
          </w:p>
        </w:tc>
      </w:tr>
      <w:tr>
        <w:trPr>
          <w:trHeight w:val="60"/>
        </w:trPr>
        <w:tc>
          <w:tcPr>
            <w:tcW w:w="49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July 1, 2018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132,198</w:t>
            </w:r>
          </w:p>
        </w:tc>
        <w:tc>
          <w:tcPr>
            <w:tcW w:w="14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211,494</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(17,717)</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(7,411)</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318,843</w:t>
            </w:r>
          </w:p>
        </w:tc>
        <w:tc>
          <w:tcPr>
            <w:tcW w:w="0" w:type="dxa"/>
            <w:vAlign w:val="bottom"/>
          </w:tcPr>
          <w:p>
            <w:pPr>
              <w:spacing w:after="0"/>
              <w:rPr>
                <w:sz w:val="1"/>
                <w:szCs w:val="1"/>
                <w:color w:val="auto"/>
              </w:rPr>
            </w:pPr>
          </w:p>
        </w:tc>
      </w:tr>
      <w:tr>
        <w:trPr>
          <w:trHeight w:val="80"/>
        </w:trPr>
        <w:tc>
          <w:tcPr>
            <w:tcW w:w="49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9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6,237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6,237</w:t>
            </w:r>
          </w:p>
        </w:tc>
        <w:tc>
          <w:tcPr>
            <w:tcW w:w="0" w:type="dxa"/>
            <w:vAlign w:val="bottom"/>
          </w:tcPr>
          <w:p>
            <w:pPr>
              <w:spacing w:after="0"/>
              <w:rPr>
                <w:sz w:val="1"/>
                <w:szCs w:val="1"/>
                <w:color w:val="auto"/>
              </w:rPr>
            </w:pPr>
          </w:p>
        </w:tc>
      </w:tr>
      <w:tr>
        <w:trPr>
          <w:trHeight w:val="74"/>
        </w:trPr>
        <w:tc>
          <w:tcPr>
            <w:tcW w:w="4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80"/>
        </w:trPr>
        <w:tc>
          <w:tcPr>
            <w:tcW w:w="4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920" w:type="dxa"/>
            <w:vAlign w:val="bottom"/>
          </w:tcPr>
          <w:p>
            <w:pPr>
              <w:ind w:left="40"/>
              <w:spacing w:after="0"/>
              <w:rPr>
                <w:sz w:val="20"/>
                <w:szCs w:val="20"/>
                <w:color w:val="auto"/>
              </w:rPr>
            </w:pPr>
            <w:r>
              <w:rPr>
                <w:rFonts w:ascii="Arial" w:cs="Arial" w:eastAsia="Arial" w:hAnsi="Arial"/>
                <w:sz w:val="14"/>
                <w:szCs w:val="14"/>
                <w:color w:val="auto"/>
              </w:rPr>
              <w:t>Exercise of stock options (12,500 shares)</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74"/>
        </w:trPr>
        <w:tc>
          <w:tcPr>
            <w:tcW w:w="4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deferred shares (292,578 shares)</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(5,940)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5,940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920" w:type="dxa"/>
            <w:vAlign w:val="bottom"/>
          </w:tcPr>
          <w:p>
            <w:pPr>
              <w:ind w:left="40"/>
              <w:spacing w:after="0"/>
              <w:rPr>
                <w:sz w:val="20"/>
                <w:szCs w:val="20"/>
                <w:color w:val="auto"/>
              </w:rPr>
            </w:pPr>
            <w:r>
              <w:rPr>
                <w:rFonts w:ascii="Arial" w:cs="Arial" w:eastAsia="Arial" w:hAnsi="Arial"/>
                <w:sz w:val="14"/>
                <w:szCs w:val="14"/>
                <w:color w:val="auto"/>
              </w:rPr>
              <w:t>Treasury shares sold to Employee Stock Purchase Plan (7,447 shares)</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74"/>
        </w:trPr>
        <w:tc>
          <w:tcPr>
            <w:tcW w:w="4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Open market purchase of treasury shares (310,532 shares)</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(5,190)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(5,190)</w:t>
            </w:r>
          </w:p>
        </w:tc>
        <w:tc>
          <w:tcPr>
            <w:tcW w:w="0" w:type="dxa"/>
            <w:vAlign w:val="bottom"/>
          </w:tcPr>
          <w:p>
            <w:pPr>
              <w:spacing w:after="0"/>
              <w:rPr>
                <w:sz w:val="1"/>
                <w:szCs w:val="1"/>
                <w:color w:val="auto"/>
              </w:rPr>
            </w:pPr>
          </w:p>
        </w:tc>
      </w:tr>
      <w:tr>
        <w:trPr>
          <w:trHeight w:val="80"/>
        </w:trPr>
        <w:tc>
          <w:tcPr>
            <w:tcW w:w="4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920" w:type="dxa"/>
            <w:vAlign w:val="bottom"/>
          </w:tcPr>
          <w:p>
            <w:pPr>
              <w:ind w:left="40"/>
              <w:spacing w:after="0"/>
              <w:rPr>
                <w:sz w:val="20"/>
                <w:szCs w:val="20"/>
                <w:color w:val="auto"/>
              </w:rPr>
            </w:pPr>
            <w:r>
              <w:rPr>
                <w:rFonts w:ascii="Arial" w:cs="Arial" w:eastAsia="Arial" w:hAnsi="Arial"/>
                <w:sz w:val="14"/>
                <w:szCs w:val="14"/>
                <w:color w:val="auto"/>
                <w:w w:val="97"/>
              </w:rPr>
              <w:t>Treasury shares purchased to satisfy tax withholding obligations (77,418 shares)</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(1,651)</w:t>
            </w:r>
          </w:p>
        </w:tc>
        <w:tc>
          <w:tcPr>
            <w:tcW w:w="0" w:type="dxa"/>
            <w:vAlign w:val="bottom"/>
          </w:tcPr>
          <w:p>
            <w:pPr>
              <w:spacing w:after="0"/>
              <w:rPr>
                <w:sz w:val="1"/>
                <w:szCs w:val="1"/>
                <w:color w:val="auto"/>
              </w:rPr>
            </w:pPr>
          </w:p>
        </w:tc>
      </w:tr>
      <w:tr>
        <w:trPr>
          <w:trHeight w:val="74"/>
        </w:trPr>
        <w:tc>
          <w:tcPr>
            <w:tcW w:w="4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5,738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5,738</w:t>
            </w:r>
          </w:p>
        </w:tc>
        <w:tc>
          <w:tcPr>
            <w:tcW w:w="0" w:type="dxa"/>
            <w:vAlign w:val="bottom"/>
          </w:tcPr>
          <w:p>
            <w:pPr>
              <w:spacing w:after="0"/>
              <w:rPr>
                <w:sz w:val="1"/>
                <w:szCs w:val="1"/>
                <w:color w:val="auto"/>
              </w:rPr>
            </w:pPr>
          </w:p>
        </w:tc>
      </w:tr>
      <w:tr>
        <w:trPr>
          <w:trHeight w:val="80"/>
        </w:trPr>
        <w:tc>
          <w:tcPr>
            <w:tcW w:w="4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920" w:type="dxa"/>
            <w:vAlign w:val="bottom"/>
          </w:tcPr>
          <w:p>
            <w:pPr>
              <w:ind w:left="40"/>
              <w:spacing w:after="0"/>
              <w:rPr>
                <w:sz w:val="20"/>
                <w:szCs w:val="20"/>
                <w:color w:val="auto"/>
              </w:rPr>
            </w:pPr>
            <w:r>
              <w:rPr>
                <w:rFonts w:ascii="Arial" w:cs="Arial" w:eastAsia="Arial" w:hAnsi="Arial"/>
                <w:sz w:val="14"/>
                <w:szCs w:val="14"/>
                <w:color w:val="auto"/>
              </w:rPr>
              <w:t>Balances, December 31, 2018</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131,889</w:t>
            </w:r>
          </w:p>
        </w:tc>
        <w:tc>
          <w:tcPr>
            <w:tcW w:w="14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217,731</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(18,230)</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(8,079)</w:t>
            </w:r>
          </w:p>
        </w:tc>
        <w:tc>
          <w:tcPr>
            <w:tcW w:w="10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323,590</w:t>
            </w:r>
          </w:p>
        </w:tc>
        <w:tc>
          <w:tcPr>
            <w:tcW w:w="0" w:type="dxa"/>
            <w:vAlign w:val="bottom"/>
          </w:tcPr>
          <w:p>
            <w:pPr>
              <w:spacing w:after="0"/>
              <w:rPr>
                <w:sz w:val="1"/>
                <w:szCs w:val="1"/>
                <w:color w:val="auto"/>
              </w:rPr>
            </w:pPr>
          </w:p>
        </w:tc>
      </w:tr>
      <w:tr>
        <w:trPr>
          <w:trHeight w:val="65"/>
        </w:trPr>
        <w:tc>
          <w:tcPr>
            <w:tcW w:w="49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(“Matrix”, “we”, “our”, “us”, “its” or the “Company”) and its subsidiaries, unless otherwise indicated. Intercompany balances and transactions have been eliminated in consolidation.</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2019, included in the Company’s Annual Report on Form 10-K for the year then ended. The results of operations for the three and six month periods ended December 31, 2019 may not necessarily be indicative of the results of operations for the full year ending June 30, 2020.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 xml:space="preserve">The Company has updated its significant accounting policies to include its lease accounting policy as a result of adopting the Financial Accounting Standards Board ("FASB")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on July 1, 2019. The Company's other significant accounting policies are detailed in “Note 1 - Summary of Significant Accounting Policies” of our Annual Report on Form 10-K for the year ended June 30, 2019.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Leases Standard</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Under this guidance, lessees are required to recognize virtually all leases on the balance sheet as a right-of-use asset and an associated operating lease liability or finance lease liability. The right-of-use asset represents the lessee's right to use, or control the use of, a specified asset for the specified lease term. The lease liability represents the lessee's obligation to make lease payments arising from the lease, measured on a discounted basis. Based on certain characteristics, leases are classified as operating leases or finance leases. Operating lease liabilities and right-of-use assets are adjusted to result in a single straight-line lease expense over the life of the lease. Finance lease liabilities and right-of-use assets, which contain provisions similar to capital leases under the prior accounting standards, result in the recognition of interest expense on the lease liability and amortization expense on the right-of-use asset over the term of the lease.</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1, 2019, the Company adopted the standard using the modified retrospective method. The modified retrospective method permits the Company to record right-of-use assets and lease liabilities for existing leases as of the date of adoption rather than at the beginning of the earliest period presented. The Company recorded operating lease right-of-use assets of $24.6 million and operating lease liabilities of $25.8 million as of July 1, 2019. The adoption of the standard did not have a material impact on the Company’s retained earnings, Condensed Consolidated Statements of Income or Condensed Consolidated Statements of Cash Flows. Financial results reported in prior periods are unchanged and reflect the prior lease accounting standards in place at the time.</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elected the package of practical expedients permitted under the transition guidance for the new standard, which among other things, allowed the Company to carry forward the historical lease classification of its existing leases. All of the Company's existing leases were classified as operating leases prior to adoption and have retained this classification after adoption. In addition, the Company elected not to utilize the hindsight practical expedient to determine the lease term for existing leases at adoption.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20"/>
          </w:cols>
          <w:pgMar w:left="240" w:top="34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 Policy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enters into lease arrangements for real estate, construction equipment and information technology equipment in the normal course of business. The Company determines if an arrangement is or contains a lease at inception of the arrangement. An arrangement is determined to be a lease if it conveys the right to control the use of identified property or equipment for a period of time in exchange for consideration. If certain criteria are satisfied, the lease is classified as a financing lease. If none of these criteria are satisfied, the lease is considered an operating lease. All of the Company's leases are classified as operating leases.</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lease right-of-use assets are recognized as the present value of future lease payments over the lease term as of the commencement date, plus any lease payments made prior to commencement, and less any lease incentives received. Operating right-of-use assets are presented as noncurrent in the Condensed Consolidated Balance Sheets. Operating lease liabilities are recognized as the present value of the future lease payments over the lease term as of the commencement date and are presented as current and noncurrent in the Condensed Consolidated Balance Sheets. The Company has elected not to recognize right-of-use assets and lease liabilities for short-term leases with an initial term of 12 months or less.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lease term used to measure the right-of-use assets and lease liabilities is generally the non-cancelable lease term for real estate leases and information technology equipment. Construction equipment is typically rented on a "month-to-month" basis and the lease term is estimated based on the expected duration of the rental. An option to renew or terminate a lease is included in the lease term when it is reasonably certain that the Company will exercise the option. Renewal options for real estate leases are typically for five years or less.</w:t>
      </w:r>
    </w:p>
    <w:p>
      <w:pPr>
        <w:spacing w:after="0" w:line="13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Future lease payments are discounted based on the Company's estimate of its incremental borrowing rate at lease commencement. The incremental borrowing rate is the rate of interest that the Company would have to pay to borrow on a collateralized basis over a similar term an amount equal to the lease payments.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Determinations with respect to lease term, including any renewals, incremental borrowing rate, and future lease payments require the use of judgment based on the facts and circumstances related to each lease. The Company considers various factors, including economic incentives, intent, past history and business need, to determine the likelihood that a renewal option will be exercised.</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After the commencement date, operating lease expense is recognized based on the undiscounted future lease payments over the remaining lease term on a straight-line basis. Lease expense related to short-term leases is recognized on a straight-line basis over the lease term. Lease expense is included in cost of revenue and in selling, general and administrative expenses in the Condensed Consolidated Statements of Income.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See Note 3 - Leases for the required periodic disclosures about the Company's 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credit losses, including those related to its trade accounts receivable.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in this update broaden the information the Company may consider in developing its expected credit loss estimate to include forecasted information. The Company will adopt these amendments on July 1, 2020. The Company must apply the amendments in this update through a cumulative-effect adjustment to retained earnings as of the beginning of the first reporting period in which the guidance is effective. At this time, the Company does not expect this update will have a material impact on its estimate of the allowance for uncollectible accounts.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$645.0 million of remaining performance obligations yet to be satisfied as of December 31, 2019. The Company expects to recognize $540.9 million of its remaining performance obligations as revenue within the next twelve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 terms with customers include the timing of billing and payment, which usually differs from the timing of revenue recognition. As a result, we carry contract assets and liabilities in our balance sheet. These contract assets and liabilities are calculated on a contract-by-contract basis and reported on a net basis at the end of each period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advance payments and billings in excess of revenue recognized. The following table provides information about CIE and BIE:</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0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7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57,223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96,083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(38,860)</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(110,562)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(105,626)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contract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(43,796)</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difference between the beginning and ending balances of the Company's CIE and BIE primarily results from the timing of revenue recognized relative to its billings. The amount of revenue recognized during the six months ended December 31, 2019 that was included in the prior period BIE balance was $97.0 million. This revenue consists primarily of work performed during the period on contracts with customers that had advance billings.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Progress billings in accounts receivable at December 31, 2019 and June 30, 2019 included retentions to be collected within one year of $29.9 million and $21.9 million, respectively. Contract retentions collectible beyond one year are included in other assets in the Condensed Consolidated Balance Sheet and totaled $12.5 million as of December 31, 2019 and $17.7 million as of June 30,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disaggregated by reportable segment is presented in Note 9 - Segment Information. The following series of tables presents revenue disaggregated by geographic area where the work was performed and by contract type: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Geographic Disaggregation: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34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6"/>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ind w:left="7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291,348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329,513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605,765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639,650</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Canada</w:t>
            </w:r>
          </w:p>
        </w:tc>
        <w:tc>
          <w:tcPr>
            <w:tcW w:w="2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24,703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9,714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45,872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16,795</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international</w:t>
            </w:r>
          </w:p>
        </w:tc>
        <w:tc>
          <w:tcPr>
            <w:tcW w:w="26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5,137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6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318,677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340,568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656,774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659,079</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600" w:type="dxa"/>
            <w:vAlign w:val="bottom"/>
            <w:vMerge w:val="restart"/>
          </w:tcPr>
          <w:p>
            <w:pPr>
              <w:jc w:val="right"/>
              <w:ind w:right="110"/>
              <w:spacing w:after="0"/>
              <w:rPr>
                <w:sz w:val="20"/>
                <w:szCs w:val="20"/>
                <w:color w:val="auto"/>
              </w:rPr>
            </w:pPr>
            <w:r>
              <w:rPr>
                <w:rFonts w:ascii="Arial" w:cs="Arial" w:eastAsia="Arial" w:hAnsi="Arial"/>
                <w:sz w:val="18"/>
                <w:szCs w:val="18"/>
                <w:color w:val="auto"/>
              </w:rPr>
              <w:t>- 11-</w:t>
            </w: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6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Contract Type Disaggregation: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6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r>
      <w:tr>
        <w:trPr>
          <w:trHeight w:val="250"/>
        </w:trPr>
        <w:tc>
          <w:tcPr>
            <w:tcW w:w="6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ind w:left="7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Fixed-price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174,773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182,811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351,093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361,933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Time and materials and other cost reimbursable contracts</w:t>
            </w:r>
          </w:p>
        </w:tc>
        <w:tc>
          <w:tcPr>
            <w:tcW w:w="1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143,904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157,757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305,681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297,146</w:t>
            </w:r>
          </w:p>
        </w:tc>
      </w:tr>
      <w:tr>
        <w:trPr>
          <w:trHeight w:val="27"/>
        </w:trPr>
        <w:tc>
          <w:tcPr>
            <w:tcW w:w="6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318,677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340,568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656,774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659,079</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Typically, the Company assumes more risk with fixed-price contracts since increases in cost to perform the work may not be recoverable. However, these types of contracts typically offer higher profits than time and materials and other cost reimbursable contracts when completed at or below the costs originally estimated. The profitability of time and materials and other cost reimbursable contracts is typically lower than fixed-price contracts and is usually less volatile than fixed-price contracts since the profit component is factored into the rates charged for labor, equipment and materials, or is expressed in the contract as a percentage of the reimbursable costs incurred.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enters into lease arrangements for real estate, construction equipment and information technology equipment in the normal course of business. Real estate leases accounted for approximately 86% of all right-of-use assets as of December 31, 2019. Most real estate and information technology equipment leases generally have fixed payments that follow an agreed upon payment schedule and have remaining lease terms ranging from less than a year to 16 years. Construction equipment leases generally have "month-to-month" lease terms that automatically renew as long as the equipment remains in use.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in the Condensed Consolidated Statements of Income are as follows: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59"/>
              <w:spacing w:after="0"/>
              <w:rPr>
                <w:sz w:val="20"/>
                <w:szCs w:val="20"/>
                <w:color w:val="auto"/>
              </w:rPr>
            </w:pPr>
            <w:r>
              <w:rPr>
                <w:rFonts w:ascii="Arial" w:cs="Arial" w:eastAsia="Arial" w:hAnsi="Arial"/>
                <w:sz w:val="14"/>
                <w:szCs w:val="14"/>
                <w:b w:val="1"/>
                <w:bCs w:val="1"/>
                <w:color w:val="auto"/>
                <w:w w:val="98"/>
              </w:rPr>
              <w:t>Three Months Ended</w:t>
            </w:r>
          </w:p>
        </w:tc>
        <w:tc>
          <w:tcPr>
            <w:tcW w:w="320" w:type="dxa"/>
            <w:vAlign w:val="bottom"/>
          </w:tcPr>
          <w:p>
            <w:pPr>
              <w:spacing w:after="0"/>
              <w:rPr>
                <w:sz w:val="16"/>
                <w:szCs w:val="16"/>
                <w:color w:val="auto"/>
              </w:rPr>
            </w:pPr>
          </w:p>
        </w:tc>
        <w:tc>
          <w:tcPr>
            <w:tcW w:w="1580" w:type="dxa"/>
            <w:vAlign w:val="bottom"/>
          </w:tcPr>
          <w:p>
            <w:pPr>
              <w:jc w:val="right"/>
              <w:ind w:right="257"/>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w w:val="98"/>
              </w:rPr>
              <w:t>December 31, 2019</w:t>
            </w:r>
          </w:p>
        </w:tc>
      </w:tr>
      <w:tr>
        <w:trPr>
          <w:trHeight w:val="251"/>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Lease expense</w:t>
            </w:r>
          </w:p>
        </w:tc>
        <w:tc>
          <w:tcPr>
            <w:tcW w:w="120" w:type="dxa"/>
            <w:vAlign w:val="bottom"/>
            <w:tcBorders>
              <w:bottom w:val="single" w:sz="8" w:color="CCEEFF"/>
            </w:tcBorders>
          </w:tcPr>
          <w:p>
            <w:pPr>
              <w:spacing w:after="0"/>
              <w:rPr>
                <w:sz w:val="21"/>
                <w:szCs w:val="21"/>
                <w:color w:val="auto"/>
              </w:rPr>
            </w:pPr>
          </w:p>
        </w:tc>
        <w:tc>
          <w:tcPr>
            <w:tcW w:w="48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Location of Expense in Statements of Income</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3"/>
          </w:tcPr>
          <w:p>
            <w:pPr>
              <w:jc w:val="right"/>
              <w:ind w:right="1337"/>
              <w:spacing w:after="0"/>
              <w:rPr>
                <w:sz w:val="20"/>
                <w:szCs w:val="20"/>
                <w:color w:val="auto"/>
              </w:rPr>
            </w:pPr>
            <w:r>
              <w:rPr>
                <w:rFonts w:ascii="Arial" w:cs="Arial" w:eastAsia="Arial" w:hAnsi="Arial"/>
                <w:sz w:val="14"/>
                <w:szCs w:val="14"/>
                <w:color w:val="auto"/>
              </w:rPr>
              <w:t>(in thousands)</w:t>
            </w: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2"/>
              </w:rPr>
              <w:t>Cost of revenues and selling, general and administrative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3,256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6,372</w:t>
            </w:r>
          </w:p>
        </w:tc>
      </w:tr>
      <w:tr>
        <w:trPr>
          <w:trHeight w:val="270"/>
        </w:trPr>
        <w:tc>
          <w:tcPr>
            <w:tcW w:w="262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Short-term lease expense</w:t>
            </w:r>
            <w:r>
              <w:rPr>
                <w:rFonts w:ascii="Arial" w:cs="Arial" w:eastAsia="Arial" w:hAnsi="Arial"/>
                <w:sz w:val="25"/>
                <w:szCs w:val="25"/>
                <w:color w:val="auto"/>
                <w:vertAlign w:val="superscript"/>
              </w:rPr>
              <w:t>(1)</w:t>
            </w:r>
          </w:p>
        </w:tc>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revenues</w:t>
            </w: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11,007</w:t>
            </w:r>
          </w:p>
        </w:tc>
        <w:tc>
          <w:tcPr>
            <w:tcW w:w="3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20,615</w:t>
            </w:r>
          </w:p>
        </w:tc>
      </w:tr>
      <w:tr>
        <w:trPr>
          <w:trHeight w:val="257"/>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expense</w:t>
            </w:r>
          </w:p>
        </w:tc>
        <w:tc>
          <w:tcPr>
            <w:tcW w:w="4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14,263</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26,987</w:t>
            </w: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Primarily represents the lease expense of construction equipment that is subject to month-to-month rental agreements with expected rental durations of less than one year.</w:t>
      </w:r>
    </w:p>
    <w:p>
      <w:pPr>
        <w:spacing w:after="0" w:line="200" w:lineRule="exact"/>
        <w:rPr>
          <w:rFonts w:ascii="Arial" w:cs="Arial" w:eastAsia="Arial" w:hAnsi="Arial"/>
          <w:sz w:val="14"/>
          <w:szCs w:val="14"/>
          <w:color w:val="auto"/>
        </w:rPr>
      </w:pPr>
    </w:p>
    <w:p>
      <w:pPr>
        <w:spacing w:after="0" w:line="237" w:lineRule="exact"/>
        <w:rPr>
          <w:rFonts w:ascii="Arial" w:cs="Arial" w:eastAsia="Arial" w:hAnsi="Arial"/>
          <w:sz w:val="14"/>
          <w:szCs w:val="14"/>
          <w:color w:val="auto"/>
        </w:rPr>
      </w:pPr>
    </w:p>
    <w:p>
      <w:pPr>
        <w:ind w:left="5640" w:hanging="98"/>
        <w:spacing w:after="0"/>
        <w:tabs>
          <w:tab w:leader="none" w:pos="5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-507365</wp:posOffset>
            </wp:positionV>
            <wp:extent cx="7975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The future undiscounted lease payments, as reconciled to the discounted operating lease liabilities presented in the Company's Condensed Consolidated Balance Sheets,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December 31, 2019</w:t>
            </w:r>
          </w:p>
        </w:tc>
      </w:tr>
      <w:tr>
        <w:trPr>
          <w:trHeight w:val="251"/>
        </w:trPr>
        <w:tc>
          <w:tcPr>
            <w:tcW w:w="9600" w:type="dxa"/>
            <w:vAlign w:val="bottom"/>
          </w:tcPr>
          <w:p>
            <w:pPr>
              <w:ind w:left="40"/>
              <w:spacing w:after="0"/>
              <w:rPr>
                <w:sz w:val="20"/>
                <w:szCs w:val="20"/>
                <w:color w:val="auto"/>
              </w:rPr>
            </w:pPr>
            <w:r>
              <w:rPr>
                <w:rFonts w:ascii="Arial" w:cs="Arial" w:eastAsia="Arial" w:hAnsi="Arial"/>
                <w:sz w:val="18"/>
                <w:szCs w:val="18"/>
                <w:b w:val="1"/>
                <w:bCs w:val="1"/>
                <w:color w:val="auto"/>
              </w:rPr>
              <w:t>Maturity Analysis:</w:t>
            </w:r>
          </w:p>
        </w:tc>
        <w:tc>
          <w:tcPr>
            <w:tcW w:w="220" w:type="dxa"/>
            <w:vAlign w:val="bottom"/>
          </w:tcPr>
          <w:p>
            <w:pPr>
              <w:spacing w:after="0"/>
              <w:rPr>
                <w:sz w:val="21"/>
                <w:szCs w:val="21"/>
                <w:color w:val="auto"/>
              </w:rPr>
            </w:pPr>
          </w:p>
        </w:tc>
        <w:tc>
          <w:tcPr>
            <w:tcW w:w="1600" w:type="dxa"/>
            <w:vAlign w:val="bottom"/>
          </w:tcPr>
          <w:p>
            <w:pPr>
              <w:jc w:val="right"/>
              <w:ind w:right="413"/>
              <w:spacing w:after="0"/>
              <w:rPr>
                <w:sz w:val="20"/>
                <w:szCs w:val="20"/>
                <w:color w:val="auto"/>
              </w:rPr>
            </w:pPr>
            <w:r>
              <w:rPr>
                <w:rFonts w:ascii="Arial" w:cs="Arial" w:eastAsia="Arial" w:hAnsi="Arial"/>
                <w:sz w:val="14"/>
                <w:szCs w:val="14"/>
                <w:color w:val="auto"/>
              </w:rPr>
              <w:t>(in thousands)</w:t>
            </w:r>
          </w:p>
        </w:tc>
      </w:tr>
      <w:tr>
        <w:trPr>
          <w:trHeight w:val="256"/>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Fiscal 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5,761</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8,503</w:t>
            </w:r>
          </w:p>
        </w:tc>
      </w:tr>
      <w:tr>
        <w:trPr>
          <w:trHeight w:val="27"/>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6,164</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4,559</w:t>
            </w:r>
          </w:p>
        </w:tc>
      </w:tr>
      <w:tr>
        <w:trPr>
          <w:trHeight w:val="27"/>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2,968</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11,866</w:t>
            </w:r>
          </w:p>
        </w:tc>
      </w:tr>
      <w:tr>
        <w:trPr>
          <w:trHeight w:val="27"/>
        </w:trPr>
        <w:tc>
          <w:tcPr>
            <w:tcW w:w="9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operating lease payments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39,821</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(6,447)</w:t>
            </w:r>
          </w:p>
        </w:tc>
      </w:tr>
      <w:tr>
        <w:trPr>
          <w:trHeight w:val="27"/>
        </w:trPr>
        <w:tc>
          <w:tcPr>
            <w:tcW w:w="9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present value of future lease payments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33,374</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Less: current portion of operating lease liabilities</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9,425</w:t>
            </w:r>
          </w:p>
        </w:tc>
      </w:tr>
      <w:tr>
        <w:trPr>
          <w:trHeight w:val="27"/>
        </w:trPr>
        <w:tc>
          <w:tcPr>
            <w:tcW w:w="9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23,949</w:t>
            </w:r>
          </w:p>
        </w:tc>
      </w:tr>
      <w:tr>
        <w:trPr>
          <w:trHeight w:val="20"/>
        </w:trPr>
        <w:tc>
          <w:tcPr>
            <w:tcW w:w="9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weighted average remaining operating lease term and weighted average discount rate as of December 31, 2019:</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6</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05"/>
        </w:trPr>
        <w:tc>
          <w:tcPr>
            <w:tcW w:w="960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is as follows:</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3"/>
        </w:trPr>
        <w:tc>
          <w:tcPr>
            <w:tcW w:w="9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center"/>
              <w:ind w:right="138"/>
              <w:spacing w:after="0"/>
              <w:rPr>
                <w:sz w:val="20"/>
                <w:szCs w:val="20"/>
                <w:color w:val="auto"/>
              </w:rPr>
            </w:pPr>
            <w:r>
              <w:rPr>
                <w:rFonts w:ascii="Arial" w:cs="Arial" w:eastAsia="Arial" w:hAnsi="Arial"/>
                <w:sz w:val="14"/>
                <w:szCs w:val="14"/>
                <w:b w:val="1"/>
                <w:bCs w:val="1"/>
                <w:color w:val="auto"/>
                <w:w w:val="93"/>
              </w:rPr>
              <w:t>Six Months Ended</w:t>
            </w:r>
          </w:p>
        </w:tc>
      </w:tr>
      <w:tr>
        <w:trPr>
          <w:trHeight w:val="276"/>
        </w:trPr>
        <w:tc>
          <w:tcPr>
            <w:tcW w:w="9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1"/>
              </w:rPr>
              <w:t>December 31, 2019</w:t>
            </w:r>
          </w:p>
        </w:tc>
      </w:tr>
      <w:tr>
        <w:trPr>
          <w:trHeight w:val="250"/>
        </w:trPr>
        <w:tc>
          <w:tcPr>
            <w:tcW w:w="9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center"/>
              <w:ind w:right="138"/>
              <w:spacing w:after="0"/>
              <w:rPr>
                <w:sz w:val="20"/>
                <w:szCs w:val="20"/>
                <w:color w:val="auto"/>
              </w:rPr>
            </w:pPr>
            <w:r>
              <w:rPr>
                <w:rFonts w:ascii="Arial" w:cs="Arial" w:eastAsia="Arial" w:hAnsi="Arial"/>
                <w:sz w:val="14"/>
                <w:szCs w:val="14"/>
                <w:color w:val="auto"/>
                <w:w w:val="92"/>
              </w:rPr>
              <w:t>(in thousands)</w:t>
            </w:r>
          </w:p>
        </w:tc>
      </w:tr>
      <w:tr>
        <w:trPr>
          <w:trHeight w:val="256"/>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9600" w:type="dxa"/>
            <w:vAlign w:val="bottom"/>
          </w:tcPr>
          <w:p>
            <w:pPr>
              <w:ind w:left="38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6,788</w:t>
            </w:r>
          </w:p>
        </w:tc>
      </w:tr>
      <w:tr>
        <w:trPr>
          <w:trHeight w:val="27"/>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assets obtained in exchange for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380"/>
              <w:spacing w:after="0"/>
              <w:rPr>
                <w:sz w:val="20"/>
                <w:szCs w:val="20"/>
                <w:color w:val="auto"/>
              </w:rPr>
            </w:pPr>
            <w:r>
              <w:rPr>
                <w:rFonts w:ascii="Arial" w:cs="Arial" w:eastAsia="Arial" w:hAnsi="Arial"/>
                <w:sz w:val="18"/>
                <w:szCs w:val="18"/>
                <w:color w:val="auto"/>
              </w:rPr>
              <w:t>Operating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39,338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24,830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30,829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16,736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93,368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Translation adjustment</w:t>
            </w:r>
            <w:r>
              <w:rPr>
                <w:rFonts w:ascii="Arial" w:cs="Arial" w:eastAsia="Arial" w:hAnsi="Arial"/>
                <w:sz w:val="25"/>
                <w:szCs w:val="25"/>
                <w:color w:val="auto"/>
                <w:vertAlign w:val="superscript"/>
              </w:rPr>
              <w:t>(1)</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Net balance at December 31, 2019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30,829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16,719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12,956</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60,504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40" w:hanging="316"/>
        <w:spacing w:after="0" w:line="273"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-228600</wp:posOffset>
            </wp:positionV>
            <wp:extent cx="7975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3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tests its goodwill for impairment annually in May. Except for the impairments discussed below, the Company concluded that no other impairment indicators existed as of December 31, 2019. However, if our market view of project opportunities or gross margins deteriorates, then additional interim goodwill impairment tests will be performed, which could result in the recognition of additional impairments to goodwill.</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the Company concluded that a goodwill impairment indicator existed in the Electrical Infrastructure segment based on the recent history of depressed gross margins and the second quarter’s downward acceleration of revenue and gross margin. Accordingly, the Company performed an interim impairment test as of December 31, 2019, reflecting updated revenue and gross margin assumptions, and concluded that the reporting unit's $24.9 million of goodwill was fully impaired.</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in December 2019, the Company concluded that a goodwill impairment indicator existed for an Industrial segment reporting unit based on several second quarter events. These events included the deterioration of the relationship with a significant customer in the iron and steel industry in the second quarter. As a result, the customer canceled other previously awarded work and the Company is expecting little to no business from this customer in the foreseeable future. Accordingly, the Company performed an interim impairment test as of December 31, 2019 and concluded that the reporting unit's $8.0 million of goodwill was fully impaired. The remaining goodwill in the Industrial segment is related to a separate reporting unit that serves a broader customer base beyond iron and steel.</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fair value of each reporting unit was derived by utilizing a discounted cash flow analysis. The key assumptions used are described in Part II, Item 8. Financial Statements and Supplementary Data, Note 1 - Summary of Significant Accounting Policies, Goodwill in our fiscal 2019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factors disclosed for the Industrial segment goodwill impairment above, the Company fully impaired a customer relationship with a net book value of $5.6 million and a remaining useful life of 9 years. This intangible asset had a gross carrying amount of $9.4 million and accumulated amortization of $3.8 million. The impairment is included within the goodwill and other intangible asset impairment caption in the condensed consolidated statements of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At December 31, 2019</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10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6 to 15</w:t>
            </w: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29,180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11,241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33,212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11,955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5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30, 2019</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10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6 to 15</w:t>
            </w: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38,572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18,657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42,604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19,472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totaled $0.9 million and $1.9 million during the three and six months ended December 31, 2019 and $0.8 million and $1.7 million for the three and six months ended December 31,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remaining amortization expense related to December 31, 2019 amortizing intangible assets will be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Period ending:</w:t>
            </w:r>
          </w:p>
        </w:tc>
        <w:tc>
          <w:tcPr>
            <w:tcW w:w="4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Fiscal 2020</w:t>
            </w:r>
          </w:p>
        </w:tc>
        <w:tc>
          <w:tcPr>
            <w:tcW w:w="4880" w:type="dxa"/>
            <w:vAlign w:val="bottom"/>
            <w:tcBorders>
              <w:bottom w:val="single" w:sz="8" w:color="CCEEFF"/>
            </w:tcBorders>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4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4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4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4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Fiscal 2025</w:t>
            </w:r>
          </w:p>
        </w:tc>
        <w:tc>
          <w:tcPr>
            <w:tcW w:w="4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57"/>
        </w:trPr>
        <w:tc>
          <w:tcPr>
            <w:tcW w:w="5340" w:type="dxa"/>
            <w:vAlign w:val="bottom"/>
          </w:tcPr>
          <w:p>
            <w:pPr>
              <w:ind w:left="40"/>
              <w:spacing w:after="0"/>
              <w:rPr>
                <w:sz w:val="20"/>
                <w:szCs w:val="20"/>
                <w:color w:val="auto"/>
              </w:rPr>
            </w:pPr>
            <w:r>
              <w:rPr>
                <w:rFonts w:ascii="Arial" w:cs="Arial" w:eastAsia="Arial" w:hAnsi="Arial"/>
                <w:sz w:val="18"/>
                <w:szCs w:val="18"/>
                <w:color w:val="auto"/>
                <w:w w:val="93"/>
              </w:rPr>
              <w:t>Total estimated remaining amortization expense at December 31, 2019</w:t>
            </w:r>
          </w:p>
        </w:tc>
        <w:tc>
          <w:tcPr>
            <w:tcW w:w="414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11,955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4140" w:type="dxa"/>
            <w:vAlign w:val="bottom"/>
            <w:vMerge w:val="restart"/>
          </w:tcPr>
          <w:p>
            <w:pPr>
              <w:jc w:val="right"/>
              <w:ind w:right="3510"/>
              <w:spacing w:after="0"/>
              <w:rPr>
                <w:sz w:val="20"/>
                <w:szCs w:val="20"/>
                <w:color w:val="auto"/>
              </w:rPr>
            </w:pPr>
            <w:r>
              <w:rPr>
                <w:rFonts w:ascii="Arial" w:cs="Arial" w:eastAsia="Arial" w:hAnsi="Arial"/>
                <w:sz w:val="18"/>
                <w:szCs w:val="18"/>
                <w:color w:val="auto"/>
              </w:rPr>
              <w:t>- 15-</w:t>
            </w: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3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1300" w:right="80" w:hanging="48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determined as of the end of each fiscal quarter, greater than or equal to 1.25 to 1.00.</w:t>
      </w:r>
    </w:p>
    <w:p>
      <w:pPr>
        <w:spacing w:after="0" w:line="116" w:lineRule="exact"/>
        <w:rPr>
          <w:rFonts w:ascii="Arial" w:cs="Arial" w:eastAsia="Arial" w:hAnsi="Arial"/>
          <w:sz w:val="18"/>
          <w:szCs w:val="18"/>
          <w:color w:val="auto"/>
        </w:rPr>
      </w:pPr>
    </w:p>
    <w:p>
      <w:pPr>
        <w:ind w:left="1300" w:right="60" w:hanging="482"/>
        <w:spacing w:after="0" w:line="34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70"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The credit facility includes a U.S. Dollar equivalent sublimit of $75.0 million for revolving loans denominated in Australian Dollars, Canadian Dollars, Euros and Pounds Sterling and letters of credit in Australian Dollars, Euros, and Pounds Sterling. The credit facility also includes a $200.0 million sublimit for total letters of credit.</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0.25% and 0.45% based on the Leverage Ratio.</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Credit Agreement includes a Leverage Ratio covenant, which provides that Consolidated Funded Indebtedness, as of the end of any fiscal quarter, may not exceed 3.0 times Consolidated EBITDA, as defined in the Credit Agreement, or "Covenant EBITDA," over the previous four quarters. For the four quarters ended December 31, 2019, Covenant EBITDA was $78.2 million. Consolidated Funded Indebtedness at December 31, 2019 was $68.5 million.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secured revolving credit facility at December 31, 2019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Leverage Ratio</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65,544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94,323</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234,456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205,677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Letters of credit</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53,636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48,147</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14,817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secured revolving credit facility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166,003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152,183</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the Company was in compliance with all affirmative, negative, and financial covenants under the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effective tax rates for the three and six months ended December 31, 2019 were 10.5% and 2.6%, respectively, compared to 27.4% and 23.7%, respectively, for the same period a year ago. We previously expected our fiscal 2020 effective tax rate to be approximately 27.0%. The effective tax rate in both periods in fiscal 2020 was negatively impacted by a $2.4 million valuation allowance placed on a deferred tax asset that was created by net operating loss carryforwards and other tax credits in Canada that was triggered by the second quarter cancellation of a Canadian iron and steel project that significantly impacted the fiscal 2020 financial forecast. Additionally, the effective tax rate in both periods in fiscal 2020 was negatively impacted by the non-deductible portion of the goodwill impairments. We expect the effective tax rate to be approximately 28.0% for the remainder of the fiscal year.</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effective tax rate for the three months ended December 31, 2018 was in line with expected statutory rate. The effective tax rate for the sixth months ended December 31, 2018 was positively impacted by $0.3 million of excess tax benefits related to the vesting of stock-based compensation.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Unpriced Change Orders and Claims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$9.1 million at December 31, 2019 and $10.1 million at June 30, 2019. Generally, collection of amounts related to unpriced change orders and claims is expected within twelve months. However, since customers may not pay these amounts until final resolution of related claims, collection of these amounts may extend beyond one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 In the event we report a loss, stock options and nonvested deferred shares are not included since they are anti-dilutive.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181"/>
        </w:trPr>
        <w:tc>
          <w:tcPr>
            <w:tcW w:w="5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gridSpan w:val="5"/>
          </w:tcPr>
          <w:p>
            <w:pPr>
              <w:ind w:left="300"/>
              <w:spacing w:after="0"/>
              <w:rPr>
                <w:sz w:val="20"/>
                <w:szCs w:val="20"/>
                <w:color w:val="auto"/>
              </w:rPr>
            </w:pPr>
            <w:r>
              <w:rPr>
                <w:rFonts w:ascii="Arial" w:cs="Arial" w:eastAsia="Arial" w:hAnsi="Arial"/>
                <w:sz w:val="13"/>
                <w:szCs w:val="13"/>
                <w:color w:val="auto"/>
              </w:rPr>
              <w:t>(In thousands, except per share data)</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58"/>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30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6,237</w:t>
            </w: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26,925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27,043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26,930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26,982</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(loss)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0.23</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26,925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27,043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26,930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26,982</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Dilutive nonvested deferred shares</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617</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26,925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27,582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26,930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27,628</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color w:val="auto"/>
              </w:rPr>
              <w:t>Diluted earnings (loss)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0.23</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737"/>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37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5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December 31,</w:t>
            </w:r>
          </w:p>
        </w:tc>
        <w:tc>
          <w:tcPr>
            <w:tcW w:w="15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December 31,</w:t>
            </w:r>
          </w:p>
        </w:tc>
        <w:tc>
          <w:tcPr>
            <w:tcW w:w="144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December 31,</w:t>
            </w:r>
          </w:p>
        </w:tc>
        <w:tc>
          <w:tcPr>
            <w:tcW w:w="136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3760" w:type="dxa"/>
            <w:vAlign w:val="bottom"/>
          </w:tcPr>
          <w:p>
            <w:pPr>
              <w:spacing w:after="0"/>
              <w:rPr>
                <w:sz w:val="16"/>
                <w:szCs w:val="16"/>
                <w:color w:val="auto"/>
              </w:rPr>
            </w:pPr>
          </w:p>
        </w:tc>
        <w:tc>
          <w:tcPr>
            <w:tcW w:w="324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1340" w:type="dxa"/>
            <w:vAlign w:val="bottom"/>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3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2018</w:t>
            </w:r>
          </w:p>
        </w:tc>
      </w:tr>
      <w:tr>
        <w:trPr>
          <w:trHeight w:val="196"/>
        </w:trPr>
        <w:tc>
          <w:tcPr>
            <w:tcW w:w="37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gridSpan w:val="4"/>
          </w:tcPr>
          <w:p>
            <w:pPr>
              <w:ind w:left="1000"/>
              <w:spacing w:after="0"/>
              <w:rPr>
                <w:sz w:val="20"/>
                <w:szCs w:val="20"/>
                <w:color w:val="auto"/>
              </w:rPr>
            </w:pPr>
            <w:r>
              <w:rPr>
                <w:rFonts w:ascii="Arial" w:cs="Arial" w:eastAsia="Arial" w:hAnsi="Arial"/>
                <w:sz w:val="14"/>
                <w:szCs w:val="14"/>
                <w:color w:val="auto"/>
              </w:rPr>
              <w:t>(In thousands)</w:t>
            </w:r>
          </w:p>
        </w:tc>
        <w:tc>
          <w:tcPr>
            <w:tcW w:w="1360" w:type="dxa"/>
            <w:vAlign w:val="bottom"/>
            <w:tcBorders>
              <w:top w:val="single" w:sz="8" w:color="auto"/>
            </w:tcBorders>
          </w:tcPr>
          <w:p>
            <w:pPr>
              <w:spacing w:after="0"/>
              <w:rPr>
                <w:sz w:val="17"/>
                <w:szCs w:val="17"/>
                <w:color w:val="auto"/>
              </w:rPr>
            </w:pPr>
          </w:p>
        </w:tc>
      </w:tr>
      <w:tr>
        <w:trPr>
          <w:trHeight w:val="256"/>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32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Nonvested deferred shares</w:t>
            </w:r>
          </w:p>
        </w:tc>
        <w:tc>
          <w:tcPr>
            <w:tcW w:w="3240" w:type="dxa"/>
            <w:vAlign w:val="bottom"/>
            <w:gridSpan w:val="2"/>
          </w:tcPr>
          <w:p>
            <w:pPr>
              <w:jc w:val="right"/>
              <w:ind w:right="68"/>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1,543</w:t>
            </w: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1,458</w:t>
            </w:r>
          </w:p>
        </w:tc>
      </w:tr>
      <w:tr>
        <w:trPr>
          <w:trHeight w:val="27"/>
        </w:trPr>
        <w:tc>
          <w:tcPr>
            <w:tcW w:w="376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antidilutive securities</w:t>
            </w:r>
          </w:p>
        </w:tc>
        <w:tc>
          <w:tcPr>
            <w:tcW w:w="32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1,543</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1,458</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635"/>
        </w:trPr>
        <w:tc>
          <w:tcPr>
            <w:tcW w:w="3760" w:type="dxa"/>
            <w:vAlign w:val="bottom"/>
          </w:tcPr>
          <w:p>
            <w:pPr>
              <w:spacing w:after="0"/>
              <w:rPr>
                <w:sz w:val="24"/>
                <w:szCs w:val="24"/>
                <w:color w:val="auto"/>
              </w:rPr>
            </w:pPr>
          </w:p>
        </w:tc>
        <w:tc>
          <w:tcPr>
            <w:tcW w:w="3240" w:type="dxa"/>
            <w:vAlign w:val="bottom"/>
            <w:gridSpan w:val="2"/>
          </w:tcPr>
          <w:p>
            <w:pPr>
              <w:jc w:val="right"/>
              <w:ind w:right="1048"/>
              <w:spacing w:after="0"/>
              <w:rPr>
                <w:sz w:val="20"/>
                <w:szCs w:val="20"/>
                <w:color w:val="auto"/>
              </w:rPr>
            </w:pPr>
            <w:r>
              <w:rPr>
                <w:rFonts w:ascii="Arial" w:cs="Arial" w:eastAsia="Arial" w:hAnsi="Arial"/>
                <w:sz w:val="18"/>
                <w:szCs w:val="18"/>
                <w:color w:val="auto"/>
              </w:rPr>
              <w:t>- 18-</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consists of power delivery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other natural gas fired power stations.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upstream petroleum, and sulfur extraction, recovery and processing markets. Our services include plant maintenance, turnarounds, engineering and capital construction. We also offer industrial cleaning services, including hydro-blasting, hydro-excavating, advanced chemical cleaning and vacuum services.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Storage Solutions segment consists of work related to aboveground storage tanks ("AST") and terminals. Also included in this segment are cryogenic and other specialty storage tanks and terminals including liquefied natural gas, liquid nitrogen/liquid oxygen, liquid petroleum and other specialty vessels such as spheres as well as marine structures and truck and rail loading/offloading facilities. Our services include engineering, fabrication and construction, and maintenance and repair, which includes planned and emergency services for both tanks and full terminals. Finally, we offer AST products, including geodesic domes, aluminum internal floating roofs, floating suction and skimmer systems, roof drain systems and floating roof seals.</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Industrial segment consists of work for integrated iron and steel companies, major mining and minerals companies engaged primarily in the extraction of copper, as well as companies in other industries, including aerospace and defense, cement, and agriculture and grain. Our services include engineering, fabrication and construction, and maintenance and repair, which includes planned and emergency services. We also design instrumentation and control systems and offer specialized expertise in the design and construction of bulk material handling systems.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evaluates performance and allocates resources based on operating income. The accounting policies of the reportable segments are the same as those described in the Summary of Significant Accounting Policies footnote included in the Company’s Annual Report on Form 10-K for the year ended June 30, 2019 and in Note 1 of this Quarterly Report on Form 10-Q. Intersegment sales and transfers are recorded at cost; therefore, no intersegment profit or loss is recognized.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operating lease right-of-use assets,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1"/>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30,030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58,173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61,562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102,874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87,521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114,282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163,083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144,034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126,198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294,786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239,965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90,267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70,385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189,554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155,942</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320,827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342,277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660,184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661,864</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Less: Inter-segment revenues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inter-segment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revenues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102,874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55,992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86,287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113,522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161,778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142,769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125,723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292,836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238,485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89,886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70,385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188,854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155,942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consolidated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318,677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340,568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656,774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659,079</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profit (loss)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7,832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14,782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8,909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16,580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8,880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gross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30,001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27,886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62,466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51,307</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Goodwill and other intangible asset impairment</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13,615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13,615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goodwill and other intangible asset impairment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38,515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38,515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3,585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100" w:type="dxa"/>
            <w:vAlign w:val="bottom"/>
          </w:tcPr>
          <w:p>
            <w:pPr>
              <w:jc w:val="right"/>
              <w:ind w:right="35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48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5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108,929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155,880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4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82,216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91,959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4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206,224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188,912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4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43,539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90,336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48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150,980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106,307</w:t>
            </w:r>
          </w:p>
        </w:tc>
        <w:tc>
          <w:tcPr>
            <w:tcW w:w="0" w:type="dxa"/>
            <w:vAlign w:val="bottom"/>
          </w:tcPr>
          <w:p>
            <w:pPr>
              <w:spacing w:after="0"/>
              <w:rPr>
                <w:sz w:val="1"/>
                <w:szCs w:val="1"/>
                <w:color w:val="auto"/>
              </w:rPr>
            </w:pPr>
          </w:p>
        </w:tc>
      </w:tr>
      <w:tr>
        <w:trPr>
          <w:trHeight w:val="257"/>
        </w:trPr>
        <w:tc>
          <w:tcPr>
            <w:tcW w:w="3700" w:type="dxa"/>
            <w:vAlign w:val="bottom"/>
          </w:tcPr>
          <w:p>
            <w:pPr>
              <w:ind w:left="380"/>
              <w:spacing w:after="0"/>
              <w:rPr>
                <w:sz w:val="20"/>
                <w:szCs w:val="20"/>
                <w:color w:val="auto"/>
              </w:rPr>
            </w:pPr>
            <w:r>
              <w:rPr>
                <w:rFonts w:ascii="Arial" w:cs="Arial" w:eastAsia="Arial" w:hAnsi="Arial"/>
                <w:sz w:val="18"/>
                <w:szCs w:val="18"/>
                <w:color w:val="auto"/>
              </w:rPr>
              <w:t>Total segment assets</w:t>
            </w:r>
          </w:p>
        </w:tc>
        <w:tc>
          <w:tcPr>
            <w:tcW w:w="48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591,888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633,394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880" w:type="dxa"/>
            <w:vAlign w:val="bottom"/>
            <w:vMerge w:val="restart"/>
          </w:tcPr>
          <w:p>
            <w:pPr>
              <w:jc w:val="right"/>
              <w:ind w:right="2610"/>
              <w:spacing w:after="0"/>
              <w:rPr>
                <w:sz w:val="20"/>
                <w:szCs w:val="20"/>
                <w:color w:val="auto"/>
              </w:rPr>
            </w:pPr>
            <w:r>
              <w:rPr>
                <w:rFonts w:ascii="Arial" w:cs="Arial" w:eastAsia="Arial" w:hAnsi="Arial"/>
                <w:sz w:val="18"/>
                <w:szCs w:val="18"/>
                <w:color w:val="auto"/>
              </w:rPr>
              <w:t>- 21-</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70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the new accounting policy for leases described below, there have been no material changes in our critical accounting policies from those reported in our fiscal 2019 Annual Report on Form 10-K filed with the SEC. For more information on our critical accounting policies, see Part II, Item 7 of our fiscal 2019 Annual Report on Form 10-K. The following section provides certain information with respect to our critical accounting policies as of the close of our most recent quarterly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 about our Contracts with Customers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revenues come from contracts to provide engineering, procurement, fabrication and construction, repair and maintenance and other services. Our engineering, procurement and fabrication and construction services are usually provided in association with capital projects, which commonly are fixed price contracts and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be in excess of one year for capital projects.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1: Contract Identification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one single contract. This evaluation requires judgment and could change the timing of the amount of revenue and profit recorded for a given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2: Identify Performance Obligations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3: Determine Contract Price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 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4: Assign Contract Price to Performance Obligations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5: Recognize Revenue as Performance Obligations are Satisfied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revenue for contracts with our customers as we satisfy the contracts' performance obligations. We recognize revenue on performance obligations associated with fixed price contracts for engineering, procurement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ASC 606,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The Company does not sell separate warranties.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 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 price contracts indicate a loss, a provision is made through a contract write-down for the total loss anticipated.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Orders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Unpriced Change Orders and Claims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$9.1 million at December 31, 2019 and $10.1 million at June 30, 2019. The amounts ultimately realized may be significantly different than the recorded amounts resulting in a material adjustment to future earnings.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Various legal actions, claims, and other contingencies arise in the normal course of our business. Contingencies are recorded in the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Legal costs are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but is tested at least annually for impairment at the reporting unit level, which is a level below our reportable segments.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perform our annual impairment test in the fourth quarter of each fiscal year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carrying values of our reporting units to our market capitalization.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the Company concluded that a goodwill impairment indicator existed in the Electrical Infrastructure segment based on the recent history of depressed gross margins and the second quarter’s downward acceleration of revenue and gross margin. Accordingly, the Company performed an interim impairment test as of December 31, 2019, reflecting updated revenue and gross margin assumptions, and concluded that the reporting unit's $24.9 million of goodwill was fully impaired.</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in December 2019, the Company concluded that a goodwill impairment indicator existed for an Industrial segment reporting unit based on several second quarter events. These events included the deterioration of the relationship with a significant customer in the iron and steel industry in the second quarter. As a result, the customer canceled other previously awarded work and the Company is expecting little to no business from this customer in the foreseeable future. Accordingly, the Company performed an interim impairment test as of December 31, 2019 and concluded that the reporting unit's $8.0 million of goodwill was fully impaired. The remaining goodwill in the Industrial segment is related to a separate reporting unit that serves a broader customer base beyond iron and steel.</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for the impairments previously discussed, the Company did not note any other impairment indicators as of December 31, 2019. However, if our market view of project opportunities or gross margins deteriorates, then additional interim goodwill impairment tests will be performed, which could result in the recognition of additional impairments to goodwill.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enters into lease arrangements for real estate, construction equipment and information technology equipment in the normal course of business. The Company determines if an arrangement is or contains a lease at inception of the arrangement. An arrangement is determined to be a lease if it conveys the right to control the use of identified property and equipment for a period of time in exchange for consideration. Operating lease right-of-use assets are recognized as the present value of future lease payments over the lease term as of the commencement date, plus any lease payments made prior to commencement, and less any lease incentives received. Operating lease liabilities are recognized as the present value of the future lease payments over the lease term as of the commencement date. Operating lease expense is recognized based on the undiscounted future lease payments over the remaining lease term on a straight-line basis. Lease expense related to short-term leases is recognized on a straight-line basis over the lease term.</w:t>
      </w:r>
    </w:p>
    <w:p>
      <w:pPr>
        <w:spacing w:after="0" w:line="11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Determinations with respect to lease term (including any renewals and terminations), incremental borrowing rate used to discount lease payments, variable lease expense and future lease payments require the use of judgment based on the facts and circumstances related to each lease. The Company considers various factors, including economic incentives, intent, past history and business need, to determine the likelihood that a renewal option will be exercised.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amendments in this update broaden the information the Company may consider in developing its expected credit loss estimate to include forecasted information. The amendments in this update are effective for the Company on July 1, 2020.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consists of power delivery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other natural gas fired power stations.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upstream petroleum, and sulfur extraction, recovery and processing markets. Our services include plant maintenance, turnarounds, engineering and capital construction. We also offer industrial cleaning services, including hydro-blasting, hydro-excavating, advanced chemical cleaning and vacuum services.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Storage Solutions segment consists of work related to aboveground storage tanks ("AST") and terminals. Also included in this segment are cryogenic and other specialty storage tanks and terminals including liquefied natural gas, liquid nitrogen/liquid oxygen, liquid petroleum and other specialty vessels such as spheres as well as marine structures and truck and rail loading/offloading facilities. Our services include engineering, fabrication and construction, and maintenance and repair, which includes planned and emergency services for both tanks and full terminals. Finally, we offer AST products, including geodesic domes, aluminum internal floating roofs, floating suction and skimmer systems, roof drain systems and floating roof seals.</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Industrial segment consists of work for integrated iron and steel companies, major mining and minerals companies engaged primarily in the extraction of copper, as well as companies in other industries, including aerospace and defense, cement, and agriculture and grain. Our services include engineering, fabrication and construction, and maintenance and repair, which includes planned and emergency services. We also design instrumentation and control systems and offer specialized expertise in the design and construction of bulk material handling systems.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fiscal 2020, the Company recorded $38.5 million of impairments to goodwill and other intangible assets and a $2.4 million valuation allowance on a deferred tax asset that significantly impacted the provision for income taxes. The events and circumstances that led to these charges as well as an update to each of our segments' business is provided in the sections below. The following table presents our net income and earnings per fully diluted share after adjusting for these one-time non-cash items:</w:t>
      </w:r>
    </w:p>
    <w:p>
      <w:pPr>
        <w:spacing w:after="0" w:line="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Adjusted Net Income (Loss) and Diluted Earnings (Loss) per Common Share</w:t>
      </w:r>
      <w:r>
        <w:rPr>
          <w:rFonts w:ascii="Arial" w:cs="Arial" w:eastAsia="Arial" w:hAnsi="Arial"/>
          <w:sz w:val="25"/>
          <w:szCs w:val="25"/>
          <w:b w:val="1"/>
          <w:bCs w:val="1"/>
          <w:color w:val="auto"/>
          <w:vertAlign w:val="superscript"/>
        </w:rPr>
        <w:t>(1)</w:t>
      </w: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w w:val="99"/>
              </w:rPr>
              <w:t>December 31,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w w:val="99"/>
              </w:rPr>
              <w:t>December 31, 2019</w:t>
            </w: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Income Tax</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 of</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Income</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(Loss) Per</w:t>
            </w:r>
          </w:p>
        </w:tc>
        <w:tc>
          <w:tcPr>
            <w:tcW w:w="100" w:type="dxa"/>
            <w:vAlign w:val="bottom"/>
          </w:tcPr>
          <w:p>
            <w:pPr>
              <w:spacing w:after="0"/>
              <w:rPr>
                <w:sz w:val="12"/>
                <w:szCs w:val="12"/>
                <w:color w:val="auto"/>
              </w:rPr>
            </w:pP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Income</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(Loss) Per</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Effect of</w:t>
            </w: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Diluted</w:t>
            </w: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Diluted</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Charge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Charge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(Loss)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5"/>
              </w:rPr>
              <w:t>(Loss)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70"/>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and diluted loss per common share, as reported</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264"/>
        </w:trPr>
        <w:tc>
          <w:tcPr>
            <w:tcW w:w="5960" w:type="dxa"/>
            <w:vAlign w:val="bottom"/>
          </w:tcPr>
          <w:p>
            <w:pPr>
              <w:ind w:left="280"/>
              <w:spacing w:after="0"/>
              <w:rPr>
                <w:sz w:val="20"/>
                <w:szCs w:val="20"/>
                <w:color w:val="auto"/>
              </w:rPr>
            </w:pPr>
            <w:r>
              <w:rPr>
                <w:rFonts w:ascii="Arial" w:cs="Arial" w:eastAsia="Arial" w:hAnsi="Arial"/>
                <w:sz w:val="14"/>
                <w:szCs w:val="14"/>
                <w:color w:val="auto"/>
              </w:rPr>
              <w:t>Electrical Infrastructure segment goodwill impairment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24,900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(4,889)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20,011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0.74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20,011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Industrial segment goodwill and other intangible asset impairment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Valuation allowance placed on a deferred tax asset</w:t>
            </w: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2,417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net income and diluted earnings per common share</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5,232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0.19</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11,383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Weighted average common shares outstanding - diluted:</w:t>
            </w: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9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As reported</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26,930</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Previously anti-dilutive common shares</w:t>
            </w: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Adjusted weighted average common shares outstanding - diluted</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27,493</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left="540" w:hanging="316"/>
        <w:spacing w:after="0" w:line="247" w:lineRule="auto"/>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table presents non-GAAP financial measures of our adjusted net income and adjusted diluted earnings per common share for the three and six months ended December 31, 2019. The most directly comparable financial measures are net income (loss) and diluted earnings (loss) per common share, respectively, presented in the Condensed Consolidated Statements of Income. We have presented these financial measures because we believe they more clearly depict the core operating results of the Company during the periods presented and provide a more comparable measure of the Company's operating results to other companies considered to be in similar businesses. Since adjusted net income and adjusted diluted earnings per common share are not measures of performance calculated in accordance with GAAP, they should be considered in addition to, rather than as a substitute for,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975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3" w:lineRule="exact"/>
        <w:rPr>
          <w:sz w:val="20"/>
          <w:szCs w:val="20"/>
          <w:color w:val="auto"/>
        </w:rPr>
      </w:pPr>
    </w:p>
    <w:p>
      <w:pPr>
        <w:ind w:right="3760"/>
        <w:spacing w:after="0" w:line="440" w:lineRule="auto"/>
        <w:rPr>
          <w:sz w:val="20"/>
          <w:szCs w:val="20"/>
          <w:color w:val="auto"/>
        </w:rPr>
      </w:pPr>
      <w:r>
        <w:rPr>
          <w:rFonts w:ascii="Arial" w:cs="Arial" w:eastAsia="Arial" w:hAnsi="Arial"/>
          <w:sz w:val="18"/>
          <w:szCs w:val="18"/>
          <w:b w:val="1"/>
          <w:bCs w:val="1"/>
          <w:color w:val="auto"/>
        </w:rPr>
        <w:t xml:space="preserve">Three Months Ended December 31, 2019 Compared to the Three Months Ended December 31, 2018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revenue was $318.7 million for the three months ended December 31, 2019, compared to $340.6 million in the same period in the prior fiscal year. On a segment basis, revenue decreased for the Oil Gas &amp; Chemical and Electrical Infrastructure segments by $30.3 million and $28.1 million, respectively. These decreases were partially offset by increases in the Industrial and Storage Solutions segments of $19.5 million and $17.0 million, respectively.</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Consolidated gross profit increased to $30.0 million in the three months ended December 31, 2019 compared to $27.9 million in the same period in the prior fiscal year. Gross margin increased to 9.4% in the three months ended December 31, 2019 compared to 8.2% in the same period in the prior fiscal year. Fiscal 2020 gross margin was positively impacted by strong project execution in the Storage Solutions and Industrial segments. Gross margin in the Electrical Infrastructure segment was negatively impacted by poor execution, which included a charge on a transmission and distribution upgrade project. Gross margin in the Oil Gas &amp; Chemical segment was negatively impacted by lower volumes, which led to the under recovery of construction overhead costs.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Consolidated SG&amp;A expenses were $23.2 million in the three months ended December 31, 2019 compared to $22.4 million in the same period a year earlier.</w:t>
      </w:r>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recorded non-cash goodwill and other intangible asset impairments of $38.5 million during the three months ended December 31, 2019. See Item 1. Financial Statements, Note 4 - Intangible Assets Including Goodwill for more information about the impairments.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was $0.4 million in the three months ended December 31, 2019 compared to the same amount in the same period a year ago. Interest expense was the same as the prior fiscal year despite having a higher average debt balance in the current year because of lower interest rates in the current year. Interest income was $0.4 million in the three months ended December 31, 2019 compared to $0.3 million in the same period a year ago due to an increase in our average cash balance.</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effective tax rate for the three months ended December 31, 2019 was 10.5%, compared to 27.4% for the same period a year ago. We previously expected our fiscal 2020 effective tax rate to be approximately 27.0%. The effective tax rate in fiscal 2020 was negatively impacted by a $2.4 million valuation allowance placed on a deferred tax asset that was created by net operating loss carryforwards and other tax credits in Canada. The charge was the result of the second quarter cancellation of a Canadian iron and steel project that significantly impacted the fiscal 2020 financial forecast. Additionally, the effective tax rate in fiscal 2020 was negatively impacted by the non-deductible portion of the goodwill impairments. We expect the effective tax rate to be approximately 28.0% for the remainder of the fiscal year. The fiscal 2019 effective tax rate was in line with our expected effective tax rate.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December 31, 2019, we had a net loss was $28.0 million, or $1.04 per fully diluted share, compared to net income of $3.9 million, or $0.14 per fully diluted share, in the three months ended December 31,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Electrical Infrastructure was $30.0 million in the three months ended December 31, 2019 compared to $58.2 million in the same period a year earlier. The decrease is primarily due to lower volumes of power delivery and power generation package work. The segment gross margin (loss) was (9.6)% in fiscal 2020 and 6.1% in fiscal 2019. The fiscal 2020 segment gross loss was negatively impacted by poor execution, which included a charge on a transmission and distribution upgrade project. Fiscal 2019 segment gross margin was negatively impacted by lower than previously forecasted margins on a limited number of projects.</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recorded a goodwill impairment of $24.9 million in this segment in the second quarter of 2020. The impairment of the goodwill was due to the financial performance of portions of the power delivery business that led to the recent history of depressed gross margins, which accelerated during the second quarter. The Company is implementing significant changes to the operations and management of the business, including changes to leadership, modifications to operational processes, changes to mid-level operational personnel, and increased business development resources. The Company believes that these changes will result in revenue growth and margin improvement although the timing of financial improvement is dependent upon the effectiveness and execution of the improvement plan, the markets we serve, the spending volumes of our existing clients and other external factors.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Oil Gas &amp; Chemical segment was $56.0 million in the three months ended December 31, 2019 compared to $86.3 million in the same period a year earlier. The decrease of $30.3 million is primarily due to lower volumes of turnaround work. The segment gross margin was 7.5% for the three months ended December 31, 2019 compared to 10.6% in the same period last year. The fiscal 2020 segment gross margin was negatively impacted by lower volumes, which led to the under recovery of construction overhead costs.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outlook for this segment’s revenue and margin is expected to improve in the second half of the fiscal year, with increased levels of capital work in new and retrofit process infrastructure as well as engineering led projects in the mid-stream natural gas industry.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for the Storage Solutions segment was $142.8 million in the three months ended December 31, 2019 compared to $125.7 million in the same period a year earlier. The increase in segment revenue is primarily a result of increased tank and terminal construction work and higher levels of capital work in Canada. The segment gross margin was 13.9% in the three months ended December 31, 2019 compared to 8.9% in the three months ended December 31, 2018. The fiscal 2020 segment gross margin was positively impacted by strong project execution on large capital projects. The fiscal 2019 segment gross margins were negatively impacted by the wind down of lower margin work awarded in a highly competitive environment in prior periods.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Subsequent to the end of the quarter the Company announced that it has been selected by Eagle LNG Partners LLC for the engineering, procurement, fabrication and construction of a LNG export facility to be built in Jacksonville, Florida. This project, which is expected to commence in 2020 is not reflected in the Company’s backlog as of December 31, 2019. The opportunity pipeline remains strong for crude, LNG and NGL storage and export terminal construction along the Gulf Coast. Additionally, the Company is seeing increased opportunities in the Upper Midwest and Mid-Atlantic regions of the United States and in Canada.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Industrial segment increased $19.5 million to $89.9 million in the three months ended December 31, 2019 compared to $70.4 million in the same period a year earlier. The increase in revenue is primarily attributable to higher volumes of iron and steel work, including spending on a capital project on which we received mechanical completion and demobilized in the second quarter. The segment gross margin was 9.9% in the three months ended December 31, 2019 compared to 5.7% in the same period a year earlier. The fiscal 2020 segment gross margin was positively impacted by good project execution on both capital and repair and maintenance projects. The fiscal 2019 segment gross margin was negatively impacted by a lower than previously forecasted margin on a thermal vacuum chamber project.</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goodwill and other intangible asset impairments of $13.6 million in the segment in the second quarter of fiscal 2020. The impairments were due to a significant deterioration in the outlook of the segment based on the following:</w:t>
      </w:r>
    </w:p>
    <w:p>
      <w:pPr>
        <w:spacing w:after="0" w:line="11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and trade issues impacting the spending of the nation's integrated iron and steel producers;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deterioration of the relationship with a key iron and steel customer that, directly and through a joint venture, represents almost 70% of the current year Industrial segment revenue;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issues noted above resulted in the cancellation of previously awarded projects in the U.S. and Canada.</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decided that it will reduce its focus on the iron and steel industry due to various factors, including those noted above as well as the low margin profile of the business, high working capital requirements and its cyclical nature. Accordingly, the Company expects a significant reduction in business volumes for this segment in the second half of the fiscal year. The Company is currently assessing alternatives regarding the disposition of the remainder of the business.</w:t>
      </w:r>
    </w:p>
    <w:p>
      <w:pPr>
        <w:spacing w:after="0" w:line="183" w:lineRule="exact"/>
        <w:rPr>
          <w:sz w:val="20"/>
          <w:szCs w:val="20"/>
          <w:color w:val="auto"/>
        </w:rPr>
      </w:pPr>
    </w:p>
    <w:p>
      <w:pPr>
        <w:ind w:right="4200"/>
        <w:spacing w:after="0" w:line="440" w:lineRule="auto"/>
        <w:rPr>
          <w:sz w:val="20"/>
          <w:szCs w:val="20"/>
          <w:color w:val="auto"/>
        </w:rPr>
      </w:pPr>
      <w:r>
        <w:rPr>
          <w:rFonts w:ascii="Arial" w:cs="Arial" w:eastAsia="Arial" w:hAnsi="Arial"/>
          <w:sz w:val="18"/>
          <w:szCs w:val="18"/>
          <w:b w:val="1"/>
          <w:bCs w:val="1"/>
          <w:color w:val="auto"/>
        </w:rPr>
        <w:t xml:space="preserve">Six Months Ended December 31, 2019 Compared to the Six Months Ended December 31, 2018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Consolidated revenue was $656.8 million for the six months ended December 31, 2019, compared to $659.1 million in the same period in the prior fiscal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a segment basis, revenue decreased in the Oil Gas &amp; Chemical and Electrical Infrastructure segments by $48.3 million and $41.3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These decreases were partially offset by increases in the Storage Solutions and Industrial segments of $54.4 million and $32.9 million, respectively.</w:t>
      </w:r>
    </w:p>
    <w:p>
      <w:pPr>
        <w:spacing w:after="0" w:line="16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Consolidated gross profit increased to $62.5 million in the six months ended December 31, 2019 compared to $51.3 million in the same period in the prior fiscal year. Gross margin increased to 9.5% in the six months ended December 31, 2019 compared to 7.8% in the same period in the prior fiscal year. Fiscal 2020 gross margin was positively impacted by strong project execution in the Storage Solutions and Industrial segments. Gross margin in the Electrical Infrastructure segment was negatively impacted by poor execution, which included a charge on a transmission and distribution upgrade project. Gross margin in the Oil Gas &amp; Chemical segment was negatively impacted by lower volumes, which led to the under recovery of construction overhead costs.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Consolidated SG&amp;A expenses were $46.9 million in the six months ended December 31, 2019 compared to $43.6 million in the same period a year earlier.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due to investments to support the business and bad debt charges.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non-cash goodwill and other intangible asset impairments of $38.5 million during the six months ended December 31, 2019. See Item 1. Financial Statements, Note 4 - Intangible Assets Including Goodwill for more information about the impairments.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was $0.8 million in the three months ended December 31, 2019 compared to $0.7 million in the same period a year ago. The increase was due to a higher average debt balance during the six months ended December 31, 2019, partially offset by lower interest rates in the current year. Interest income was $0.9 million in the six months ended December 31, 2019 compared to $0.6 million in the same period a year ago due to an increase in our average cash balance.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effective tax rate for the six months ended December 31, 2019 was 2.6%, compared to 23.7% for the same period a year ago. We previously expected our fiscal 2020 effective tax rate to be approximately 27.0%. The effective tax rate in fiscal 2020 was negatively impacted by a $2.4 million valuation allowance placed on a deferred tax asset that was created by net operating loss carryforwards and other tax credits in Canada. The charge was the result of the second quarter cancellation of a Canadian iron and steel project that significantly impacted the fiscal 2020 financial forecast. Additionally, the effective tax rate in fiscal 2020 was negatively impacted by the non-deductible portion of the goodwill impairments. We expect the effective tax rate to be approximately 28.0% for the remainder of the fiscal year. The effective tax rate for the six months ended December 31, 2018 was positively impacted by $0.3 million of excess tax benefits related to the vesting of stock-based compensation.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December 31, 2019, we had a net loss of $21.9 million, or $0.81 per fully diluted share, compared to net income of $6.2 million, or $0.23 per fully diluted share in the six months ended December 31,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Electrical Infrastructure segment decreased $41.3 million to $61.6 million in the six months ended December 31, 2019 compared to $102.9 million in the same period a year earlier. The decrease is primarily due to lower volumes of power delivery and power generation package work. The segment gross margin (loss) was (4.5)% in fiscal 2020 and 6.8% in fiscal 2019. The fiscal 2020 segment gross loss was negatively impacted by poor execution, which included a charge on a transmission and distribution upgrade project. Fiscal 2019 segment gross margin was negatively impacted by lower than previously forecasted margins on a limited number of projects.</w:t>
      </w:r>
    </w:p>
    <w:p>
      <w:pPr>
        <w:spacing w:after="0" w:line="134" w:lineRule="exact"/>
        <w:rPr>
          <w:sz w:val="20"/>
          <w:szCs w:val="20"/>
          <w:color w:val="auto"/>
        </w:rPr>
      </w:pPr>
    </w:p>
    <w:p>
      <w:pPr>
        <w:ind w:right="1800"/>
        <w:spacing w:after="0" w:line="438" w:lineRule="auto"/>
        <w:rPr>
          <w:sz w:val="20"/>
          <w:szCs w:val="20"/>
          <w:color w:val="auto"/>
        </w:rPr>
      </w:pPr>
      <w:r>
        <w:rPr>
          <w:rFonts w:ascii="Arial" w:cs="Arial" w:eastAsia="Arial" w:hAnsi="Arial"/>
          <w:sz w:val="18"/>
          <w:szCs w:val="18"/>
          <w:color w:val="auto"/>
        </w:rPr>
        <w:t xml:space="preserve">See the three months ended December 31, 2019 Electrical Infrastructure discussion above for information about the segment outlook. </w:t>
      </w:r>
      <w:r>
        <w:rPr>
          <w:rFonts w:ascii="Arial" w:cs="Arial" w:eastAsia="Arial" w:hAnsi="Arial"/>
          <w:sz w:val="18"/>
          <w:szCs w:val="18"/>
          <w:b w:val="1"/>
          <w:bCs w:val="1"/>
          <w:i w:val="1"/>
          <w:iCs w:val="1"/>
          <w:color w:val="auto"/>
        </w:rPr>
        <w:t>Oil Gas &amp; Chemical</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Oil Gas &amp; Chemical segment was $113.5 million in the six months ended December 31, 2019 compared to $161.8 million in the same period a year earlier. The decrease of $48.3 million is primarily due to lower volumes of turnaround work. The segment gross margin was 6.9% for the six months ended December 31, 2019 compared to 9.1% in the same period last year. The fiscal 2020 segment gross margin was negatively impacted by a lower than previously expected margin on a capital project due to purchased equipment that was found to be under performing during start-up and commissioning. In addition, lower volumes led to the under recovery of construction overhead costs.</w:t>
      </w:r>
    </w:p>
    <w:p>
      <w:pPr>
        <w:spacing w:after="0" w:line="134" w:lineRule="exact"/>
        <w:rPr>
          <w:sz w:val="20"/>
          <w:szCs w:val="20"/>
          <w:color w:val="auto"/>
        </w:rPr>
      </w:pPr>
    </w:p>
    <w:p>
      <w:pPr>
        <w:ind w:right="2040"/>
        <w:spacing w:after="0" w:line="438" w:lineRule="auto"/>
        <w:rPr>
          <w:sz w:val="20"/>
          <w:szCs w:val="20"/>
          <w:color w:val="auto"/>
        </w:rPr>
      </w:pPr>
      <w:r>
        <w:rPr>
          <w:rFonts w:ascii="Arial" w:cs="Arial" w:eastAsia="Arial" w:hAnsi="Arial"/>
          <w:sz w:val="18"/>
          <w:szCs w:val="18"/>
          <w:color w:val="auto"/>
        </w:rPr>
        <w:t xml:space="preserve">See the three months ended December 31, 2019 Oil Gas &amp; Chemical discussion above for information about the segment outlook. </w:t>
      </w:r>
      <w:r>
        <w:rPr>
          <w:rFonts w:ascii="Arial" w:cs="Arial" w:eastAsia="Arial" w:hAnsi="Arial"/>
          <w:sz w:val="18"/>
          <w:szCs w:val="18"/>
          <w:b w:val="1"/>
          <w:bCs w:val="1"/>
          <w:i w:val="1"/>
          <w:iCs w:val="1"/>
          <w:color w:val="auto"/>
        </w:rPr>
        <w:t>Storage Solutions</w:t>
      </w:r>
    </w:p>
    <w:p>
      <w:pPr>
        <w:spacing w:after="0" w:line="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for the Storage Solutions segment was $292.8 million in the six months ended December 31, 2019 compared to $238.5 million in the same period a year earlier. The increase in segment revenue is primarily a result of increased tank and terminal construction work and higher levels of capital work in Canada. The segment gross margin was 13.9% in the six months ended December 31, 2019 and 8.7% in the six months ended December 31, 2018. The fiscal 2020 segment gross margin was positively impacted by strong project execution on large capital projects. The fiscal 2019 segment gross margin was negatively impacted by the completion of projects awarded at lower margins and lower than previously forecasted margins on a limited number of projects.</w:t>
      </w:r>
    </w:p>
    <w:p>
      <w:pPr>
        <w:spacing w:after="0" w:line="104" w:lineRule="exact"/>
        <w:rPr>
          <w:sz w:val="20"/>
          <w:szCs w:val="20"/>
          <w:color w:val="auto"/>
        </w:rPr>
      </w:pPr>
    </w:p>
    <w:p>
      <w:pPr>
        <w:ind w:right="2240"/>
        <w:spacing w:after="0" w:line="438" w:lineRule="auto"/>
        <w:rPr>
          <w:sz w:val="20"/>
          <w:szCs w:val="20"/>
          <w:color w:val="auto"/>
        </w:rPr>
      </w:pPr>
      <w:r>
        <w:rPr>
          <w:rFonts w:ascii="Arial" w:cs="Arial" w:eastAsia="Arial" w:hAnsi="Arial"/>
          <w:sz w:val="18"/>
          <w:szCs w:val="18"/>
          <w:color w:val="auto"/>
        </w:rPr>
        <w:t xml:space="preserve">See the three months ended December 31, 2019 Storage Solutions discussion above for information about the segment outlook. </w:t>
      </w:r>
      <w:r>
        <w:rPr>
          <w:rFonts w:ascii="Arial" w:cs="Arial" w:eastAsia="Arial" w:hAnsi="Arial"/>
          <w:sz w:val="18"/>
          <w:szCs w:val="18"/>
          <w:b w:val="1"/>
          <w:bCs w:val="1"/>
          <w:i w:val="1"/>
          <w:iCs w:val="1"/>
          <w:color w:val="auto"/>
        </w:rPr>
        <w:t>Industrial</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Industrial segment was $188.9 million in the six months ended December 31, 2019 compared to $155.9 million in the same period a year earlier. The increase in revenue is primarily attributable to higher volumes of iron and steel capital work, including spending on a capital project on which we received mechanical completion and demobilized in the second quarter. This increase was partially offset by reduced volumes of iron and steel maintenance spending and lower volumes of thermal vacuum chamber work. The segment gross margin was 8.8% in the six months ended December 31, 2019 compared to 5.7% in the same period a year earlier. The fiscal 2020 segment gross margin was positively impacted by good project execution on both capital and repair and maintenance projects. The fiscal 2019 segment gross margin was negatively impacted by a lower than previously forecasted margin on a thermal vacuum chamber project.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See the three months ended December 31, 2019 Industrial discussion above for information about the segment outlook.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limited notice to proceed or other type of assurance that we consider firm. The following arrangements are considered firm:</w:t>
      </w:r>
    </w:p>
    <w:p>
      <w:pPr>
        <w:spacing w:after="0" w:line="147"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long-term maintenance contracts with no minimum commitments and other established customer agreements, we include only the amounts that we expect to recognize as revenue over the next 12 months. For arrangements in which we have received a limited notice to proceed, we include the entire scope of work in our backlog if we conclude that the likelihood of the full project proceeding is high. For all other arrangements, we calculate backlog as the estimated contract amount less revenues recognized as of the reporting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September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72,663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168,193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634,695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206,389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1,081,940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12,796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44,449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111,678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28,359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197,282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Project cancellations</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 recognized</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(55,992)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(142,769)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(89,886)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(318,677)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December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55,429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156,650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603,604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56,552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872,235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00" w:type="dxa"/>
            <w:vAlign w:val="bottom"/>
          </w:tcPr>
          <w:p>
            <w:pPr>
              <w:ind w:left="40"/>
              <w:spacing w:after="0"/>
              <w:rPr>
                <w:sz w:val="20"/>
                <w:szCs w:val="20"/>
                <w:color w:val="auto"/>
              </w:rPr>
            </w:pPr>
            <w:r>
              <w:rPr>
                <w:rFonts w:ascii="Arial" w:cs="Arial" w:eastAsia="Arial" w:hAnsi="Arial"/>
                <w:sz w:val="18"/>
                <w:szCs w:val="18"/>
                <w:color w:val="auto"/>
              </w:rPr>
              <w:t>Book-to-bill ratio</w:t>
            </w:r>
            <w:r>
              <w:rPr>
                <w:rFonts w:ascii="Arial" w:cs="Arial" w:eastAsia="Arial" w:hAnsi="Arial"/>
                <w:sz w:val="25"/>
                <w:szCs w:val="25"/>
                <w:color w:val="auto"/>
                <w:vertAlign w:val="superscript"/>
              </w:rPr>
              <w:t>(2)</w:t>
            </w:r>
          </w:p>
        </w:tc>
        <w:tc>
          <w:tcPr>
            <w:tcW w:w="14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20" w:hanging="316"/>
        <w:spacing w:after="0" w:line="250"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Primarily related to the deterioration of our relationship with a key customer in the iron and steel industry and the subsequent cancellations of work and the cancellation of a coke battery project in Canada. See Business Update section included in this Results of Operations for additional information.</w:t>
      </w: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200" w:lineRule="exact"/>
        <w:rPr>
          <w:rFonts w:ascii="Arial" w:cs="Arial" w:eastAsia="Arial" w:hAnsi="Arial"/>
          <w:sz w:val="14"/>
          <w:szCs w:val="14"/>
          <w:color w:val="auto"/>
        </w:rPr>
      </w:pPr>
    </w:p>
    <w:p>
      <w:pPr>
        <w:spacing w:after="0" w:line="225" w:lineRule="exact"/>
        <w:rPr>
          <w:rFonts w:ascii="Arial" w:cs="Arial" w:eastAsia="Arial" w:hAnsi="Arial"/>
          <w:sz w:val="14"/>
          <w:szCs w:val="14"/>
          <w:color w:val="auto"/>
        </w:rPr>
      </w:pPr>
    </w:p>
    <w:p>
      <w:pPr>
        <w:ind w:left="5640" w:hanging="98"/>
        <w:spacing w:after="0"/>
        <w:tabs>
          <w:tab w:leader="none" w:pos="5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-713740</wp:posOffset>
            </wp:positionV>
            <wp:extent cx="7975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six months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June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73,883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134,563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641,295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248,608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1,098,349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43,108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135,609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255,145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85,108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518,970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Project cancellations</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 recognized</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(61,562)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(113,522)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(292,836)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(188,854)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(656,774)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December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55,429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156,650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603,604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56,552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872,235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00" w:type="dxa"/>
            <w:vAlign w:val="bottom"/>
          </w:tcPr>
          <w:p>
            <w:pPr>
              <w:ind w:left="40"/>
              <w:spacing w:after="0"/>
              <w:rPr>
                <w:sz w:val="20"/>
                <w:szCs w:val="20"/>
                <w:color w:val="auto"/>
              </w:rPr>
            </w:pPr>
            <w:r>
              <w:rPr>
                <w:rFonts w:ascii="Arial" w:cs="Arial" w:eastAsia="Arial" w:hAnsi="Arial"/>
                <w:sz w:val="18"/>
                <w:szCs w:val="18"/>
                <w:color w:val="auto"/>
              </w:rPr>
              <w:t>Book-to-bill ratio</w:t>
            </w:r>
            <w:r>
              <w:rPr>
                <w:rFonts w:ascii="Arial" w:cs="Arial" w:eastAsia="Arial" w:hAnsi="Arial"/>
                <w:sz w:val="25"/>
                <w:szCs w:val="25"/>
                <w:color w:val="auto"/>
                <w:vertAlign w:val="superscript"/>
              </w:rPr>
              <w:t>(2)</w:t>
            </w:r>
          </w:p>
        </w:tc>
        <w:tc>
          <w:tcPr>
            <w:tcW w:w="14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20" w:hanging="316"/>
        <w:spacing w:after="0" w:line="250" w:lineRule="auto"/>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Primarily related to the deterioration of our relationship with a key customer in the iron and steel industry and the subsequent cancellations of work and the cancellation of a coke battery project in Canada. See Business Update section included in this Results of Operations for additional information.</w:t>
      </w: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804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3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 level of awards presented above only represents an interim period and may not be indicative of full year awards.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factors impacting operating results in all segments come from decreased work volumes during holidays,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presented Adjusted EBITDA, which we define as net income (loss) before impairment of goodwill and other intangible assets, interest expense, income taxes, depreciation and amortization, because it is used by the financial community as a method of measuring our performance and of evaluating the market value of companies considered to be in similar businesses. We believe that the line item on our Consolidated Statements of Income entitled “Net income (loss)”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income (loss), the most directly comparable GAAP financial measure, users of this financial information should consider the type of events and transactions that are excluded. Our non-GAAP performance measure, Adjusted EBITDA, has certain material limitations as follows: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80" w:right="340" w:hanging="324"/>
        <w:spacing w:after="0" w:line="259"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does not include impairments to goodwill and other intangible assets. While impairments to intangible assets are non-cash expenses in the period recognized, cash or other consideration was still transferred in exchange for intangible assets in the period of the acquisition. Any measure that excludes impairments to intangible assets has material limitations since these expenses represent the loss of an asset that was acquired in exchange for cash or other assets.</w:t>
      </w:r>
    </w:p>
    <w:p>
      <w:pPr>
        <w:spacing w:after="0" w:line="186" w:lineRule="exact"/>
        <w:rPr>
          <w:rFonts w:ascii="Arial" w:cs="Arial" w:eastAsia="Arial" w:hAnsi="Arial"/>
          <w:sz w:val="18"/>
          <w:szCs w:val="18"/>
          <w:color w:val="auto"/>
        </w:rPr>
      </w:pPr>
    </w:p>
    <w:p>
      <w:pPr>
        <w:ind w:left="980" w:right="240" w:hanging="324"/>
        <w:spacing w:after="0" w:line="312"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46" w:lineRule="exact"/>
        <w:rPr>
          <w:rFonts w:ascii="Arial" w:cs="Arial" w:eastAsia="Arial" w:hAnsi="Arial"/>
          <w:sz w:val="16"/>
          <w:szCs w:val="16"/>
          <w:color w:val="auto"/>
        </w:rPr>
      </w:pPr>
    </w:p>
    <w:p>
      <w:pPr>
        <w:ind w:left="980" w:right="4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net income (loss)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4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196"/>
        </w:trPr>
        <w:tc>
          <w:tcPr>
            <w:tcW w:w="45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6,237</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Goodwill and other intangible asset impairment</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38,515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38,515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653</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1,937</w:t>
            </w:r>
          </w:p>
        </w:tc>
      </w:tr>
      <w:tr>
        <w:trPr>
          <w:trHeight w:val="27"/>
        </w:trPr>
        <w:tc>
          <w:tcPr>
            <w:tcW w:w="4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9,126</w:t>
            </w:r>
          </w:p>
        </w:tc>
      </w:tr>
      <w:tr>
        <w:trPr>
          <w:trHeight w:val="257"/>
        </w:trPr>
        <w:tc>
          <w:tcPr>
            <w:tcW w:w="450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1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12,572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10,362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26,602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17,953</w:t>
            </w:r>
          </w:p>
        </w:tc>
      </w:tr>
      <w:tr>
        <w:trPr>
          <w:trHeight w:val="20"/>
        </w:trPr>
        <w:tc>
          <w:tcPr>
            <w:tcW w:w="4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35"/>
        </w:trPr>
        <w:tc>
          <w:tcPr>
            <w:tcW w:w="4500" w:type="dxa"/>
            <w:vAlign w:val="bottom"/>
          </w:tcPr>
          <w:p>
            <w:pPr>
              <w:spacing w:after="0"/>
              <w:rPr>
                <w:sz w:val="24"/>
                <w:szCs w:val="24"/>
                <w:color w:val="auto"/>
              </w:rPr>
            </w:pPr>
          </w:p>
        </w:tc>
        <w:tc>
          <w:tcPr>
            <w:tcW w:w="2500" w:type="dxa"/>
            <w:vAlign w:val="bottom"/>
            <w:gridSpan w:val="3"/>
          </w:tcPr>
          <w:p>
            <w:pPr>
              <w:jc w:val="right"/>
              <w:ind w:right="1036"/>
              <w:spacing w:after="0"/>
              <w:rPr>
                <w:sz w:val="20"/>
                <w:szCs w:val="20"/>
                <w:color w:val="auto"/>
              </w:rPr>
            </w:pPr>
            <w:r>
              <w:rPr>
                <w:rFonts w:ascii="Arial" w:cs="Arial" w:eastAsia="Arial" w:hAnsi="Arial"/>
                <w:sz w:val="18"/>
                <w:szCs w:val="18"/>
                <w:color w:val="auto"/>
              </w:rPr>
              <w:t>- 33-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define liquidity as the ongoing ability to pay our liabilities as they become due, fund business operations and meet all monetary contractual obligations. Our primary sources of liquidity as of December 31, 2019 were cash and cash equivalents on hand, capacity under our senior secured revolving credit facility and cash and cash equivalents generated from operations before consideration of changes in working capital. Cash and cash equivalents on hand at December 31, 2019 totaled $110.5 million and availability under the senior secured revolving credit facility totaled $166.0 million resulting in available liquidity of $276.5 million as of December 31, 2019. The Company's liquidity continues to be adequate to support its short-term needs and long-term strategic growth plans.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liquidity for the three months ended December 31, 2019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Liquidity as of September 30, 2019</w:t>
            </w:r>
          </w:p>
        </w:tc>
        <w:tc>
          <w:tcPr>
            <w:tcW w:w="8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308,309</w:t>
            </w:r>
          </w:p>
        </w:tc>
      </w:tr>
      <w:tr>
        <w:trPr>
          <w:trHeight w:val="243"/>
        </w:trPr>
        <w:tc>
          <w:tcPr>
            <w:tcW w:w="9160" w:type="dxa"/>
            <w:vAlign w:val="bottom"/>
            <w:gridSpan w:val="2"/>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8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(29,394)</w:t>
            </w:r>
          </w:p>
        </w:tc>
      </w:tr>
      <w:tr>
        <w:trPr>
          <w:trHeight w:val="27"/>
        </w:trPr>
        <w:tc>
          <w:tcPr>
            <w:tcW w:w="9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 in credit facility capacity constraint</w:t>
            </w: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6,630</w:t>
            </w:r>
          </w:p>
        </w:tc>
      </w:tr>
      <w:tr>
        <w:trPr>
          <w:trHeight w:val="243"/>
        </w:trPr>
        <w:tc>
          <w:tcPr>
            <w:tcW w:w="9160" w:type="dxa"/>
            <w:vAlign w:val="bottom"/>
            <w:gridSpan w:val="2"/>
          </w:tcPr>
          <w:p>
            <w:pPr>
              <w:ind w:left="40"/>
              <w:spacing w:after="0"/>
              <w:rPr>
                <w:sz w:val="20"/>
                <w:szCs w:val="20"/>
                <w:color w:val="auto"/>
              </w:rPr>
            </w:pPr>
            <w:r>
              <w:rPr>
                <w:rFonts w:ascii="Arial" w:cs="Arial" w:eastAsia="Arial" w:hAnsi="Arial"/>
                <w:sz w:val="18"/>
                <w:szCs w:val="18"/>
                <w:color w:val="auto"/>
              </w:rPr>
              <w:t>Increase in net borrowings on credit facility</w:t>
            </w:r>
          </w:p>
        </w:tc>
        <w:tc>
          <w:tcPr>
            <w:tcW w:w="8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(3,157)</w:t>
            </w:r>
          </w:p>
        </w:tc>
      </w:tr>
      <w:tr>
        <w:trPr>
          <w:trHeight w:val="27"/>
        </w:trPr>
        <w:tc>
          <w:tcPr>
            <w:tcW w:w="9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in letters of credit outstanding</w:t>
            </w: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(5,596)</w:t>
            </w:r>
          </w:p>
        </w:tc>
      </w:tr>
      <w:tr>
        <w:trPr>
          <w:trHeight w:val="243"/>
        </w:trPr>
        <w:tc>
          <w:tcPr>
            <w:tcW w:w="916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of outstanding borrowings</w:t>
            </w:r>
          </w:p>
        </w:tc>
        <w:tc>
          <w:tcPr>
            <w:tcW w:w="8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
        </w:trPr>
        <w:tc>
          <w:tcPr>
            <w:tcW w:w="9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Liquidity as of December 31, 2019</w:t>
            </w:r>
          </w:p>
        </w:tc>
        <w:tc>
          <w:tcPr>
            <w:tcW w:w="8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276,498</w:t>
            </w:r>
          </w:p>
        </w:tc>
      </w:tr>
      <w:tr>
        <w:trPr>
          <w:trHeight w:val="20"/>
        </w:trPr>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65"/>
        </w:trPr>
        <w:tc>
          <w:tcPr>
            <w:tcW w:w="10000" w:type="dxa"/>
            <w:vAlign w:val="bottom"/>
            <w:gridSpan w:val="3"/>
          </w:tcPr>
          <w:p>
            <w:pPr>
              <w:spacing w:after="0"/>
              <w:rPr>
                <w:sz w:val="20"/>
                <w:szCs w:val="20"/>
                <w:color w:val="auto"/>
              </w:rPr>
            </w:pPr>
            <w:r>
              <w:rPr>
                <w:rFonts w:ascii="Arial" w:cs="Arial" w:eastAsia="Arial" w:hAnsi="Arial"/>
                <w:sz w:val="18"/>
                <w:szCs w:val="18"/>
                <w:color w:val="auto"/>
                <w:w w:val="98"/>
              </w:rPr>
              <w:t>The following table provides a summary of changes in our liquidity for the six months ended December 31, 2019 (in thousands):</w:t>
            </w:r>
          </w:p>
        </w:tc>
        <w:tc>
          <w:tcPr>
            <w:tcW w:w="1420" w:type="dxa"/>
            <w:vAlign w:val="bottom"/>
          </w:tcPr>
          <w:p>
            <w:pPr>
              <w:spacing w:after="0"/>
              <w:rPr>
                <w:sz w:val="24"/>
                <w:szCs w:val="24"/>
                <w:color w:val="auto"/>
              </w:rPr>
            </w:pPr>
          </w:p>
        </w:tc>
      </w:tr>
      <w:tr>
        <w:trPr>
          <w:trHeight w:val="135"/>
        </w:trPr>
        <w:tc>
          <w:tcPr>
            <w:tcW w:w="9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5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Liquidity as of June 30, 2019</w:t>
            </w: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241,898</w:t>
            </w:r>
          </w:p>
        </w:tc>
      </w:tr>
      <w:tr>
        <w:trPr>
          <w:trHeight w:val="243"/>
        </w:trPr>
        <w:tc>
          <w:tcPr>
            <w:tcW w:w="9160" w:type="dxa"/>
            <w:vAlign w:val="bottom"/>
            <w:gridSpan w:val="2"/>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20,780</w:t>
            </w:r>
          </w:p>
        </w:tc>
      </w:tr>
      <w:tr>
        <w:trPr>
          <w:trHeight w:val="27"/>
        </w:trPr>
        <w:tc>
          <w:tcPr>
            <w:tcW w:w="9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 in credit facility capacity constraint</w:t>
            </w: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28,779</w:t>
            </w:r>
          </w:p>
        </w:tc>
      </w:tr>
      <w:tr>
        <w:trPr>
          <w:trHeight w:val="243"/>
        </w:trPr>
        <w:tc>
          <w:tcPr>
            <w:tcW w:w="9160" w:type="dxa"/>
            <w:vAlign w:val="bottom"/>
            <w:gridSpan w:val="2"/>
          </w:tcPr>
          <w:p>
            <w:pPr>
              <w:ind w:left="40"/>
              <w:spacing w:after="0"/>
              <w:rPr>
                <w:sz w:val="20"/>
                <w:szCs w:val="20"/>
                <w:color w:val="auto"/>
              </w:rPr>
            </w:pPr>
            <w:r>
              <w:rPr>
                <w:rFonts w:ascii="Arial" w:cs="Arial" w:eastAsia="Arial" w:hAnsi="Arial"/>
                <w:sz w:val="18"/>
                <w:szCs w:val="18"/>
                <w:color w:val="auto"/>
              </w:rPr>
              <w:t>Increase in net borrowings on credit facility</w:t>
            </w:r>
          </w:p>
        </w:tc>
        <w:tc>
          <w:tcPr>
            <w:tcW w:w="8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(9,269)</w:t>
            </w:r>
          </w:p>
        </w:tc>
      </w:tr>
      <w:tr>
        <w:trPr>
          <w:trHeight w:val="27"/>
        </w:trPr>
        <w:tc>
          <w:tcPr>
            <w:tcW w:w="9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in letters of credit outstanding</w:t>
            </w: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(5,489)</w:t>
            </w:r>
          </w:p>
        </w:tc>
      </w:tr>
      <w:tr>
        <w:trPr>
          <w:trHeight w:val="243"/>
        </w:trPr>
        <w:tc>
          <w:tcPr>
            <w:tcW w:w="916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of outstanding borrowings</w:t>
            </w:r>
          </w:p>
        </w:tc>
        <w:tc>
          <w:tcPr>
            <w:tcW w:w="8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9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Liquidity as of December 31, 2019</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276,498</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detailed discussion of our credit agreement is provided under the caption "Senior Secured Revolving Credit Facility" included in the Liquidity and Capital Resources section of this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171" w:lineRule="exact"/>
        <w:rPr>
          <w:sz w:val="20"/>
          <w:szCs w:val="20"/>
          <w:color w:val="auto"/>
        </w:rPr>
      </w:pPr>
    </w:p>
    <w:p>
      <w:pPr>
        <w:ind w:left="980" w:right="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0" w:lineRule="exact"/>
        <w:rPr>
          <w:rFonts w:ascii="Arial" w:cs="Arial" w:eastAsia="Arial" w:hAnsi="Arial"/>
          <w:sz w:val="18"/>
          <w:szCs w:val="18"/>
          <w:color w:val="auto"/>
        </w:rPr>
      </w:pPr>
    </w:p>
    <w:p>
      <w:pPr>
        <w:ind w:left="1620" w:right="960" w:hanging="315"/>
        <w:spacing w:after="0" w:line="277"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70" w:lineRule="exact"/>
        <w:rPr>
          <w:rFonts w:ascii="Arial" w:cs="Arial" w:eastAsia="Arial" w:hAnsi="Arial"/>
          <w:sz w:val="18"/>
          <w:szCs w:val="18"/>
          <w:color w:val="auto"/>
        </w:rPr>
      </w:pPr>
    </w:p>
    <w:p>
      <w:pPr>
        <w:ind w:left="1620" w:right="300" w:hanging="315"/>
        <w:spacing w:after="0" w:line="277"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Some fixed price customer contracts allow for significant upfront billings at the beginning of a project, which temporarily increases liquidity near term.</w:t>
      </w:r>
    </w:p>
    <w:p>
      <w:pPr>
        <w:spacing w:after="0" w:line="170" w:lineRule="exact"/>
        <w:rPr>
          <w:rFonts w:ascii="Arial" w:cs="Arial" w:eastAsia="Arial" w:hAnsi="Arial"/>
          <w:sz w:val="18"/>
          <w:szCs w:val="18"/>
          <w:color w:val="auto"/>
        </w:rPr>
      </w:pPr>
    </w:p>
    <w:p>
      <w:pPr>
        <w:ind w:left="1620" w:right="280" w:hanging="315"/>
        <w:spacing w:after="0" w:line="277"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1620" w:right="420" w:hanging="315"/>
        <w:spacing w:after="0" w:line="277"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security in the form of letters of credit or significant retentions. The timing of collection of retentions is often uncertain.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25" w:lineRule="exact"/>
        <w:rPr>
          <w:rFonts w:ascii="Arial" w:cs="Arial" w:eastAsia="Arial" w:hAnsi="Arial"/>
          <w:sz w:val="18"/>
          <w:szCs w:val="18"/>
          <w:color w:val="auto"/>
        </w:rPr>
      </w:pPr>
    </w:p>
    <w:p>
      <w:pPr>
        <w:ind w:left="5640" w:hanging="98"/>
        <w:spacing w:after="0"/>
        <w:tabs>
          <w:tab w:leader="none" w:pos="56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and disposals of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Collection issues, including those caused by weak commodity prices or other factors which can lead to credit deterioration of our customers.</w:t>
      </w:r>
    </w:p>
    <w:p>
      <w:pPr>
        <w:spacing w:after="0" w:line="248" w:lineRule="exact"/>
        <w:rPr>
          <w:rFonts w:ascii="Arial" w:cs="Arial" w:eastAsia="Arial" w:hAnsi="Arial"/>
          <w:sz w:val="16"/>
          <w:szCs w:val="16"/>
          <w:color w:val="auto"/>
        </w:rPr>
      </w:pPr>
    </w:p>
    <w:p>
      <w:pPr>
        <w:ind w:left="980" w:right="2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Capacity constraints under our senior secured revolving credit facility and remaining in compliance with all covenants contained in the credit agreement.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Issuances of letters of credit.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Six Months Ended December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operating activities for the six months ended December 31, 2019 totaled $38.6 million. The various components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80" w:type="dxa"/>
            <w:vAlign w:val="bottom"/>
          </w:tcPr>
          <w:p>
            <w:pPr>
              <w:spacing w:after="0"/>
              <w:rPr>
                <w:sz w:val="19"/>
                <w:szCs w:val="19"/>
                <w:color w:val="auto"/>
              </w:rPr>
            </w:pPr>
          </w:p>
        </w:tc>
        <w:tc>
          <w:tcPr>
            <w:tcW w:w="6680" w:type="dxa"/>
            <w:vAlign w:val="bottom"/>
            <w:gridSpan w:val="2"/>
          </w:tcPr>
          <w:p>
            <w:pPr>
              <w:jc w:val="right"/>
              <w:ind w:right="3100"/>
              <w:spacing w:after="0"/>
              <w:rPr>
                <w:sz w:val="20"/>
                <w:szCs w:val="20"/>
                <w:color w:val="auto"/>
              </w:rPr>
            </w:pPr>
            <w:r>
              <w:rPr>
                <w:rFonts w:ascii="Arial" w:cs="Arial" w:eastAsia="Arial" w:hAnsi="Arial"/>
                <w:sz w:val="18"/>
                <w:szCs w:val="18"/>
                <w:b w:val="1"/>
                <w:bCs w:val="1"/>
                <w:color w:val="auto"/>
                <w:w w:val="98"/>
              </w:rPr>
              <w:t>Net Cash Provided by Operating Activities</w:t>
            </w:r>
          </w:p>
        </w:tc>
        <w:tc>
          <w:tcPr>
            <w:tcW w:w="96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p>
        </w:tc>
        <w:tc>
          <w:tcPr>
            <w:tcW w:w="6680" w:type="dxa"/>
            <w:vAlign w:val="bottom"/>
            <w:gridSpan w:val="2"/>
          </w:tcPr>
          <w:p>
            <w:pPr>
              <w:jc w:val="right"/>
              <w:ind w:right="4220"/>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20"/>
                <w:szCs w:val="20"/>
                <w:color w:val="auto"/>
              </w:rPr>
            </w:pPr>
          </w:p>
        </w:tc>
      </w:tr>
      <w:tr>
        <w:trPr>
          <w:trHeight w:val="324"/>
        </w:trPr>
        <w:tc>
          <w:tcPr>
            <w:tcW w:w="37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6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Non-cash expenses</w:t>
            </w:r>
          </w:p>
        </w:tc>
        <w:tc>
          <w:tcPr>
            <w:tcW w:w="6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16,423</w:t>
            </w:r>
          </w:p>
        </w:tc>
      </w:tr>
      <w:tr>
        <w:trPr>
          <w:trHeight w:val="27"/>
        </w:trPr>
        <w:tc>
          <w:tcPr>
            <w:tcW w:w="37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Goodwill and other intangible asset impairment</w:t>
            </w:r>
          </w:p>
        </w:tc>
        <w:tc>
          <w:tcPr>
            <w:tcW w:w="6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38,515</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Deferred income tax</w:t>
            </w:r>
          </w:p>
        </w:tc>
        <w:tc>
          <w:tcPr>
            <w:tcW w:w="6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(2,934)</w:t>
            </w:r>
          </w:p>
        </w:tc>
      </w:tr>
      <w:tr>
        <w:trPr>
          <w:trHeight w:val="27"/>
        </w:trPr>
        <w:tc>
          <w:tcPr>
            <w:tcW w:w="37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effect of changes in working capital</w:t>
            </w:r>
          </w:p>
        </w:tc>
        <w:tc>
          <w:tcPr>
            <w:tcW w:w="6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8,691</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6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
        </w:trPr>
        <w:tc>
          <w:tcPr>
            <w:tcW w:w="378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6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38,625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changes at December 31, 2019 in comparison to June 30, 2019 include the following:</w:t>
      </w:r>
    </w:p>
    <w:p>
      <w:pPr>
        <w:spacing w:after="0" w:line="225" w:lineRule="exact"/>
        <w:rPr>
          <w:sz w:val="20"/>
          <w:szCs w:val="20"/>
          <w:color w:val="auto"/>
        </w:rPr>
      </w:pPr>
    </w:p>
    <w:p>
      <w:pPr>
        <w:ind w:left="980" w:right="120" w:hanging="324"/>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Accounts receivable, net of bad debt expense recognized during the period, decreased $18.2 million during the six months ended December 31, 2019, which increased cash flows from operating activities. The variance is primarily attributable to the timing of billing and collections.</w:t>
      </w:r>
    </w:p>
    <w:p>
      <w:pPr>
        <w:spacing w:after="0" w:line="123" w:lineRule="exact"/>
        <w:rPr>
          <w:rFonts w:ascii="Arial" w:cs="Arial" w:eastAsia="Arial" w:hAnsi="Arial"/>
          <w:sz w:val="16"/>
          <w:szCs w:val="16"/>
          <w:color w:val="auto"/>
        </w:rPr>
      </w:pPr>
    </w:p>
    <w:p>
      <w:pPr>
        <w:ind w:left="980" w:right="120" w:hanging="324"/>
        <w:spacing w:after="0" w:line="25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and estimated earnings in excess of billings on uncompleted contracts ("CIE") decreased $38.9 million, which increased cash flows from operating activities. The decrease in CIE is primarily attributable to the timing of billings on a specific iron and steel project. Billings on uncompleted contracts in excess of costs and estimated earnings ("BIE") increased $4.9 million, which increased cash flows from operating activities. CIE and BIE balances can experience significant fluctuations based on the timing of when job costs are incurred and the invoicing of those job costs to the customer.</w:t>
      </w:r>
    </w:p>
    <w:p>
      <w:pPr>
        <w:spacing w:after="0" w:line="188" w:lineRule="exact"/>
        <w:rPr>
          <w:rFonts w:ascii="Arial" w:cs="Arial" w:eastAsia="Arial" w:hAnsi="Arial"/>
          <w:sz w:val="18"/>
          <w:szCs w:val="18"/>
          <w:color w:val="auto"/>
        </w:rPr>
      </w:pPr>
    </w:p>
    <w:p>
      <w:pPr>
        <w:ind w:left="980" w:right="18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Accounts payable and accrued expenses decreased by $55.7 million during the six months ended December 31, 2019, which decreased cash flows from operating activities. The variance is primarily attributable to lower business volumes, the timing of vendor payments, the timing of incentive payments and other related payroll accruals.</w:t>
      </w:r>
    </w:p>
    <w:p>
      <w:pPr>
        <w:spacing w:after="0" w:line="397" w:lineRule="exact"/>
        <w:rPr>
          <w:rFonts w:ascii="Arial" w:cs="Arial" w:eastAsia="Arial" w:hAnsi="Arial"/>
          <w:sz w:val="18"/>
          <w:szCs w:val="18"/>
          <w:color w:val="auto"/>
        </w:rPr>
      </w:pPr>
    </w:p>
    <w:p>
      <w:pPr>
        <w:ind w:left="5640" w:hanging="98"/>
        <w:spacing w:after="0"/>
        <w:tabs>
          <w:tab w:leader="none" w:pos="5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Used by Investing Activities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Investing activities used $14.1 million of cash in the six months ended December 31, 2019 primarily due to $14.5 million of capital expenditures, partially offset by $0.4 million of proceeds from other assets sales. Capital expenditures consisted of: $5.9 million for transportation equipment, $4.1 million for construction and fabrication equipment, $3.5 million for software and office equipment, and $1.0 million for facilities.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Financing Activities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Financing activities used $4.0 million of cash in the six months ended December 31, 2019 primarily due to stock repurchases of $9.9 million and the repurchase of $3.5 million of Company stock for payment of withholding taxes due on equity-based compensation. These uses of cash were partially offset by net borrowings of $9.3 million under the Company's Senior Secured Revolving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left="60" w:right="20"/>
        <w:spacing w:after="0" w:line="279" w:lineRule="auto"/>
        <w:rPr>
          <w:sz w:val="20"/>
          <w:szCs w:val="20"/>
          <w:color w:val="auto"/>
        </w:rPr>
      </w:pPr>
      <w:r>
        <w:rPr>
          <w:rFonts w:ascii="Arial" w:cs="Arial" w:eastAsia="Arial" w:hAnsi="Arial"/>
          <w:sz w:val="17"/>
          <w:szCs w:val="17"/>
          <w:color w:val="auto"/>
        </w:rPr>
        <w:t>As noted previously in Note 5 of the Notes to Condensed Consolidated Financial Statements included in Part 1, Item 1 of this Quarterly Report on Form 10-Q, 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1300" w:right="80" w:hanging="48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determined as of the end of each fiscal quarter, greater than or equal to 1.25 to 1.00.</w:t>
      </w:r>
    </w:p>
    <w:p>
      <w:pPr>
        <w:spacing w:after="0" w:line="116" w:lineRule="exact"/>
        <w:rPr>
          <w:rFonts w:ascii="Arial" w:cs="Arial" w:eastAsia="Arial" w:hAnsi="Arial"/>
          <w:sz w:val="18"/>
          <w:szCs w:val="18"/>
          <w:color w:val="auto"/>
        </w:rPr>
      </w:pPr>
    </w:p>
    <w:p>
      <w:pPr>
        <w:ind w:left="1300" w:right="60" w:hanging="482"/>
        <w:spacing w:after="0" w:line="34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70"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The credit facility includes a U.S. Dollar equivalent sublimit of $75.0 million for revolving loans denominated in Australian Dollars, Canadian Dollars, Euros and Pounds Sterling and letters of credit in Australian Dollars, Euros, and Pounds Sterling. The credit facility also includes a $200.0 million sublimit for total letters of credit.</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0.25% and 0.45% based on the Leverage Ratio.</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Credit Agreement includes a Leverage Ratio covenant, which provides that Consolidated Funded Indebtedness, as of the end of any fiscal quarter, may not exceed 3.0 times Consolidated EBITDA, as defined in the Credit Agreement, or "Covenant EBITDA," over the previous four quarters. For the four quarters ended December 31, 2019, Covenant EBITDA was $78.2 million. Consolidated Funded Indebtedness at December 31, 2019 was $68.5 million.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Covenant EBITDA differs from Adjusted EBITDA, as reported under "Results of Operations - Non-GAAP Financial Measure," primarily because it permits the Company to:</w:t>
      </w:r>
    </w:p>
    <w:p>
      <w:pPr>
        <w:spacing w:after="0" w:line="11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 non-cash stock-based compensation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 pro forma EBITDA of acquired businesses as if the acquisition occurred at the beginning of the previous four quarters,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 certain other extraordinary items, as defined in the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secured revolving credit facility at December 31, 2019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Leverage Ratio</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65,544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94,323</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234,456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205,677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Letters of credit</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53,636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48,147</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14,817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secured revolving credit facility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166,003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152,183</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300"/>
        <w:spacing w:after="0" w:line="438" w:lineRule="auto"/>
        <w:rPr>
          <w:sz w:val="20"/>
          <w:szCs w:val="20"/>
          <w:color w:val="auto"/>
        </w:rPr>
      </w:pPr>
      <w:r>
        <w:rPr>
          <w:rFonts w:ascii="Arial" w:cs="Arial" w:eastAsia="Arial" w:hAnsi="Arial"/>
          <w:sz w:val="18"/>
          <w:szCs w:val="18"/>
          <w:color w:val="auto"/>
        </w:rPr>
        <w:t xml:space="preserve">At December 31, 2019, the Company was in compliance with all affirmative, negative, and financial covenants under the Credit Agreement. </w:t>
      </w:r>
      <w:r>
        <w:rPr>
          <w:rFonts w:ascii="Arial" w:cs="Arial" w:eastAsia="Arial" w:hAnsi="Arial"/>
          <w:sz w:val="18"/>
          <w:szCs w:val="18"/>
          <w:b w:val="1"/>
          <w:bCs w:val="1"/>
          <w:color w:val="auto"/>
        </w:rPr>
        <w:t>Dividend Policy</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Any future dividend payments will depend on our financial condition, capital requirements and earnings as well as other relevant factors.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November 6, 2018, the Board of Directors approved a stock buyback program (the "November 2018 Program"), which replaced the previous program that had been in place since December 2016 and was set to expire in December 2018. Under the November 2018 Program, the Company may repurchase common stock up to a maximum of $30.0 million per calendar year provided that the aggregate number of shares repurchased may not exceed 10%, or approximately 2.7 million, of the Company's shares outstanding as of November 6, 2018. The Company may repurchase its stock from time to time in the open market at prevailing market prices or in privately negotiated transactions and is not obligated to purchase any shares. The November 2018 Program will continue unless and until it is modified or revoked by the Board of Directors. During the second quarter of fiscal 2020, 500,000 shares were repurchased under the November 2018 Program and there were 1,896,643 shares available for repurchase as of December 31, 2019.</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1,216,103 treasury shares as of December 31, 2019 and intends to utilize these treasury shares in connection with equity awards under the Company’s stock incentive plans and for sales to the Employee Stock Purchase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w:t>
      </w:r>
    </w:p>
    <w:p>
      <w:pPr>
        <w:sectPr>
          <w:pgSz w:w="11900" w:h="16838" w:orient="portrait"/>
          <w:cols w:equalWidth="0" w:num="1">
            <w:col w:w="11420"/>
          </w:cols>
          <w:pgMar w:left="240" w:top="34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980" w:right="3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generate sufficient cash from operations, access our credit facility, or raise cash in order to meet our short and long-term capital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to our business of changes in crude oil, natural gas and other commodity prices;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trends in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225" w:lineRule="exact"/>
        <w:rPr>
          <w:sz w:val="20"/>
          <w:szCs w:val="20"/>
          <w:color w:val="auto"/>
        </w:rPr>
      </w:pPr>
    </w:p>
    <w:p>
      <w:pPr>
        <w:jc w:val="both"/>
        <w:ind w:left="60"/>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47" w:lineRule="exact"/>
        <w:rPr>
          <w:sz w:val="20"/>
          <w:szCs w:val="20"/>
          <w:color w:val="auto"/>
        </w:rPr>
      </w:pPr>
    </w:p>
    <w:p>
      <w:pPr>
        <w:ind w:left="980" w:right="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2019 and listed from time to time in our filings with the Securities and Exchange Commission;</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natural gas, power, iron and steel, agricultural and mining industries in particular;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under-utilization of our work force;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commencement of major projects, whether due to permitting issues or other factors;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volatility of crude oil, natural gas, steel and other commodity prices to which our customers' businesses are affected;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adequacy of our reserves for claims and contingencies;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laws or regulations, including the imposition or threatened imposition, cancellation or delay of tariffs on imported goods;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w:t>
      </w:r>
    </w:p>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2019, filed with the Securities and Exchange Commission. For more information on market risk, see Part II, Item 7A in our fiscal 2019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December 31, 2019. Based on the foregoing, our Chief Executive Officer and Chief Financial Officer concluded that our disclosure controls and procedures were effective at the reasonable assurance level at December 31, 2019.</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December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w:t>
      </w:r>
    </w:p>
    <w:p>
      <w:pPr>
        <w:sectPr>
          <w:pgSz w:w="11900" w:h="16838" w:orient="portrait"/>
          <w:cols w:equalWidth="0" w:num="1">
            <w:col w:w="11420"/>
          </w:cols>
          <w:pgMar w:left="240" w:top="34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with respect to purchases made by the Company of its common stock during the second quarter of fiscal year 2020.</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left="228"/>
              <w:spacing w:after="0"/>
              <w:rPr>
                <w:sz w:val="20"/>
                <w:szCs w:val="20"/>
                <w:color w:val="auto"/>
              </w:rPr>
            </w:pPr>
            <w:r>
              <w:rPr>
                <w:rFonts w:ascii="Arial" w:cs="Arial" w:eastAsia="Arial" w:hAnsi="Arial"/>
                <w:sz w:val="14"/>
                <w:szCs w:val="14"/>
                <w:b w:val="1"/>
                <w:bCs w:val="1"/>
                <w:color w:val="auto"/>
                <w:w w:val="95"/>
              </w:rPr>
              <w:t>Total Number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of 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2"/>
                <w:szCs w:val="12"/>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Average Price</w:t>
            </w: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3"/>
              </w:rPr>
              <w:t>Announced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w:t>
            </w: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Plans or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Per Share</w:t>
            </w:r>
          </w:p>
        </w:tc>
        <w:tc>
          <w:tcPr>
            <w:tcW w:w="128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or Programs (C)</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October 1 to October 31, 2019</w:t>
            </w: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2,396,643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Transactions (B)</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November 1 to November 30, 2019</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Repurchase Program (A)</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1,896,643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20.94</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1 to December 31, 2019</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1,896,643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 Transactions (B)</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jc w:val="both"/>
        <w:ind w:left="540" w:hanging="316"/>
        <w:spacing w:after="0" w:line="252"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described under the caption “Stock Repurchase Program and Treasury Shares” in the Liquidity and Capital Resources section of Part I, Item 2 of this Form 10-Q, on November 6, 2018, the Board of Directors approved a stock buyback program (the “November 2018 Program”), which replaced the December 2016 Program. Under the November 2018 Program, the Company may repurchase common stock up to a maximum of $30.0 million per calendar year provided that the aggregate number of shares repurchased may not exceed 10%, or approximately 2.7 million, of the Company's shares outstanding as of November 6, 2018. The Company may repurchase its stock from time to time in the open market at prevailing market prices or in privately negotiated transactions and is not obligated to purchase any shares. The November 2018 Program will continue unless and until it is modified or revoked by the Board of Directors.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Any future dividend payments will depend on our financial condition, capital requirements and earnings as well as other relevant factors.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w:t>
      </w:r>
    </w:p>
    <w:p>
      <w:pPr>
        <w:sectPr>
          <w:pgSz w:w="11900" w:h="16838" w:orient="portrait"/>
          <w:cols w:equalWidth="0" w:num="1">
            <w:col w:w="11420"/>
          </w:cols>
          <w:pgMar w:left="240" w:top="34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documents are included as exhibits to this Quarterly Report on Form 10-Q. Any exhibits below incorporated by reference herein are indicated as such by the information supplied in the parenthetical hereafter.</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64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31.1:</w:t>
            </w:r>
          </w:p>
        </w:tc>
        <w:tc>
          <w:tcPr>
            <w:tcW w:w="556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Certification Pursuant to Section 302 of Sarbanes-Oxley Act of 2002 – CEO.</w:t>
              </w:r>
            </w:hyperlink>
          </w:p>
        </w:tc>
        <w:tc>
          <w:tcPr>
            <w:tcW w:w="3240" w:type="dxa"/>
            <w:vAlign w:val="bottom"/>
            <w:gridSpan w:val="3"/>
          </w:tcPr>
          <w:p>
            <w:pPr>
              <w:spacing w:after="0"/>
              <w:rPr>
                <w:sz w:val="24"/>
                <w:szCs w:val="24"/>
                <w:color w:val="auto"/>
              </w:rPr>
            </w:pPr>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31.2:</w:t>
            </w:r>
          </w:p>
        </w:tc>
        <w:tc>
          <w:tcPr>
            <w:tcW w:w="8800" w:type="dxa"/>
            <w:vAlign w:val="bottom"/>
            <w:gridSpan w:val="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Certification Pursuant to Section 302 of Sarbanes-Oxley Act of 2002 – CFO.</w:t>
              </w:r>
            </w:hyperlink>
          </w:p>
        </w:tc>
      </w:tr>
      <w:tr>
        <w:trPr>
          <w:trHeight w:val="20"/>
        </w:trPr>
        <w:tc>
          <w:tcPr>
            <w:tcW w:w="2160" w:type="dxa"/>
            <w:vAlign w:val="bottom"/>
            <w:gridSpan w:val="3"/>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32.1:</w:t>
            </w:r>
          </w:p>
        </w:tc>
        <w:tc>
          <w:tcPr>
            <w:tcW w:w="682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Pursuant to 18 U.S.C. 1350 (section 906 of Sarbanes-Oxley Act of 2002) – CEO.</w:t>
              </w:r>
            </w:hyperlink>
          </w:p>
        </w:tc>
        <w:tc>
          <w:tcPr>
            <w:tcW w:w="1980" w:type="dxa"/>
            <w:vAlign w:val="bottom"/>
          </w:tcPr>
          <w:p>
            <w:pPr>
              <w:spacing w:after="0"/>
              <w:rPr>
                <w:sz w:val="24"/>
                <w:szCs w:val="24"/>
                <w:color w:val="auto"/>
              </w:rPr>
            </w:pPr>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32.2:</w:t>
            </w:r>
          </w:p>
        </w:tc>
        <w:tc>
          <w:tcPr>
            <w:tcW w:w="68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Certification Pursuant to 18 U.S.C. 1350 (section 906 of Sarbanes-Oxley Act of 2002) – CFO.</w:t>
              </w:r>
            </w:hyperlink>
          </w:p>
        </w:tc>
        <w:tc>
          <w:tcPr>
            <w:tcW w:w="2000" w:type="dxa"/>
            <w:vAlign w:val="bottom"/>
            <w:gridSpan w:val="2"/>
          </w:tcPr>
          <w:p>
            <w:pPr>
              <w:spacing w:after="0"/>
              <w:rPr>
                <w:sz w:val="24"/>
                <w:szCs w:val="24"/>
                <w:color w:val="auto"/>
              </w:rPr>
            </w:pPr>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95:</w:t>
            </w:r>
          </w:p>
        </w:tc>
        <w:tc>
          <w:tcPr>
            <w:tcW w:w="1760" w:type="dxa"/>
            <w:vAlign w:val="bottom"/>
            <w:tcBorders>
              <w:bottom w:val="single" w:sz="8" w:color="0000FF"/>
            </w:tcBorders>
          </w:tcPr>
          <w:p>
            <w:pPr>
              <w:spacing w:after="0"/>
              <w:rPr>
                <w:rFonts w:ascii="Arial" w:cs="Arial" w:eastAsia="Arial" w:hAnsi="Arial"/>
                <w:sz w:val="18"/>
                <w:szCs w:val="18"/>
                <w:color w:val="0000FF"/>
                <w:w w:val="92"/>
              </w:rPr>
            </w:pPr>
            <w:hyperlink w:anchor="page49">
              <w:r>
                <w:rPr>
                  <w:rFonts w:ascii="Arial" w:cs="Arial" w:eastAsia="Arial" w:hAnsi="Arial"/>
                  <w:sz w:val="18"/>
                  <w:szCs w:val="18"/>
                  <w:color w:val="0000FF"/>
                  <w:w w:val="92"/>
                </w:rPr>
                <w:t>Mine Safety Disclosure.</w:t>
              </w:r>
            </w:hyperlink>
          </w:p>
        </w:tc>
        <w:tc>
          <w:tcPr>
            <w:tcW w:w="7040" w:type="dxa"/>
            <w:vAlign w:val="bottom"/>
            <w:gridSpan w:val="7"/>
          </w:tcPr>
          <w:p>
            <w:pPr>
              <w:spacing w:after="0"/>
              <w:rPr>
                <w:sz w:val="24"/>
                <w:szCs w:val="24"/>
                <w:color w:val="auto"/>
              </w:rPr>
            </w:pPr>
          </w:p>
        </w:tc>
      </w:tr>
      <w:tr>
        <w:trPr>
          <w:trHeight w:val="398"/>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101.INS:</w:t>
            </w:r>
          </w:p>
        </w:tc>
        <w:tc>
          <w:tcPr>
            <w:tcW w:w="8800" w:type="dxa"/>
            <w:vAlign w:val="bottom"/>
            <w:gridSpan w:val="8"/>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101.SCH:</w:t>
            </w:r>
          </w:p>
        </w:tc>
        <w:tc>
          <w:tcPr>
            <w:tcW w:w="8800" w:type="dxa"/>
            <w:vAlign w:val="bottom"/>
            <w:gridSpan w:val="8"/>
          </w:tcPr>
          <w:p>
            <w:pPr>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101.CAL:</w:t>
            </w:r>
          </w:p>
        </w:tc>
        <w:tc>
          <w:tcPr>
            <w:tcW w:w="88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101.DEF:</w:t>
            </w:r>
          </w:p>
        </w:tc>
        <w:tc>
          <w:tcPr>
            <w:tcW w:w="88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101.LAB:</w:t>
            </w:r>
          </w:p>
        </w:tc>
        <w:tc>
          <w:tcPr>
            <w:tcW w:w="8800" w:type="dxa"/>
            <w:vAlign w:val="bottom"/>
            <w:gridSpan w:val="8"/>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101.PRE:</w:t>
            </w:r>
          </w:p>
        </w:tc>
        <w:tc>
          <w:tcPr>
            <w:tcW w:w="88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104</w:t>
            </w:r>
          </w:p>
        </w:tc>
        <w:tc>
          <w:tcPr>
            <w:tcW w:w="880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459"/>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60" w:type="dxa"/>
            <w:vAlign w:val="bottom"/>
            <w:gridSpan w:val="2"/>
          </w:tcPr>
          <w:p>
            <w:pPr>
              <w:ind w:left="3340"/>
              <w:spacing w:after="0"/>
              <w:rPr>
                <w:sz w:val="20"/>
                <w:szCs w:val="20"/>
                <w:color w:val="auto"/>
              </w:rPr>
            </w:pPr>
            <w:r>
              <w:rPr>
                <w:rFonts w:ascii="Arial" w:cs="Arial" w:eastAsia="Arial" w:hAnsi="Arial"/>
                <w:sz w:val="18"/>
                <w:szCs w:val="18"/>
                <w:color w:val="auto"/>
              </w:rPr>
              <w:t>- 41-</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MATRIX SERVICE COMPANY</w:t>
      </w:r>
    </w:p>
    <w:p>
      <w:pPr>
        <w:spacing w:after="0" w:line="189" w:lineRule="exact"/>
        <w:rPr>
          <w:sz w:val="20"/>
          <w:szCs w:val="20"/>
          <w:color w:val="auto"/>
        </w:rPr>
      </w:pPr>
    </w:p>
    <w:p>
      <w:pPr>
        <w:ind w:left="40"/>
        <w:spacing w:after="0"/>
        <w:tabs>
          <w:tab w:leader="none" w:pos="700" w:val="left"/>
          <w:tab w:leader="none" w:pos="4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6, 2020</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right="420"/>
        <w:spacing w:after="0" w:line="277"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w:t>
      </w:r>
    </w:p>
    <w:p>
      <w:pPr>
        <w:sectPr>
          <w:pgSz w:w="11900" w:h="16838" w:orient="portrait"/>
          <w:cols w:equalWidth="0" w:num="1">
            <w:col w:w="11420"/>
          </w:cols>
          <w:pgMar w:left="240" w:top="34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6, 2020</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53"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6, 2020</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53"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December 31, 2019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6, 2020</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53"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December 31, 2019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6, 2020</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53" w:right="239" w:bottom="1440" w:gutter="0" w:footer="0" w:header="0"/>
        </w:sectPr>
      </w:pPr>
    </w:p>
    <w:bookmarkStart w:id="48" w:name="page49"/>
    <w:bookmarkEnd w:id="48"/>
    <w:p>
      <w:pPr>
        <w:jc w:val="right"/>
        <w:ind w:right="20"/>
        <w:spacing w:after="0"/>
        <w:rPr>
          <w:sz w:val="20"/>
          <w:szCs w:val="20"/>
          <w:color w:val="auto"/>
        </w:rPr>
      </w:pPr>
      <w:r>
        <w:rPr>
          <w:rFonts w:ascii="Arial" w:cs="Arial" w:eastAsia="Arial" w:hAnsi="Arial"/>
          <w:sz w:val="18"/>
          <w:szCs w:val="18"/>
          <w:b w:val="1"/>
          <w:bCs w:val="1"/>
          <w:color w:val="auto"/>
        </w:rPr>
        <w:t>Exhibit 95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December 31, 2019:</w:t>
      </w:r>
    </w:p>
    <w:p>
      <w:pPr>
        <w:spacing w:after="0" w:line="200" w:lineRule="exact"/>
        <w:rPr>
          <w:sz w:val="20"/>
          <w:szCs w:val="20"/>
          <w:color w:val="auto"/>
        </w:rPr>
      </w:pP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140" w:type="dxa"/>
            <w:vAlign w:val="bottom"/>
            <w:tcBorders>
              <w:top w:val="single" w:sz="8" w:color="auto"/>
              <w:left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Received Notice</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Total Number</w:t>
            </w: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Received Notice</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of Potential to</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of Legal</w:t>
            </w: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Dollar Value</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Total Number</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of Pattern of</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Have Pattern of</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r>
      <w:tr>
        <w:trPr>
          <w:trHeight w:val="122"/>
        </w:trPr>
        <w:tc>
          <w:tcPr>
            <w:tcW w:w="114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0"/>
              </w:rPr>
              <w:t>Mine or Operating</w:t>
            </w: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104(d)</w:t>
            </w:r>
          </w:p>
        </w:tc>
        <w:tc>
          <w:tcPr>
            <w:tcW w:w="9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Section</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of MSHA</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of Mining</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6"/>
              </w:rPr>
              <w:t>Pending as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r>
      <w:tr>
        <w:trPr>
          <w:trHeight w:val="122"/>
        </w:trPr>
        <w:tc>
          <w:tcPr>
            <w:tcW w:w="114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3"/>
              </w:rPr>
              <w:t>Name/MSHA</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Section 104 S&amp;S</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104(b)</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Citations and</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110(b)(2)</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107(a)</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Assessments</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Related</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104(e)</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Section 104(e)</w:t>
            </w:r>
            <w:r>
              <w:rPr>
                <w:rFonts w:ascii="Arial" w:cs="Arial" w:eastAsia="Arial" w:hAnsi="Arial"/>
                <w:sz w:val="8"/>
                <w:szCs w:val="8"/>
                <w:color w:val="auto"/>
                <w:w w:val="90"/>
              </w:rPr>
              <w:t>(7)</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Last Day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Initiated During</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Resolved During</w:t>
            </w:r>
          </w:p>
        </w:tc>
      </w:tr>
      <w:tr>
        <w:trPr>
          <w:trHeight w:val="136"/>
        </w:trPr>
        <w:tc>
          <w:tcPr>
            <w:tcW w:w="1140" w:type="dxa"/>
            <w:vAlign w:val="bottom"/>
            <w:tcBorders>
              <w:left w:val="single" w:sz="8" w:color="auto"/>
              <w:right w:val="single" w:sz="8" w:color="auto"/>
            </w:tcBorders>
          </w:tcPr>
          <w:p>
            <w:pPr>
              <w:jc w:val="center"/>
              <w:ind w:left="6"/>
              <w:spacing w:after="0"/>
              <w:rPr>
                <w:sz w:val="20"/>
                <w:szCs w:val="20"/>
                <w:color w:val="auto"/>
              </w:rPr>
            </w:pPr>
            <w:r>
              <w:rPr>
                <w:rFonts w:ascii="Arial" w:cs="Arial" w:eastAsia="Arial" w:hAnsi="Arial"/>
                <w:sz w:val="11"/>
                <w:szCs w:val="11"/>
                <w:color w:val="auto"/>
                <w:w w:val="92"/>
              </w:rPr>
              <w:t>Identification Number</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Citations</w:t>
            </w:r>
            <w:r>
              <w:rPr>
                <w:rFonts w:ascii="Arial" w:cs="Arial" w:eastAsia="Arial" w:hAnsi="Arial"/>
                <w:sz w:val="8"/>
                <w:szCs w:val="8"/>
                <w:color w:val="auto"/>
                <w:w w:val="91"/>
              </w:rPr>
              <w:t>(1)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Violations</w:t>
            </w:r>
            <w:r>
              <w:rPr>
                <w:rFonts w:ascii="Arial" w:cs="Arial" w:eastAsia="Arial" w:hAnsi="Arial"/>
                <w:sz w:val="8"/>
                <w:szCs w:val="8"/>
                <w:color w:val="auto"/>
                <w:w w:val="97"/>
              </w:rPr>
              <w:t>(4)</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Orders</w:t>
            </w:r>
            <w:r>
              <w:rPr>
                <w:rFonts w:ascii="Arial" w:cs="Arial" w:eastAsia="Arial" w:hAnsi="Arial"/>
                <w:sz w:val="8"/>
                <w:szCs w:val="8"/>
                <w:color w:val="auto"/>
                <w:w w:val="87"/>
              </w:rPr>
              <w:t>(5)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Proposed ($)</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Fatalities</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6"/>
              </w:rPr>
              <w:t xml:space="preserve">(6) </w:t>
            </w:r>
            <w:r>
              <w:rPr>
                <w:rFonts w:ascii="Arial" w:cs="Arial" w:eastAsia="Arial" w:hAnsi="Arial"/>
                <w:sz w:val="10"/>
                <w:szCs w:val="10"/>
                <w:color w:val="auto"/>
                <w:w w:val="96"/>
              </w:rPr>
              <w:t>(yes/no)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r>
      <w:tr>
        <w:trPr>
          <w:trHeight w:val="132"/>
        </w:trPr>
        <w:tc>
          <w:tcPr>
            <w:tcW w:w="1140" w:type="dxa"/>
            <w:vAlign w:val="bottom"/>
            <w:tcBorders>
              <w:left w:val="single" w:sz="8" w:color="auto"/>
              <w:right w:val="single" w:sz="8" w:color="auto"/>
            </w:tcBorders>
          </w:tcPr>
          <w:p>
            <w:pPr>
              <w:jc w:val="center"/>
              <w:ind w:left="6"/>
              <w:spacing w:after="0"/>
              <w:rPr>
                <w:sz w:val="20"/>
                <w:szCs w:val="20"/>
                <w:color w:val="auto"/>
              </w:rPr>
            </w:pPr>
            <w:r>
              <w:rPr>
                <w:rFonts w:ascii="Arial" w:cs="Arial" w:eastAsia="Arial" w:hAnsi="Arial"/>
                <w:sz w:val="11"/>
                <w:szCs w:val="11"/>
                <w:color w:val="auto"/>
                <w:w w:val="90"/>
              </w:rPr>
              <w:t>Castle Mountain Gold</w:t>
            </w: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r>
      <w:tr>
        <w:trPr>
          <w:trHeight w:val="122"/>
        </w:trPr>
        <w:tc>
          <w:tcPr>
            <w:tcW w:w="11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Mine, Equinox Gold</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No</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r>
      <w:tr>
        <w:trPr>
          <w:trHeight w:val="136"/>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04-04918</w:t>
            </w: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r>
    </w:tbl>
    <w:p>
      <w:pPr>
        <w:spacing w:after="0" w:line="143" w:lineRule="exact"/>
        <w:rPr>
          <w:sz w:val="20"/>
          <w:szCs w:val="20"/>
          <w:color w:val="auto"/>
        </w:rPr>
      </w:pPr>
    </w:p>
    <w:p>
      <w:pPr>
        <w:ind w:left="260" w:right="360" w:hanging="252"/>
        <w:spacing w:after="0" w:line="273" w:lineRule="auto"/>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spacing w:after="0" w:line="146"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 a failure to abate a citation under section 104(a) within the period of time prescribed by MSHA.</w:t>
      </w:r>
    </w:p>
    <w:p>
      <w:pPr>
        <w:spacing w:after="0" w:line="201" w:lineRule="exact"/>
        <w:rPr>
          <w:rFonts w:ascii="Arial" w:cs="Arial" w:eastAsia="Arial" w:hAnsi="Arial"/>
          <w:sz w:val="13"/>
          <w:szCs w:val="13"/>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71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lvl w:ilvl="1">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lvl w:ilvl="1">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lvl w:ilvl="1">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upperLetter"/>
      <w:start w:val="1"/>
    </w:lvl>
  </w:abstractNum>
  <w:abstractNum w:abstractNumId="21">
    <w:nsid w:val="75A2A8D4"/>
    <w:multiLevelType w:val="hybridMultilevel"/>
    <w:lvl w:ilvl="0">
      <w:lvlJc w:val="left"/>
      <w:lvlText w:val="%1."/>
      <w:numFmt w:val="decimal"/>
      <w:start w:val="1"/>
    </w:lvl>
    <w:lvl w:ilvl="1">
      <w:lvlJc w:val="left"/>
      <w:lvlText w:val="%2."/>
      <w:numFmt w:val="low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2020-02-06T15:09:35Z</dcterms:created>
  <dcterms:modified xsi:type="dcterms:W3CDTF">2020-02-06T15:09:35Z</dcterms:modified>
</cp:coreProperties>
</file>