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963"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963"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963"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April 30, 2015 there were 27,888,217 shares of the Company’s common stock, $0.01 par value per share, issued and 26,719,203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60" w:type="dxa"/>
            <w:vAlign w:val="bottom"/>
            <w:gridSpan w:val="9"/>
          </w:tcPr>
          <w:p>
            <w:pPr>
              <w:jc w:val="center"/>
              <w:ind w:right="2420"/>
              <w:spacing w:after="0"/>
              <w:rPr>
                <w:sz w:val="20"/>
                <w:szCs w:val="20"/>
                <w:color w:val="auto"/>
              </w:rPr>
            </w:pPr>
            <w:r>
              <w:rPr>
                <w:rFonts w:ascii="Arial" w:cs="Arial" w:eastAsia="Arial" w:hAnsi="Arial"/>
                <w:sz w:val="18"/>
                <w:szCs w:val="18"/>
                <w:b w:val="1"/>
                <w:bCs w:val="1"/>
                <w:color w:val="auto"/>
              </w:rPr>
              <w:t>FINANCIAL INFORMATION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0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Nine Months Ended March 31, 2015 and 2014</w:t>
              </w:r>
            </w:hyperlink>
          </w:p>
        </w:tc>
        <w:tc>
          <w:tcPr>
            <w:tcW w:w="1380" w:type="dxa"/>
            <w:vAlign w:val="bottom"/>
            <w:gridSpan w:val="3"/>
          </w:tcPr>
          <w:p>
            <w:pPr>
              <w:spacing w:after="0"/>
              <w:rPr>
                <w:sz w:val="24"/>
                <w:szCs w:val="24"/>
                <w:color w:val="auto"/>
              </w:rPr>
            </w:pPr>
          </w:p>
        </w:tc>
        <w:tc>
          <w:tcPr>
            <w:tcW w:w="520" w:type="dxa"/>
            <w:vAlign w:val="bottom"/>
          </w:tcPr>
          <w:p>
            <w:pPr>
              <w:jc w:val="center"/>
              <w:ind w:left="23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Comprehensive Income for the Three and Nine Months Ended March 31, 2015 and 2014</w:t>
              </w:r>
            </w:hyperlink>
          </w:p>
        </w:tc>
        <w:tc>
          <w:tcPr>
            <w:tcW w:w="520" w:type="dxa"/>
            <w:vAlign w:val="bottom"/>
          </w:tcPr>
          <w:p>
            <w:pPr>
              <w:jc w:val="center"/>
              <w:ind w:left="23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2015 and June 30, 2014</w:t>
              </w:r>
            </w:hyperlink>
          </w:p>
        </w:tc>
        <w:tc>
          <w:tcPr>
            <w:tcW w:w="33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center"/>
              <w:ind w:left="23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 for the Nine Months Ended March 31, 2015 and 2014</w:t>
              </w:r>
            </w:hyperlink>
          </w:p>
        </w:tc>
        <w:tc>
          <w:tcPr>
            <w:tcW w:w="1840" w:type="dxa"/>
            <w:vAlign w:val="bottom"/>
            <w:gridSpan w:val="4"/>
          </w:tcPr>
          <w:p>
            <w:pPr>
              <w:spacing w:after="0"/>
              <w:rPr>
                <w:sz w:val="24"/>
                <w:szCs w:val="24"/>
                <w:color w:val="auto"/>
              </w:rPr>
            </w:pPr>
          </w:p>
        </w:tc>
        <w:tc>
          <w:tcPr>
            <w:tcW w:w="520" w:type="dxa"/>
            <w:vAlign w:val="bottom"/>
          </w:tcPr>
          <w:p>
            <w:pPr>
              <w:jc w:val="center"/>
              <w:ind w:left="231"/>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Condensed Consolidated Statements of Changes in Stockholders’ Equity for the Nine Months Ended March 31, 2015 and 2014</w:t>
              </w:r>
            </w:hyperlink>
          </w:p>
        </w:tc>
        <w:tc>
          <w:tcPr>
            <w:tcW w:w="520" w:type="dxa"/>
            <w:vAlign w:val="bottom"/>
            <w:vMerge w:val="restart"/>
          </w:tcPr>
          <w:p>
            <w:pPr>
              <w:jc w:val="center"/>
              <w:ind w:left="231"/>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5480" w:type="dxa"/>
            <w:vAlign w:val="bottom"/>
            <w:gridSpan w:val="8"/>
          </w:tcPr>
          <w:p>
            <w:pPr>
              <w:spacing w:after="0"/>
              <w:rPr>
                <w:sz w:val="24"/>
                <w:szCs w:val="24"/>
                <w:color w:val="auto"/>
              </w:rPr>
            </w:pPr>
          </w:p>
        </w:tc>
        <w:tc>
          <w:tcPr>
            <w:tcW w:w="520" w:type="dxa"/>
            <w:vAlign w:val="bottom"/>
          </w:tcPr>
          <w:p>
            <w:pPr>
              <w:jc w:val="center"/>
              <w:ind w:left="23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5"/>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520" w:type="dxa"/>
            <w:vAlign w:val="bottom"/>
          </w:tcPr>
          <w:p>
            <w:pPr>
              <w:jc w:val="center"/>
              <w:ind w:left="251"/>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tcBorders>
              <w:left w:val="single" w:sz="8" w:color="0000FF"/>
            </w:tcBorders>
            <w:gridSpan w:val="7"/>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5120" w:type="dxa"/>
            <w:vAlign w:val="bottom"/>
            <w:gridSpan w:val="7"/>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OTHER INFORMATION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Legal Proceedings</w:t>
              </w:r>
            </w:hyperlink>
          </w:p>
        </w:tc>
        <w:tc>
          <w:tcPr>
            <w:tcW w:w="8160" w:type="dxa"/>
            <w:vAlign w:val="bottom"/>
            <w:gridSpan w:val="12"/>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8160" w:type="dxa"/>
            <w:vAlign w:val="bottom"/>
            <w:gridSpan w:val="12"/>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Unregistered Sales of Equity Securities and Use of Proceeds</w:t>
              </w:r>
            </w:hyperlink>
          </w:p>
        </w:tc>
        <w:tc>
          <w:tcPr>
            <w:tcW w:w="5120" w:type="dxa"/>
            <w:vAlign w:val="bottom"/>
            <w:gridSpan w:val="7"/>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Defaults Upon Senior Securities</w:t>
              </w:r>
            </w:hyperlink>
          </w:p>
        </w:tc>
        <w:tc>
          <w:tcPr>
            <w:tcW w:w="5120" w:type="dxa"/>
            <w:vAlign w:val="bottom"/>
            <w:gridSpan w:val="7"/>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60" w:type="dxa"/>
            <w:vAlign w:val="bottom"/>
            <w:gridSpan w:val="10"/>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00" w:type="dxa"/>
            <w:vAlign w:val="bottom"/>
            <w:gridSpan w:val="11"/>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8160" w:type="dxa"/>
            <w:vAlign w:val="bottom"/>
            <w:gridSpan w:val="12"/>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280" w:top="58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978,718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918,731</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311,523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341,572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931,752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819,161</w:t>
            </w: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99,570</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56,538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55,172</w:t>
            </w: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44,398</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43,410</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14,755</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28,655</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 attributable to Matrix Service Company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6,241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28,254</w:t>
            </w:r>
          </w:p>
        </w:tc>
      </w:tr>
      <w:tr>
        <w:trPr>
          <w:trHeight w:val="67"/>
        </w:trPr>
        <w:tc>
          <w:tcPr>
            <w:tcW w:w="60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6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1.08</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26,244</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27,040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26,898</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360"/>
          </w:cols>
          <w:pgMar w:left="280" w:top="5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26,715</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Matrix Service Company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9,631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26,314</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(March 31, 2015— $492 and June 30, 2014—$204)</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188,579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204,692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5,994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392,839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375,548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31,935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31,737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42,087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9,892</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197,997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192,487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(103,315)</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69,837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5,699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579,006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568,932</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111,863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139,446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108,440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8,605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4,727</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269,861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5,167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303,305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286,649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March 31, 2015,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June 30, 2014</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119,777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183,478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177,237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8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299,041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297,111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Less: Treasury stock, at cost— 1,173,656 shares as of March 31, 2015, and 1,453,770 shares as of June 30, 2014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285,491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280,516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275,701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282,283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579,006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568,932</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28,655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12,945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3,905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(58,955)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(10,901)</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38,734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9,298</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(Note 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(51,398)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(68,905)</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420"/>
          </w:cols>
          <w:pgMar w:left="240" w:top="580" w:right="239" w:bottom="1440" w:gutter="0" w:footer="0" w:header="0"/>
        </w:sectPr>
      </w:pPr>
    </w:p>
    <w:bookmarkStart w:id="7" w:name="page8"/>
    <w:bookmarkEnd w:id="7"/>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1,597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debt amendment fees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credit agreement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68,970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credit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45,667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26,068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103,183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59,758</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11,445</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965</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14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2014</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282,283</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6"/>
                <w:szCs w:val="16"/>
                <w:color w:val="auto"/>
              </w:rPr>
              <w:t>Capital contributions from non-controlling interest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7,802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7,802</w:t>
            </w: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(13,118)</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(55,200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1,764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(318,763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Plan (8,601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obligations (102,450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4,730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March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275,701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238,162</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28,254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28,655</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Consolidated joint venture included in acquisition</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(Note 2)</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(121,250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(254,720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Plan (3,726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obligations (78,868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3,905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3,905</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March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169,681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270,553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95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2014, included in the Company’s Annual Report on Form 10-K for the year then ended.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public entities, the ASU is effective for annual reporting periods (including interim reporting periods within those periods) beginning after December 15, 2016. Early application is not permitted. We expect to adopt this standard in fiscal 2018 and are currently evaluating its expected impact on our financial statements. At its April 1, 2015, meeting, the FASB tentatively decided to defer for one year the effective date of the new revenue standard. If the FASB does in fact vote to pass the one year deferral, the Company would adopt this standard in fiscal 2019.</w:t>
      </w:r>
    </w:p>
    <w:p>
      <w:pPr>
        <w:spacing w:after="0" w:line="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10, 2014, the FASB issued ASU 2014-08, which amends the definition of a discontinued operation in ASC 205-20 and requires entities to provide additional disclosures about discontinued operations as well as disposal transactions that do not meet the discontinued-operations criteria. The ASU is effective prospectively for all disposals (except disposals classified as held for sale before the adoption date) or components initially classified as held for sale in periods beginning on or after December 15, 2014. The Company adopted this standard as of January 1, 2015. The adoption of this standard did not have a material impact on our consolidated financial statements.</w:t>
      </w:r>
    </w:p>
    <w:p>
      <w:pPr>
        <w:spacing w:after="0" w:line="2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00"/>
          </w:cols>
          <w:pgMar w:left="240" w:top="661" w:right="259" w:bottom="1440" w:gutter="0" w:footer="0" w:header="0"/>
        </w:sectPr>
      </w:pPr>
    </w:p>
    <w:bookmarkStart w:id="10" w:name="page11"/>
    <w:bookmarkEnd w:id="10"/>
    <w:p>
      <w:pPr>
        <w:ind w:right="240"/>
        <w:spacing w:after="0" w:line="264" w:lineRule="auto"/>
        <w:rPr>
          <w:sz w:val="20"/>
          <w:szCs w:val="20"/>
          <w:color w:val="auto"/>
        </w:rPr>
      </w:pPr>
      <w:r>
        <w:rPr>
          <w:rFonts w:ascii="Arial" w:cs="Arial" w:eastAsia="Arial" w:hAnsi="Arial"/>
          <w:sz w:val="18"/>
          <w:szCs w:val="18"/>
          <w:color w:val="auto"/>
        </w:rPr>
        <w:t>However, the time horizon for the assessment (look-forward period) and the disclosure thresholds under U.S. GAAP and IFRSs will continue to differ. The ASU is effective for annual periods ending after December 15, 2016, and interim periods thereafter; early adoption is permitted. We expect to adopt this standard in fiscal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HDB Ltd. Limited Partnership</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advances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preliminary purchase price allocation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1,062</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5,551</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40"/>
        <w:spacing w:after="0" w:line="391" w:lineRule="auto"/>
        <w:rPr>
          <w:sz w:val="20"/>
          <w:szCs w:val="20"/>
          <w:color w:val="auto"/>
        </w:rPr>
      </w:pPr>
      <w:r>
        <w:rPr>
          <w:rFonts w:ascii="Arial" w:cs="Arial" w:eastAsia="Arial" w:hAnsi="Arial"/>
          <w:sz w:val="18"/>
          <w:szCs w:val="18"/>
          <w:color w:val="auto"/>
        </w:rPr>
        <w:t xml:space="preserve">All of the recorded goodwill from the HDB acquisition is tax deductible. The operating data related to this acquisition was not material. </w:t>
      </w:r>
      <w:r>
        <w:rPr>
          <w:rFonts w:ascii="Arial" w:cs="Arial" w:eastAsia="Arial" w:hAnsi="Arial"/>
          <w:sz w:val="18"/>
          <w:szCs w:val="18"/>
          <w:i w:val="1"/>
          <w:iCs w:val="1"/>
          <w:color w:val="auto"/>
        </w:rPr>
        <w:t>Purchase of Kvaerner North American Construction</w:t>
      </w:r>
    </w:p>
    <w:p>
      <w:pPr>
        <w:spacing w:after="0" w:line="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Effective as of December 21, 2013, the Company acquired 100% of the stock and voting rights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premier provider of maintenance and capital construction services to power generation, integrated iron and steel, and industrial process facilities. The acquisition significantly expanded the Company's presence in the Electrical Infrastructure and Industrial Segments, and to a lesser extent, the Oil Gas &amp; Chemical segment.</w:t>
      </w:r>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purchased KNAC for $88.3 million. The acquisition was funded through a combination of cash-on-hand and borrowings under our senior revolving credit facility. The purchase price was allocated to the major categories of assets and liabilities based on their estimated fair value at the acquisition date. The following table summarizes the purchase price allocation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83,575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11,377</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24,009</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158,256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68,115</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Noncontrolling interest of consolidated joint venture</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88,262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36,655</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51,607</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underlying net tangible and intangible assets. This acquisition generated $39.3 million of goodwill, of which $28.5 million is tax deductible.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584" w:right="239" w:bottom="1440" w:gutter="0" w:footer="0" w:header="0"/>
        </w:sectPr>
      </w:pPr>
    </w:p>
    <w:bookmarkStart w:id="11" w:name="page12"/>
    <w:bookmarkEnd w:id="11"/>
    <w:p>
      <w:pPr>
        <w:ind w:right="60"/>
        <w:spacing w:after="0" w:line="257" w:lineRule="auto"/>
        <w:rPr>
          <w:sz w:val="20"/>
          <w:szCs w:val="20"/>
          <w:color w:val="auto"/>
        </w:rPr>
      </w:pPr>
      <w:r>
        <w:rPr>
          <w:rFonts w:ascii="Arial" w:cs="Arial" w:eastAsia="Arial" w:hAnsi="Arial"/>
          <w:sz w:val="18"/>
          <w:szCs w:val="18"/>
          <w:color w:val="auto"/>
        </w:rPr>
        <w:t>The equity in consolidated joint venture represents the acquired equity in KVPB Power Partners. KVPB Power Partners was subsequently renamed to MXPB Power Partners (the "Joint Venture"). The Joint Venture was formed by Kvaerner North American Construction Inc. and an engineering firm to engineer and construct a combined cycle power plant in Dover, Delaware. The Company holds a 65% voting and economic interest in the Joint Venture. The total acquired equity of the Joint Venture was $2.0 million of which the Company's portion was approximately $1.3 million and the other party owns a non-controlling interest of $0.7 million.</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unaudited financial information in the table below for the nine months ended March 31, 2014 is presented on a pro forma basis, as though Matrix Service Company and Matrix NAC had been combined as of July 1, 2012. The pro forma earnings for the nine months ended March 31, 2014 were adjusted to include incremental amortization and depreciation expense of $2.1 million and $1.2 million,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r>
      <w:tr>
        <w:trPr>
          <w:trHeight w:val="152"/>
        </w:trPr>
        <w:tc>
          <w:tcPr>
            <w:tcW w:w="46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4660" w:type="dxa"/>
            <w:vAlign w:val="bottom"/>
            <w:tcBorders>
              <w:bottom w:val="single" w:sz="8" w:color="CCEEFF"/>
            </w:tcBorders>
          </w:tcPr>
          <w:p>
            <w:pPr>
              <w:spacing w:after="0"/>
              <w:rPr>
                <w:sz w:val="16"/>
                <w:szCs w:val="16"/>
                <w:color w:val="auto"/>
              </w:rPr>
            </w:pPr>
          </w:p>
        </w:tc>
        <w:tc>
          <w:tcPr>
            <w:tcW w:w="5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2014</w:t>
            </w:r>
          </w:p>
        </w:tc>
      </w:tr>
      <w:tr>
        <w:trPr>
          <w:trHeight w:val="156"/>
        </w:trPr>
        <w:tc>
          <w:tcPr>
            <w:tcW w:w="4660" w:type="dxa"/>
            <w:vAlign w:val="bottom"/>
            <w:shd w:val="clear" w:color="auto" w:fill="CCEEFF"/>
          </w:tcPr>
          <w:p>
            <w:pPr>
              <w:spacing w:after="0"/>
              <w:rPr>
                <w:sz w:val="13"/>
                <w:szCs w:val="13"/>
                <w:color w:val="auto"/>
              </w:rPr>
            </w:pPr>
          </w:p>
        </w:tc>
        <w:tc>
          <w:tcPr>
            <w:tcW w:w="5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ind w:right="40"/>
              <w:spacing w:after="0" w:line="157" w:lineRule="exact"/>
              <w:rPr>
                <w:sz w:val="20"/>
                <w:szCs w:val="20"/>
                <w:color w:val="auto"/>
              </w:rPr>
            </w:pPr>
            <w:r>
              <w:rPr>
                <w:rFonts w:ascii="Arial" w:cs="Arial" w:eastAsia="Arial" w:hAnsi="Arial"/>
                <w:sz w:val="14"/>
                <w:szCs w:val="14"/>
                <w:color w:val="auto"/>
                <w:w w:val="92"/>
              </w:rPr>
              <w:t>(In thousands, except per</w:t>
            </w:r>
          </w:p>
        </w:tc>
      </w:tr>
      <w:tr>
        <w:trPr>
          <w:trHeight w:val="194"/>
        </w:trPr>
        <w:tc>
          <w:tcPr>
            <w:tcW w:w="4660" w:type="dxa"/>
            <w:vAlign w:val="bottom"/>
            <w:shd w:val="clear" w:color="auto" w:fill="CCEEFF"/>
          </w:tcPr>
          <w:p>
            <w:pPr>
              <w:spacing w:after="0"/>
              <w:rPr>
                <w:sz w:val="16"/>
                <w:szCs w:val="16"/>
                <w:color w:val="auto"/>
              </w:rPr>
            </w:pPr>
          </w:p>
        </w:tc>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jc w:val="center"/>
              <w:ind w:right="40"/>
              <w:spacing w:after="0"/>
              <w:rPr>
                <w:sz w:val="20"/>
                <w:szCs w:val="20"/>
                <w:color w:val="auto"/>
              </w:rPr>
            </w:pPr>
            <w:r>
              <w:rPr>
                <w:rFonts w:ascii="Arial" w:cs="Arial" w:eastAsia="Arial" w:hAnsi="Arial"/>
                <w:sz w:val="14"/>
                <w:szCs w:val="14"/>
                <w:color w:val="auto"/>
                <w:w w:val="87"/>
              </w:rPr>
              <w:t>share data)</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Revenues</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1,053,348</w:t>
            </w:r>
          </w:p>
        </w:tc>
      </w:tr>
      <w:tr>
        <w:trPr>
          <w:trHeight w:val="27"/>
        </w:trPr>
        <w:tc>
          <w:tcPr>
            <w:tcW w:w="4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5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31,230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1.19</w:t>
            </w:r>
          </w:p>
        </w:tc>
      </w:tr>
      <w:tr>
        <w:trPr>
          <w:trHeight w:val="27"/>
        </w:trPr>
        <w:tc>
          <w:tcPr>
            <w:tcW w:w="4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5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r>
        <w:trPr>
          <w:trHeight w:val="459"/>
        </w:trPr>
        <w:tc>
          <w:tcPr>
            <w:tcW w:w="4660" w:type="dxa"/>
            <w:vAlign w:val="bottom"/>
          </w:tcPr>
          <w:p>
            <w:pPr>
              <w:spacing w:after="0"/>
              <w:rPr>
                <w:sz w:val="24"/>
                <w:szCs w:val="24"/>
                <w:color w:val="auto"/>
              </w:rPr>
            </w:pPr>
          </w:p>
        </w:tc>
        <w:tc>
          <w:tcPr>
            <w:tcW w:w="5060" w:type="dxa"/>
            <w:vAlign w:val="bottom"/>
          </w:tcPr>
          <w:p>
            <w:pPr>
              <w:jc w:val="right"/>
              <w:ind w:right="3750"/>
              <w:spacing w:after="0"/>
              <w:rPr>
                <w:sz w:val="20"/>
                <w:szCs w:val="20"/>
                <w:color w:val="auto"/>
              </w:rPr>
            </w:pPr>
            <w:r>
              <w:rPr>
                <w:rFonts w:ascii="Arial" w:cs="Arial" w:eastAsia="Arial" w:hAnsi="Arial"/>
                <w:sz w:val="18"/>
                <w:szCs w:val="18"/>
                <w:color w:val="auto"/>
              </w:rPr>
              <w:t>- 10-</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1,689,803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1,435,242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1,751,909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1,470,674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(62,106)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on balance sheet as: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77,340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139,446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108,440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(62,106)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Progress billings in accounts receivable at March 31, 2015 and June 30, 2014 included retentions to be collected within one year of $32.1 million and $30.0 million, respectively. Contract retentions collectible beyond one year are included in Other Assets on the Condensed Consolidated Balance Sheet and totaled $2.7 million at March 31, 2015 and $4.3 million at June 30,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three month and nine months ended March 31, 2015, our results of operations were materially impacted by charges resulting from a change in estimate related to an acquired EPC joint venture project in the Electrical Infrastructure segment, as described in Note 2 - Acquisitions. The charges resulted in a reduction to operating income of $28.5 million and $54.7 million and an after-tax reduction of $9.7 million and $18.7 million to net income attributable to Matrix Service Company for the three and nine months ended March 31, 2015, respectively. The charge was a result of labor compression and productivity losses, as well as technical issues that have created continued rework, installation and commissioning complexity, all of which has pushed the completion date beyond the previous forecast. The Company expects the project to be substantially completed by the end of the current fiscal year.</w:t>
      </w:r>
    </w:p>
    <w:p>
      <w:pPr>
        <w:spacing w:after="0" w:line="3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In the nine months ended March 31, 2014, our results of operations were materially impacted by a charge resulting from a change in estimate on an aboveground storage tank project. The charge resulted in a $5.4 million decrease in operating income for the nine months ended March 31, 2014.</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Cumulative impairment loss (1)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related adjustment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HDB (2)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Translation adjustment (3)</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March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42,346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9,632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71,377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 as a result of the Company’s operating performance in fiscal 2005.</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Amount represents goodwill in connection with the Company's acquisition of HDB. The acquisition is discussed further in Note 2 - Acquisitions.</w:t>
      </w:r>
    </w:p>
    <w:p>
      <w:pPr>
        <w:spacing w:after="0" w:line="20" w:lineRule="exact"/>
        <w:rPr>
          <w:rFonts w:ascii="Arial" w:cs="Arial" w:eastAsia="Arial" w:hAnsi="Arial"/>
          <w:sz w:val="17"/>
          <w:szCs w:val="17"/>
          <w:color w:val="auto"/>
        </w:rPr>
      </w:pPr>
    </w:p>
    <w:p>
      <w:pPr>
        <w:ind w:left="540" w:right="400" w:hanging="316"/>
        <w:spacing w:after="0" w:line="255"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adjustments relate to the periodic translation of Canadian Dollar denominated goodwill recorded as a part of a prior Canadian acquisition as well as the periodic translation of the Canadian entity acquired with the purchase of KNAC. The acquisition of KNAC is discussed further in Note 2 - Acquisitions.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At March 31, 2015</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27,771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21,680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33,200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25,156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vMerge w:val="restart"/>
          </w:tcPr>
          <w:p>
            <w:pPr>
              <w:jc w:val="right"/>
              <w:ind w:right="675"/>
              <w:spacing w:after="0"/>
              <w:rPr>
                <w:sz w:val="20"/>
                <w:szCs w:val="20"/>
                <w:color w:val="auto"/>
              </w:rPr>
            </w:pPr>
            <w:r>
              <w:rPr>
                <w:rFonts w:ascii="Arial" w:cs="Arial" w:eastAsia="Arial" w:hAnsi="Arial"/>
                <w:sz w:val="18"/>
                <w:szCs w:val="18"/>
                <w:color w:val="auto"/>
              </w:rPr>
              <w:t>- 12-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5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33,049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 in the gross carrying amount of other intangible assets at March 31, 2015 compared to June 30, 2014 is due primarily to the August 22, 2014 acquisition of HDB. The HDB intangible asset consists of amortizing customer-based intangibles with a fair value of $0.9 million and useful life of 10 years. Please refer to Note 2 - Acquisitions for additional information.</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 December 31, 2014, the Company redesignated a trade name with a value of $1.4 million from an indefinite lived to a definite lived intangible asset and assigned a useful life of three years. The change in designation was an impairment indicator. The Company conducted an impairment analysis and concluded that no impairment existed.</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expense totaled $3.7 million in the nine months ended March 31, 2015 and $1.7 million in the nine months ended March 31, 2014. We estimate that the remaining amortization expense at March 31, 2015 will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 ending: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Remainder of Fiscal 2015</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1,245</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3,242</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9,374</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remaining amortization expense at March 31, 2015</w:t>
            </w:r>
          </w:p>
        </w:tc>
        <w:tc>
          <w:tcPr>
            <w:tcW w:w="7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25,156</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issuances of letters of credit and other lawful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97" w:lineRule="exact"/>
        <w:rPr>
          <w:rFonts w:ascii="Arial" w:cs="Arial" w:eastAsia="Arial" w:hAnsi="Arial"/>
          <w:sz w:val="18"/>
          <w:szCs w:val="18"/>
          <w:color w:val="auto"/>
        </w:rPr>
      </w:pPr>
    </w:p>
    <w:p>
      <w:pPr>
        <w:ind w:left="5640" w:hanging="98"/>
        <w:spacing w:after="0"/>
        <w:tabs>
          <w:tab w:leader="none" w:pos="5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7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March 31, 2015, Consolidated EBITDA, as defined in the Credit Agreement, was $53.0 million. Accordingly, at March 31, 2015, there was a restriction on our ability to access the full amount of the credit facility. Consolidated Funded Indebtedness at March 31, 2015 was $34.5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67,528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11,621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32,654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23,017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89,884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165,362</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Outstanding borrowings at March 31, 2015 under our Credit Agreement were used for Canadian dollar advances required for short term working capital, including cross-border purchases of materials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2015, 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Deferred income taxes are computed using the liability method whereby deferred tax assets and liabilities are recognized based on temporary differences between the financial and tax basis of assets and liabilities using presently enacted tax rates. Deferred tax assets are reduced by a valuation allowance when a determination is made that it is more likely than not that some, or all, of the deferred tax assets will not be realized based on the weight of all available evidence. Evidence which is objectively verifiable carries a higher weight in the analysis. The ultimate realization of deferred tax assets is dependent upon the existence of sufficient taxable income of the appropriate character within the carryback and carryforward period available under the tax law. Sources of taxable income include future reversals of existing taxable temporary differences, future earnings and available tax planning strategies.</w:t>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three and nine month periods ending March 31, 2015, the Company's effective tax rates vary significantly from the statutory rates. The primary reason for the significant variation between the Company's effective tax rate and the statutory tax rate is due to charges the Company took in connection with an acquired EPC joint venture project, as described in Note 3 - Uncompleted Contracts. The Company consolidates the joint venture and reports a noncontrolling interest. Accordingly, the Company does not receive a tax benefit for the noncontrolling interest holder's share of the project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$12.8 million at March 31, 2015 and $13.1 million at June 30, 2014.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181"/>
        </w:trPr>
        <w:tc>
          <w:tcPr>
            <w:tcW w:w="6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5"/>
          </w:tcPr>
          <w:p>
            <w:pPr>
              <w:ind w:left="160"/>
              <w:spacing w:after="0"/>
              <w:rPr>
                <w:sz w:val="20"/>
                <w:szCs w:val="20"/>
                <w:color w:val="auto"/>
              </w:rPr>
            </w:pPr>
            <w:r>
              <w:rPr>
                <w:rFonts w:ascii="Arial" w:cs="Arial" w:eastAsia="Arial" w:hAnsi="Arial"/>
                <w:sz w:val="13"/>
                <w:szCs w:val="13"/>
                <w:color w:val="auto"/>
              </w:rPr>
              <w:t>(In thousands, except per share data)</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5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30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Matrix Service Company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11,396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6,241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28,254</w:t>
            </w:r>
          </w:p>
        </w:tc>
      </w:tr>
      <w:tr>
        <w:trPr>
          <w:trHeight w:val="25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26,244</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EPS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1.08</w:t>
            </w:r>
          </w:p>
        </w:tc>
      </w:tr>
      <w:tr>
        <w:trPr>
          <w:trHeight w:val="23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26,711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26,374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26,593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26,244</w:t>
            </w:r>
          </w:p>
        </w:tc>
      </w:tr>
      <w:tr>
        <w:trPr>
          <w:trHeight w:val="27"/>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Dilutive nonvested deferred shares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478</w:t>
            </w:r>
          </w:p>
        </w:tc>
      </w:tr>
      <w:tr>
        <w:trPr>
          <w:trHeight w:val="27"/>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26,711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27,040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26,898</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60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1.05</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Since the net income attributable to Matrix Service Company was negative, neither the options or nonvested deferred shares are dilutive, accordingly, are excluded from the earnings per share calculations for the three months ended March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37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2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5"/>
              </w:rPr>
              <w:t>March 31,</w:t>
            </w:r>
          </w:p>
        </w:tc>
        <w:tc>
          <w:tcPr>
            <w:tcW w:w="13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March 31,</w:t>
            </w:r>
          </w:p>
        </w:tc>
        <w:tc>
          <w:tcPr>
            <w:tcW w:w="138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9"/>
              </w:rPr>
              <w:t>March 31,</w:t>
            </w:r>
          </w:p>
        </w:tc>
        <w:tc>
          <w:tcPr>
            <w:tcW w:w="1220" w:type="dxa"/>
            <w:vAlign w:val="bottom"/>
          </w:tcPr>
          <w:p>
            <w:pPr>
              <w:jc w:val="center"/>
              <w:ind w:right="2"/>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3720" w:type="dxa"/>
            <w:vAlign w:val="bottom"/>
          </w:tcPr>
          <w:p>
            <w:pPr>
              <w:spacing w:after="0"/>
              <w:rPr>
                <w:sz w:val="16"/>
                <w:szCs w:val="16"/>
                <w:color w:val="auto"/>
              </w:rPr>
            </w:pPr>
          </w:p>
        </w:tc>
        <w:tc>
          <w:tcPr>
            <w:tcW w:w="372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220" w:type="dxa"/>
            <w:vAlign w:val="bottom"/>
          </w:tcPr>
          <w:p>
            <w:pPr>
              <w:jc w:val="right"/>
              <w:ind w:right="40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380" w:type="dxa"/>
            <w:vAlign w:val="bottom"/>
          </w:tcPr>
          <w:p>
            <w:pPr>
              <w:jc w:val="right"/>
              <w:ind w:right="544"/>
              <w:spacing w:after="0"/>
              <w:rPr>
                <w:sz w:val="20"/>
                <w:szCs w:val="20"/>
                <w:color w:val="auto"/>
              </w:rPr>
            </w:pPr>
            <w:r>
              <w:rPr>
                <w:rFonts w:ascii="Arial" w:cs="Arial" w:eastAsia="Arial" w:hAnsi="Arial"/>
                <w:sz w:val="14"/>
                <w:szCs w:val="14"/>
                <w:b w:val="1"/>
                <w:bCs w:val="1"/>
                <w:color w:val="auto"/>
              </w:rPr>
              <w:t>2015</w:t>
            </w:r>
          </w:p>
        </w:tc>
        <w:tc>
          <w:tcPr>
            <w:tcW w:w="1220" w:type="dxa"/>
            <w:vAlign w:val="bottom"/>
          </w:tcPr>
          <w:p>
            <w:pPr>
              <w:jc w:val="right"/>
              <w:ind w:right="402"/>
              <w:spacing w:after="0"/>
              <w:rPr>
                <w:sz w:val="20"/>
                <w:szCs w:val="20"/>
                <w:color w:val="auto"/>
              </w:rPr>
            </w:pPr>
            <w:r>
              <w:rPr>
                <w:rFonts w:ascii="Arial" w:cs="Arial" w:eastAsia="Arial" w:hAnsi="Arial"/>
                <w:sz w:val="14"/>
                <w:szCs w:val="14"/>
                <w:b w:val="1"/>
                <w:bCs w:val="1"/>
                <w:color w:val="auto"/>
              </w:rPr>
              <w:t>2014</w:t>
            </w:r>
          </w:p>
        </w:tc>
      </w:tr>
      <w:tr>
        <w:trPr>
          <w:trHeight w:val="196"/>
        </w:trPr>
        <w:tc>
          <w:tcPr>
            <w:tcW w:w="3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3"/>
          </w:tcPr>
          <w:p>
            <w:pPr>
              <w:jc w:val="right"/>
              <w:ind w:right="944"/>
              <w:spacing w:after="0"/>
              <w:rPr>
                <w:sz w:val="20"/>
                <w:szCs w:val="20"/>
                <w:color w:val="auto"/>
              </w:rPr>
            </w:pPr>
            <w:r>
              <w:rPr>
                <w:rFonts w:ascii="Arial" w:cs="Arial" w:eastAsia="Arial" w:hAnsi="Arial"/>
                <w:sz w:val="14"/>
                <w:szCs w:val="14"/>
                <w:color w:val="auto"/>
              </w:rPr>
              <w:t>(In thousands)</w:t>
            </w:r>
          </w:p>
        </w:tc>
        <w:tc>
          <w:tcPr>
            <w:tcW w:w="1220" w:type="dxa"/>
            <w:vAlign w:val="bottom"/>
            <w:tcBorders>
              <w:top w:val="single" w:sz="8" w:color="auto"/>
            </w:tcBorders>
          </w:tcPr>
          <w:p>
            <w:pPr>
              <w:spacing w:after="0"/>
              <w:rPr>
                <w:sz w:val="17"/>
                <w:szCs w:val="17"/>
                <w:color w:val="auto"/>
              </w:rPr>
            </w:pPr>
          </w:p>
        </w:tc>
      </w:tr>
      <w:tr>
        <w:trPr>
          <w:trHeight w:val="25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deferred shares</w:t>
            </w:r>
          </w:p>
        </w:tc>
        <w:tc>
          <w:tcPr>
            <w:tcW w:w="372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268</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8"/>
                <w:szCs w:val="18"/>
                <w:color w:val="auto"/>
              </w:rPr>
              <w:t>139</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15</w:t>
            </w:r>
          </w:p>
        </w:tc>
      </w:tr>
      <w:tr>
        <w:trPr>
          <w:trHeight w:val="459"/>
        </w:trPr>
        <w:tc>
          <w:tcPr>
            <w:tcW w:w="3720" w:type="dxa"/>
            <w:vAlign w:val="bottom"/>
          </w:tcPr>
          <w:p>
            <w:pPr>
              <w:spacing w:after="0"/>
              <w:rPr>
                <w:sz w:val="24"/>
                <w:szCs w:val="24"/>
                <w:color w:val="auto"/>
              </w:rPr>
            </w:pPr>
          </w:p>
        </w:tc>
        <w:tc>
          <w:tcPr>
            <w:tcW w:w="2300" w:type="dxa"/>
            <w:vAlign w:val="bottom"/>
          </w:tcPr>
          <w:p>
            <w:pPr>
              <w:jc w:val="right"/>
              <w:ind w:right="96"/>
              <w:spacing w:after="0"/>
              <w:rPr>
                <w:sz w:val="20"/>
                <w:szCs w:val="20"/>
                <w:color w:val="auto"/>
              </w:rPr>
            </w:pPr>
            <w:r>
              <w:rPr>
                <w:rFonts w:ascii="Arial" w:cs="Arial" w:eastAsia="Arial" w:hAnsi="Arial"/>
                <w:sz w:val="18"/>
                <w:szCs w:val="18"/>
                <w:color w:val="auto"/>
              </w:rPr>
              <w:t>- 16-</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(“ASTs”),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We also offer AST products including floating roof seals. Finally, the Storage Solutions segment includes balance of plant work in storage terminals and tank farms.</w:t>
      </w:r>
    </w:p>
    <w:p>
      <w:pPr>
        <w:spacing w:after="0" w:line="1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2014. Intersegment sales and transfers are recorded at cost; therefore, no intercompany profit or loss is recognized.</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48,228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62,144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162,434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132,201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107,640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182,129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370,977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471,330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224,173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128,398</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8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318,321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381,962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985,814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919,954</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18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4,166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48,228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62,144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162,434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132,201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181,801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370,259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470,532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221,451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128,398</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18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314,155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381,516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978,718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918,731</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 (loss)</w:t>
            </w:r>
          </w:p>
        </w:tc>
        <w:tc>
          <w:tcPr>
            <w:tcW w:w="1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(38,976)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51,894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12,907</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18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39,944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46,966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99,570</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(24,306)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(46,484)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operating income</w:t>
            </w:r>
          </w:p>
        </w:tc>
        <w:tc>
          <w:tcPr>
            <w:tcW w:w="18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18,819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44,398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106,346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72,406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156,367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109,056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105,049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94,552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579,006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568,932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20" w:type="dxa"/>
            <w:vAlign w:val="bottom"/>
            <w:vMerge w:val="restart"/>
          </w:tcPr>
          <w:p>
            <w:pPr>
              <w:jc w:val="right"/>
              <w:ind w:right="90"/>
              <w:spacing w:after="0"/>
              <w:rPr>
                <w:sz w:val="20"/>
                <w:szCs w:val="20"/>
                <w:color w:val="auto"/>
              </w:rPr>
            </w:pPr>
            <w:r>
              <w:rPr>
                <w:rFonts w:ascii="Arial" w:cs="Arial" w:eastAsia="Arial" w:hAnsi="Arial"/>
                <w:sz w:val="18"/>
                <w:szCs w:val="18"/>
                <w:color w:val="auto"/>
              </w:rPr>
              <w:t>- 18-</w:t>
            </w: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2014 Annual Report on Form 10-K filed with the SEC. For more information on our critical accounting policies, see Part II, Item 7 of our fiscal 2014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has five significant reporting units with goodwill representing 59%, 12%, 9%, 8% and 6% of the total goodwill balance. Our most recent annual goodwill impairment test, performed in the fourth quarter of fiscal 2014, indicated that the fair value of these reporting units exceeded their respective carrying values by 94%, 182%, 124%, 165% and 193%, respectively. The remaining 6% of total goodwill is spread between two other reporting units. Based on the excess of estimated fair value over carrying value and the absence of any indicators of impairment at March 31, 2015, the Company does not currently anticipate recording a goodwill impairment charge for any of its operating units.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1.5 to 15 years. Intangible assets that have indefinite useful lives are not amortized but are tested at least annually for impairment. Annually, we evaluate the remaining useful lives of intangible assets not being amortized to determine whether facts and circumstances continue to support an indefinite useful life and review both amortizing and non-amortizing intangible assets for impairment indicators. Based on these reviews, effective December 31, 2014 the Company redesignated a trade name with a value of $1.4 million from an indefinite life to a definite life intangible asset and assigned a useful life of three years. The change in designation was an impairment indicator. The Company conducted an impairment analysis and concluded that no impairment existed. Excluding the redesignated trade name discussed above, the Company determined that no other impairment indicators existed at March 31, 2015.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$12.8 million at March 31, 2015 and $13.1 million at June 30, 2014. The amounts ultimately realized may be significantly different than the recorded amounts resulting in a material adjustment to future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580" w:right="239" w:bottom="1440" w:gutter="0" w:footer="0" w:header="0"/>
        </w:sectPr>
      </w:pPr>
    </w:p>
    <w:bookmarkStart w:id="21" w:name="page22"/>
    <w:bookmarkEnd w:id="21"/>
    <w:p>
      <w:pPr>
        <w:ind w:right="740"/>
        <w:spacing w:after="0" w:line="277" w:lineRule="auto"/>
        <w:rPr>
          <w:sz w:val="20"/>
          <w:szCs w:val="20"/>
          <w:color w:val="auto"/>
        </w:rPr>
      </w:pPr>
      <w:r>
        <w:rPr>
          <w:rFonts w:ascii="Arial" w:cs="Arial" w:eastAsia="Arial" w:hAnsi="Arial"/>
          <w:sz w:val="18"/>
          <w:szCs w:val="18"/>
          <w:color w:val="auto"/>
        </w:rPr>
        <w:t>standards. The ASU applies to all contracts with customers except those that are within the scope of other topics in the FASB Accounting Standards Codification ("ASC").</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public entities, the ASU is effective for annual reporting periods (including interim reporting periods within those periods) beginning after December 15, 2016. Early application is not permitted. We expect to adopt this standard in fiscal 2018 and are currently evaluating its expected impact on our financial statements. At its April 1, 2015, meeting, the FASB tentatively decided to defer for one year the effective date of the new revenue standard. If the FASB does in fact vote to pass the one year deferral, the Company would adopt this standard in fiscal 2019.</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10, 2014, the FASB issued ASU 2014-08, which amends the definition of a discontinued operation in ASC 205-20 and requires entities to provide additional disclosures about discontinued operations as well as disposal transactions that do not meet the discontinued-operations criteria. The ASU is effective prospectively for all disposals (except disposals classified as held for sale before the adoption date) or components initially classified as held for sale in periods beginning on or after December 15, 2014. The Company adopted this standard as of January 1, 2015. The adoption of this standard did not have a material impact on our consolidated financial statements.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early adoption is permitted. We expect to adopt this standard in fiscal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the following four segments: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Storage Solutions segment includes new construction of crude and refined products ASTs, as well as planned and emergency maintenance services. Also included in the Storage Solutions segment is work related to specialty storage tanks including LNG, LIN/LOX, LPG tanks and other specialty vessels including spheres. We also offer AST products including floating roof seals. Finally, the Storage Solutions segment includes balance of plant work in storage terminals and tank farms.</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March 31, 2015 Compared to the Three Months Ended March 31, 2014</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Consolidated revenue was $314.2 million for the three months ended March 31, 2015, compared to consolidated revenue of $381.5 million in the same period in the prior fiscal year. On a segment basis, consolidated revenue decreased in the Storage Solutions, Electrical Infrastructure and Industrial segments by $74.6 million, $13.9 million and $11.6 million, respectively. These reductions were partially offset by an increase in the Oil Gas &amp; Chemical segment of $32.8 million.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profit was $2.6 million in the three months ended March 31, 2015 compared to $39.9 million in the three months ended March 31, 2014.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Fiscal 2015 gross margins were reduced 8.9% to 0.8% related to an acquired EPC joint venture project charge of $28.5 million, as described in Note 3 -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Fiscal 2014 gross margins were 10.5%.</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Consolidated SG&amp;A expenses were $17.1 million in the three months ended March 31, 2015 compared to $21.1 million in the same period a year earlier. The reduction is attributable to lower levels of incentive compensation due to lower profitability. SG&amp;A expense as a percentage of revenue was 5.4% in the three months ended March 31, 2015 compared to 5.5% for the three months ended March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$0.3 million in the three months ended March 31, 2015, and the three months ended March 31, 2014.</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consolidates the joint venture described in Note 2 - Acquisitions, and reports a noncontrolling interest. Accordingly, the Company's operating income includes the noncontrolling interest holder's share of the acquired EPC project loss for which the Company does not receive a tax benefit.</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below reflects the Company's effective tax rate including the noncontrolling interest for the three months ended March 31, 2015 and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6"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2015</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8"/>
              </w:rPr>
              <w:t>March 31, 2014</w:t>
            </w:r>
          </w:p>
        </w:tc>
      </w:tr>
      <w:tr>
        <w:trPr>
          <w:trHeight w:val="256"/>
        </w:trPr>
        <w:tc>
          <w:tcPr>
            <w:tcW w:w="7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(In thousands)</w:t>
            </w:r>
          </w:p>
        </w:tc>
        <w:tc>
          <w:tcPr>
            <w:tcW w:w="1400" w:type="dxa"/>
            <w:vAlign w:val="bottom"/>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(14,450)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18,548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6,756</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Effective tax rate including noncontrolling interest</w:t>
            </w:r>
          </w:p>
        </w:tc>
        <w:tc>
          <w:tcPr>
            <w:tcW w:w="28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reflects the Company's effective tax rate exclusive of the noncontrolling interest for the three months ended March 31, 2015 and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6"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2015</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8"/>
              </w:rPr>
              <w:t>March 31, 2014</w:t>
            </w:r>
          </w:p>
        </w:tc>
      </w:tr>
      <w:tr>
        <w:trPr>
          <w:trHeight w:val="256"/>
        </w:trPr>
        <w:tc>
          <w:tcPr>
            <w:tcW w:w="7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(In thousands)</w:t>
            </w:r>
          </w:p>
        </w:tc>
        <w:tc>
          <w:tcPr>
            <w:tcW w:w="1400" w:type="dxa"/>
            <w:vAlign w:val="bottom"/>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(14,450)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18,548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(loss) attributable to the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396</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Pretax income (loss) attributable to Matrix Service Company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(4,467)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18,152</w:t>
            </w: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6,756</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Effective tax rate exclusive of noncontrolling interest</w:t>
            </w: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received a tax benefit of $1.1 million and $1.7 million for fiscal year 2015 and 2014, respectively, as the result of an increase in the estimated R&amp;D tax credit.</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the three months ended March 31, 2015, net loss attributable to Matrix Service Company and the related fully diluted loss per share were $3.0 million and $0.11 compared to net income attributable to Matrix Service Company of $11.4 million and $0.42 in the same period a year earlier.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 for the Electrical Infrastructure segment decreased $13.9 million to $48.2 million in the three months ended March 31, 2015 compared to $62.1 million in the same period a year earlier. The acquired EPC joint venture project charge reduced gross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584" w:right="2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margins by 57.7% to (46.5%) and was a significant contributor to the revenue decline in the three months ended March 31, 2015. Gross margins were 9.6% in the same period a year earlier. The acquired EPC joint venture project is a loss project which requires recognition of the entire estimated loss. Therefore, all future revenue associated with this project will be recognized with zero margin which will negatively impact margins in this segment until project completion, which is expected to occur in late fiscal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for the Oil Gas &amp; Chemical segment increased to $95.8 million in the three months ended March 31, 2015 compared to $63.0 million in the same period a year earlier. The increase of $32.8 million, or 52.0%, was primarily due to higher levels of maintenance and turnaround work. Gross margins decreased to 7.6% in fiscal 2015 from 11.7% in the three months ended March 31, 2014. The lower margins are primarily attributable to lower than expected profitability on a significant turnaround.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Revenue for the Storage Solutions segment decreased to $107.2 million in the three months ended March 31, 2015 compared to $181.8 million in the same period a year earlier. The decrease is primarily attributable to significant balance of plant work performed in the prior fiscal year. Overall, aboveground storage tank work is consistent with the prior year. Specifically, revenue in the domestic business was higher due to increased demand in both new construction and maintenance work while revenue in the Canadian business was down due to a project delay with a large customer. Gross margins were</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10.5% for both fiscal 2015 and fiscal 2014. Fiscal 2015 gross margin was negatively affected by the under recovery of construction overhead costs due to lower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Revenue for the Industrial segment decreased to $63.0 million in the three months ended March 31, 2015 compared to $74.6 million in the same period a year earlier. The decline in revenue is primarily attributable to a significant mining project in the prior year. Gross margins were 10.4% in the three months ended March 31, 2015 compared to 9.8% in the same period a year earlier. The improvement in gross margin is primarily due to profit recognized on favorable project completions, partially offset by lower construction overhead cost recovery due to lower volumes.</w:t>
      </w:r>
    </w:p>
    <w:p>
      <w:pPr>
        <w:spacing w:after="0" w:line="248" w:lineRule="exact"/>
        <w:rPr>
          <w:sz w:val="20"/>
          <w:szCs w:val="20"/>
          <w:color w:val="auto"/>
        </w:rPr>
      </w:pPr>
    </w:p>
    <w:p>
      <w:pPr>
        <w:ind w:right="4480"/>
        <w:spacing w:after="0" w:line="376" w:lineRule="auto"/>
        <w:rPr>
          <w:sz w:val="20"/>
          <w:szCs w:val="20"/>
          <w:color w:val="auto"/>
        </w:rPr>
      </w:pPr>
      <w:r>
        <w:rPr>
          <w:rFonts w:ascii="Arial" w:cs="Arial" w:eastAsia="Arial" w:hAnsi="Arial"/>
          <w:sz w:val="18"/>
          <w:szCs w:val="18"/>
          <w:b w:val="1"/>
          <w:bCs w:val="1"/>
          <w:color w:val="auto"/>
        </w:rPr>
        <w:t xml:space="preserve">Nine Months Ended March 31, 2015 Compared to the Nine Months Ended March 31, 2014 </w:t>
      </w:r>
      <w:r>
        <w:rPr>
          <w:rFonts w:ascii="Arial" w:cs="Arial" w:eastAsia="Arial" w:hAnsi="Arial"/>
          <w:sz w:val="18"/>
          <w:szCs w:val="18"/>
          <w:b w:val="1"/>
          <w:bCs w:val="1"/>
          <w:i w:val="1"/>
          <w:iCs w:val="1"/>
          <w:color w:val="auto"/>
        </w:rPr>
        <w:t>Consolidated</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Consolidated revenue was $978.7 million for the nine months ended March 31, 2015, an increase of $60.0 million, or 6.5%, from consolidated revenue of $918.7 million in the same period in the prior fiscal year. As discussed in Note 2 - Acquisitions, the Company acquired Kvaerner North American Construction, which we refer to as Matrix NAC, late in the second quarter of fiscal 2014. The revenue increase is primarily attributable to the inclusion of nine months of Matrix NAC revenue in fiscal 2015 compared to less than four months in fiscal 2014. On a segment basis, consolidated revenue increased in the Industrial, Oil Gas &amp; Chemical and Electrical Infrastructure segments by $93.0 million, $37.0 million and $30.2 million respectively, partially offset by a decrease in the Storage Solutions segment of $100.2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profit was $47.0 million in the nine months ended March 31, 2015 compared to $99.6 million in the nine months ended March 31, 2014.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Fiscal 2015 gross margins were reduced 5.8% to 4.8% related to an acquired EPC joint venture project charge of $54.7 million, as described in Note 3 -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Fiscal 2014 gross margins were 10.8%.</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Consolidated SG&amp;A expenses were $56.5 million in the nine months ended March 31, 2015 compared to $55.2 million in the same period a year earlier. The increase of $1.3 million is primarily attributable to a full period of Matrix NAC costs in the current year compared to approximately three months in the prior year and Matrix NAC acquisition related costs in the prior year. These increases were largely offset by lower incentive compensation costs in the current year due to reduced profitability. SG&amp;A expense as a percentage of revenue was 5.8% in the nine months ended March 31, 2015 compared to 6.0% in the same period a year earlier.</w:t>
      </w:r>
    </w:p>
    <w:p>
      <w:pPr>
        <w:spacing w:after="0" w:line="18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Net interest expense was $0.6 million in the nine months ended March 31, 2015, and $0.8 million in the nine months ended March 31, 2014. Fiscal 2015 results include $0.3 million of interest income attributable to an award received due to the settlement of a customer dispute.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584" w:right="239" w:bottom="1440" w:gutter="0" w:footer="0" w:header="0"/>
        </w:sectPr>
      </w:pPr>
    </w:p>
    <w:bookmarkStart w:id="24" w:name="page25"/>
    <w:bookmarkEnd w:id="24"/>
    <w:p>
      <w:pPr>
        <w:ind w:right="160"/>
        <w:spacing w:after="0" w:line="342" w:lineRule="auto"/>
        <w:rPr>
          <w:sz w:val="20"/>
          <w:szCs w:val="20"/>
          <w:color w:val="auto"/>
        </w:rPr>
      </w:pPr>
      <w:r>
        <w:rPr>
          <w:rFonts w:ascii="Arial" w:cs="Arial" w:eastAsia="Arial" w:hAnsi="Arial"/>
          <w:sz w:val="16"/>
          <w:szCs w:val="16"/>
          <w:color w:val="auto"/>
        </w:rPr>
        <w:t>The Company consolidates the joint venture described in Note 2 - Acquisitions, and reports a noncontrolling interest. Accordingly, the Company's operating income includes the noncontrolling interest holder's share of the acquired EPC project loss for which the Company does not receive a tax benefit.</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reflects the Company's effective tax rate including the noncontrolling interest for the nine months ended March 31, 2015 and March 31, 2014:</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5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3520" w:type="dxa"/>
            <w:vAlign w:val="bottom"/>
            <w:tcBorders>
              <w:bottom w:val="single" w:sz="8" w:color="auto"/>
            </w:tcBorders>
            <w:gridSpan w:val="4"/>
            <w:shd w:val="clear" w:color="auto" w:fill="CCEEFF"/>
          </w:tcPr>
          <w:p>
            <w:pPr>
              <w:jc w:val="center"/>
              <w:ind w:right="194"/>
              <w:spacing w:after="0"/>
              <w:rPr>
                <w:sz w:val="20"/>
                <w:szCs w:val="20"/>
                <w:color w:val="auto"/>
              </w:rPr>
            </w:pPr>
            <w:r>
              <w:rPr>
                <w:rFonts w:ascii="Arial" w:cs="Arial" w:eastAsia="Arial" w:hAnsi="Arial"/>
                <w:sz w:val="14"/>
                <w:szCs w:val="14"/>
                <w:b w:val="1"/>
                <w:bCs w:val="1"/>
                <w:color w:val="auto"/>
                <w:w w:val="94"/>
              </w:rPr>
              <w:t>Nine Months Ended</w:t>
            </w:r>
          </w:p>
        </w:tc>
      </w:tr>
      <w:tr>
        <w:trPr>
          <w:trHeight w:val="264"/>
        </w:trPr>
        <w:tc>
          <w:tcPr>
            <w:tcW w:w="7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2015</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8"/>
              </w:rPr>
              <w:t>March 31, 2014</w:t>
            </w:r>
          </w:p>
        </w:tc>
      </w:tr>
      <w:tr>
        <w:trPr>
          <w:trHeight w:val="256"/>
        </w:trPr>
        <w:tc>
          <w:tcPr>
            <w:tcW w:w="75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100" w:type="dxa"/>
            <w:vAlign w:val="bottom"/>
            <w:gridSpan w:val="3"/>
            <w:shd w:val="clear" w:color="auto" w:fill="CCEEFF"/>
          </w:tcPr>
          <w:p>
            <w:pPr>
              <w:jc w:val="center"/>
              <w:ind w:left="1059"/>
              <w:spacing w:after="0"/>
              <w:rPr>
                <w:sz w:val="20"/>
                <w:szCs w:val="20"/>
                <w:color w:val="auto"/>
              </w:rPr>
            </w:pPr>
            <w:r>
              <w:rPr>
                <w:rFonts w:ascii="Arial" w:cs="Arial" w:eastAsia="Arial" w:hAnsi="Arial"/>
                <w:sz w:val="14"/>
                <w:szCs w:val="14"/>
                <w:color w:val="auto"/>
                <w:w w:val="93"/>
              </w:rPr>
              <w:t>(In thousands)</w:t>
            </w:r>
          </w:p>
        </w:tc>
        <w:tc>
          <w:tcPr>
            <w:tcW w:w="1420" w:type="dxa"/>
            <w:vAlign w:val="bottom"/>
            <w:shd w:val="clear" w:color="auto" w:fill="CCEEFF"/>
          </w:tcPr>
          <w:p>
            <w:pPr>
              <w:spacing w:after="0"/>
              <w:rPr>
                <w:sz w:val="22"/>
                <w:szCs w:val="22"/>
                <w:color w:val="auto"/>
              </w:rPr>
            </w:pP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99"/>
              <w:spacing w:after="0"/>
              <w:rPr>
                <w:sz w:val="20"/>
                <w:szCs w:val="20"/>
                <w:color w:val="auto"/>
              </w:rPr>
            </w:pPr>
            <w:r>
              <w:rPr>
                <w:rFonts w:ascii="Arial" w:cs="Arial" w:eastAsia="Arial" w:hAnsi="Arial"/>
                <w:sz w:val="18"/>
                <w:szCs w:val="18"/>
                <w:color w:val="auto"/>
              </w:rPr>
              <w:t>(9,847)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43,410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14,755</w:t>
            </w:r>
          </w:p>
        </w:tc>
      </w:tr>
      <w:tr>
        <w:trPr>
          <w:trHeight w:val="257"/>
        </w:trPr>
        <w:tc>
          <w:tcPr>
            <w:tcW w:w="7540" w:type="dxa"/>
            <w:vAlign w:val="bottom"/>
          </w:tcPr>
          <w:p>
            <w:pPr>
              <w:ind w:left="20"/>
              <w:spacing w:after="0"/>
              <w:rPr>
                <w:sz w:val="20"/>
                <w:szCs w:val="20"/>
                <w:color w:val="auto"/>
              </w:rPr>
            </w:pPr>
            <w:r>
              <w:rPr>
                <w:rFonts w:ascii="Arial" w:cs="Arial" w:eastAsia="Arial" w:hAnsi="Arial"/>
                <w:sz w:val="18"/>
                <w:szCs w:val="18"/>
                <w:color w:val="auto"/>
              </w:rPr>
              <w:t>Effective tax rate including noncontrolling interest</w:t>
            </w:r>
          </w:p>
        </w:tc>
        <w:tc>
          <w:tcPr>
            <w:tcW w:w="30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reflects the Company's effective tax rate exclusive of the noncontrolling interest for the nine months ended March 31, 2015 and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6"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92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2015</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8"/>
              </w:rPr>
              <w:t>March 31, 2014</w:t>
            </w:r>
          </w:p>
        </w:tc>
      </w:tr>
      <w:tr>
        <w:trPr>
          <w:trHeight w:val="256"/>
        </w:trPr>
        <w:tc>
          <w:tcPr>
            <w:tcW w:w="7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(In thousands)</w:t>
            </w:r>
          </w:p>
        </w:tc>
        <w:tc>
          <w:tcPr>
            <w:tcW w:w="1400" w:type="dxa"/>
            <w:vAlign w:val="bottom"/>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(9,847)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43,410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(loss) attributable to the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401</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Pretax income attributable to Matrix Service Company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9,512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43,009</w:t>
            </w: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14,755</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Effective tax rate exclusive of noncontrolling interest</w:t>
            </w: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fiscal 2015 effective tax rate includes an additional tax benefit of $1.1 million from the reinstatement of the R&amp;D tax credit through calendar year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March 31, 2014, the Company received a tax benefit of $1.7 million as the result of an increase in the estimated R&amp;D tax credit.</w:t>
      </w:r>
    </w:p>
    <w:p>
      <w:pPr>
        <w:spacing w:after="0" w:line="2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nine months ended March 31, 2015, net income attributable to Matrix Service Company and the related fully diluted earnings per share were $6.2 million and $0.23, compared to $28.3 million and $1.05 in the same period a year earlier.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30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Revenue for the Electrical Infrastructure segment increased $30.2 million to $162.4 million in the nine months ended March 31, 2015 compared to $132.2 million in the same period a year earlier. The increased revenue volume in the nine months ended March 31, 2015 was primarily due to the inclusion of Matrix NAC activity. The acquired EPC joint venture project charge reduced gross margins 35.1% to (24.0%) in the nine months ended March 31, 2015. Gross margins were 10.0% in the same period a year earlier. The acquired EPC joint venture project is a loss project which requires recognition of the entire estimated loss. Therefore, all future revenue associated with this project will be recognized with zero margin, which will negatively impact margins in this segment until project completion, which is expected to occur in late fiscal 2015.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Revenue for the Oil Gas &amp; Chemical segment increased $37.0 million to $224.6 million in the nine months ended March 31, 2015 compared to $187.6 million in the same period a year earlier. The increased revenue was primarily due to higher levels of maintenance and capital work. Gross margins were</w:t>
      </w:r>
    </w:p>
    <w:p>
      <w:pPr>
        <w:jc w:val="both"/>
        <w:ind w:right="120"/>
        <w:spacing w:after="0" w:line="255" w:lineRule="auto"/>
        <w:rPr>
          <w:sz w:val="20"/>
          <w:szCs w:val="20"/>
          <w:color w:val="auto"/>
        </w:rPr>
      </w:pPr>
      <w:r>
        <w:rPr>
          <w:rFonts w:ascii="Arial" w:cs="Arial" w:eastAsia="Arial" w:hAnsi="Arial"/>
          <w:sz w:val="18"/>
          <w:szCs w:val="18"/>
          <w:color w:val="auto"/>
        </w:rPr>
        <w:t>8.5% in the nine months ended March 31, 2015 compared to 11.5% a year earlier. Although the recovery of overhead continued to improve in the third fiscal quarter, year-to-date results were negatively affected by under recovered construction overhead costs. In addition, gross margins were negatively affected by lower than expected profitability on a significant turnaround completed in the third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584" w:right="239" w:bottom="1440" w:gutter="0" w:footer="0" w:header="0"/>
        </w:sectPr>
      </w:pPr>
    </w:p>
    <w:bookmarkStart w:id="25" w:name="page26"/>
    <w:bookmarkEnd w:id="25"/>
    <w:p>
      <w:pPr>
        <w:ind w:right="60"/>
        <w:spacing w:after="0" w:line="297" w:lineRule="auto"/>
        <w:rPr>
          <w:sz w:val="20"/>
          <w:szCs w:val="20"/>
          <w:color w:val="auto"/>
        </w:rPr>
      </w:pPr>
      <w:r>
        <w:rPr>
          <w:rFonts w:ascii="Arial" w:cs="Arial" w:eastAsia="Arial" w:hAnsi="Arial"/>
          <w:sz w:val="16"/>
          <w:szCs w:val="16"/>
          <w:color w:val="auto"/>
        </w:rPr>
        <w:t>Revenue for the Storage Solutions segment decreased to $370.3 million in the nine months ended March 31, 2015 compared to $470.5 million in the same period a year earlier. Prior year results were positively affected by significant balance of plant work. In the current year, revenue in the domestic aboveground storage tank business has increased but was more than offset by lower revenue in our Canadian business due to a project delay with a large customer. Fiscal 2015 gross margins were 10.8% compared to 11.0% in the same period in the prior year. The fiscal 2015 gross margin was negatively affected by the under recovery of construction overhead costs due to lower revenue. The fiscal 2014 gross margin of 11.0% was reduced by a project charge of $5.4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Revenue for the Industrial segment increased to $221.4 million in the nine months ended March 31, 2015 compared to $128.4 million in the same period a year earlier. The increase of $93.0 million was primarily due to the inclusion of Matrix NAC activity for the full nine-month period. Gross margins were 12.2% for the nine months ended March 31, 2015 compared to 10.1% in the same period a year earlier. The gross margins were higher than expected and primarily due to profit recognized on favorable project completions and a favorable settlement with a customer, partially offset by lower construction overhead cost recovery.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124,158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147,707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446,877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120,229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838,971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477,138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81,665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68,588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87,028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714,419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(314,155)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Backlog as of March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553,068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133,614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408,302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144,251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1,239,235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162,136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482,631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160,842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915,826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553,366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247,971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295,930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204,860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1,302,127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(978,718)</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Backlog as of March 31,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553,068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133,614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408,302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144,251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1,239,235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in the Storage Solutions and Electrical Infrastructure segments typically have the greatest volatility because individual project awards can be less frequent and more significant.</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third quarter, the Company was awarded a combined cycle gas-fueled power generation station valued at approximately $450 million which is included the Electrical Infrastructure segment. Project awards in all segments were generally in line with the Company's expectations. In particular, the Company saw no significant project award delays or cancellations that were the result of the recent volatility in crude oil prices.</w:t>
      </w:r>
    </w:p>
    <w:p>
      <w:pPr>
        <w:spacing w:after="0" w:line="111"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The award mentioned above significantly increased the portion of the Company's backlog denominated in Canadian dollars. The recent weakening of the Canadian dollar along with the Company's increased exposure to Canadian dollar work resulted in a decrease to backlog of approximately $30.0 million.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25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Quarterly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Accordingly, results for any interim period may not necessarily be indicative of future operating results.</w:t>
      </w:r>
    </w:p>
    <w:p>
      <w:pPr>
        <w:spacing w:after="0" w:line="11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Company's operating results.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380"/>
          </w:cols>
          <w:pgMar w:left="240" w:top="746"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Impact of Crude Oil Prices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effect of declining crude prices on our results for the three and nine months ended March 31, 2015 was not significant, and there have been no significant reductions to our backlog as a result of project cancellations. In addition, we expect that any future impact to the Electrical Infrastructure and Industrial segments will be minimal as these segments have limited exposure to the price of crude.</w:t>
      </w:r>
    </w:p>
    <w:p>
      <w:pPr>
        <w:spacing w:after="0" w:line="12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our Storage Solutions segment, our customers continue to take a long-term view of the crude market but are becoming more cautious short-term. If the prices continue at current levels or decline further into fiscal 2016, we would expect to see some reduction in customer spending. Although we do not expect the impact to future earnings to be significant, we cannot predict the direction of crude oil prices or our customers’ ultimate reaction to the market.</w:t>
      </w:r>
    </w:p>
    <w:p>
      <w:pPr>
        <w:spacing w:after="0" w:line="9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the mid and downstream portions of the Oil Gas &amp; Chemical segment we expect minimal mid and long term impact to our revenue volume attributable to maintenance work. However, the margins between crude and refined products is favorable which has temporarily delayed spending in some of our refining work locations. Additionally, some of our mid and downstream customers are integrated oil companies with exposure to the price of crude, if the prices continue at current levels or decline further into fiscal 2016, spending levels may be reduced. Our exposure to upstream clients in the Oil Gas &amp; Chemical segment, who have direct exposure to the price of crude, is limited to the operations from our recent acquisition of substantially all of the assets of HDB Ltd. Limited Partnership which conducts most of its business with upstream exploration companies. Although we expect this customer base to reduce spending, our exposure to upstream clients is not currently significant.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2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196"/>
        </w:trPr>
        <w:tc>
          <w:tcPr>
            <w:tcW w:w="4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9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28,254</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898</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14,755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5,792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17,332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12,945</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23,870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27,790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56,852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- 26-</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nine months ended March 31, 2015 were cash on hand at the beginning of the fiscal year, capacity under our senior revolving credit facility and cash generated from operations. Cash on hand at March 31, 2015 totaled $103.2 million and availability under the senior revolving credit facility totaled $89.9 million resulting in available liquidity of $193.1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88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0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capacity constraints under our senior revolving credit facility and remaining in compliance with all covenants contained in the credit agreement.</w:t>
      </w:r>
    </w:p>
    <w:p>
      <w:pPr>
        <w:spacing w:after="0" w:line="3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acquired EPC joint venture project charges have resulted in a significant short term capacity constraint on the Company's senior revolving credit facility. Although the constraint does reduce our liquidity, the Company believes that the remaining availability under our credit facility, as discussed under the caption "Senior Revolving Credit Facility" included in this Financial Condition and Liquidity section of the Form 10-Q, along with cash on hand and cash generated from operations will provide sufficient liquidity to achieve both our short and long-term business objectives.</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340"/>
          </w:cols>
          <w:pgMar w:left="240" w:top="580"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Cash Flow for the Nine Months Ended March 31, 2015</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flows provided by operating activities for the nine months ended March 31, 2015 totaled $37.0 million. The various components of cash flows from operating activities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6400" w:type="dxa"/>
            <w:vAlign w:val="bottom"/>
            <w:gridSpan w:val="2"/>
          </w:tcPr>
          <w:p>
            <w:pPr>
              <w:jc w:val="right"/>
              <w:ind w:right="3010"/>
              <w:spacing w:after="0"/>
              <w:rPr>
                <w:sz w:val="20"/>
                <w:szCs w:val="20"/>
                <w:color w:val="auto"/>
              </w:rPr>
            </w:pPr>
            <w:r>
              <w:rPr>
                <w:rFonts w:ascii="Arial" w:cs="Arial" w:eastAsia="Arial" w:hAnsi="Arial"/>
                <w:sz w:val="18"/>
                <w:szCs w:val="18"/>
                <w:b w:val="1"/>
                <w:bCs w:val="1"/>
                <w:color w:val="auto"/>
                <w:w w:val="90"/>
              </w:rPr>
              <w:t>Net Cash Provided by Operating Activities</w:t>
            </w:r>
          </w:p>
        </w:tc>
        <w:tc>
          <w:tcPr>
            <w:tcW w:w="96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p>
        </w:tc>
        <w:tc>
          <w:tcPr>
            <w:tcW w:w="6400" w:type="dxa"/>
            <w:vAlign w:val="bottom"/>
            <w:gridSpan w:val="2"/>
          </w:tcPr>
          <w:p>
            <w:pPr>
              <w:jc w:val="right"/>
              <w:ind w:right="413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r>
      <w:tr>
        <w:trPr>
          <w:trHeight w:val="324"/>
        </w:trPr>
        <w:tc>
          <w:tcPr>
            <w:tcW w:w="40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(13,118)</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20,412</w:t>
            </w:r>
          </w:p>
        </w:tc>
      </w:tr>
      <w:tr>
        <w:trPr>
          <w:trHeight w:val="27"/>
        </w:trPr>
        <w:tc>
          <w:tcPr>
            <w:tcW w:w="40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w w:val="89"/>
              </w:rPr>
              <w:t>Cash effect of changes in operating assets and liabilities</w:t>
            </w:r>
          </w:p>
        </w:tc>
        <w:tc>
          <w:tcPr>
            <w:tcW w:w="6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30,529</w:t>
            </w:r>
          </w:p>
        </w:tc>
      </w:tr>
      <w:tr>
        <w:trPr>
          <w:trHeight w:val="27"/>
        </w:trPr>
        <w:tc>
          <w:tcPr>
            <w:tcW w:w="40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0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36,975</w:t>
            </w:r>
          </w:p>
        </w:tc>
      </w:tr>
      <w:tr>
        <w:trPr>
          <w:trHeight w:val="20"/>
        </w:trPr>
        <w:tc>
          <w:tcPr>
            <w:tcW w:w="40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cash effect of significant changes in operating assets and liabilities net of the effects from acquisitions include the following:</w:t>
      </w:r>
    </w:p>
    <w:p>
      <w:pPr>
        <w:spacing w:after="0" w:line="225" w:lineRule="exact"/>
        <w:rPr>
          <w:sz w:val="20"/>
          <w:szCs w:val="20"/>
          <w:color w:val="auto"/>
        </w:rPr>
      </w:pPr>
    </w:p>
    <w:p>
      <w:pPr>
        <w:ind w:left="980" w:right="2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change in accounts receivable caused an increase in cash of $17.4 million. The positive variance is primarily due to the timing of project billings and collections.</w:t>
      </w:r>
    </w:p>
    <w:p>
      <w:pPr>
        <w:spacing w:after="0" w:line="170" w:lineRule="exact"/>
        <w:rPr>
          <w:rFonts w:ascii="Arial" w:cs="Arial" w:eastAsia="Arial" w:hAnsi="Arial"/>
          <w:sz w:val="18"/>
          <w:szCs w:val="18"/>
          <w:color w:val="auto"/>
        </w:rPr>
      </w:pPr>
    </w:p>
    <w:p>
      <w:pPr>
        <w:ind w:left="980" w:right="40" w:hanging="324"/>
        <w:spacing w:after="0" w:line="30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net change in the combined balance of costs and estimated earnings in excess of billings on uncompleted contracts and billings on uncompleted contracts in excess of costs and estimated earnings caused an increase to cash of $26.7 million at March 31, 2015. The favorable variance is attributable to an increase in costs and estimated earnings in excess of billings of $4.3 million and a $31.0 million increase in billings on uncompleted contracts in excess of costs and estimated earnings both of which were driven by project billings milestones and collections.</w:t>
      </w:r>
    </w:p>
    <w:p>
      <w:pPr>
        <w:spacing w:after="0" w:line="154" w:lineRule="exact"/>
        <w:rPr>
          <w:rFonts w:ascii="Arial" w:cs="Arial" w:eastAsia="Arial" w:hAnsi="Arial"/>
          <w:sz w:val="16"/>
          <w:szCs w:val="16"/>
          <w:color w:val="auto"/>
        </w:rPr>
      </w:pPr>
    </w:p>
    <w:p>
      <w:pPr>
        <w:ind w:left="980" w:right="5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change in accounts payable resulted in a decrease to cash of $23.0 million. The unfavorable variance is primarily due to the timing of vendor payments.</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change in accrued wages and benefits and other accrued expenses resulted in a increase to cash of $6.0 million. The favorable variance is primarily attributable to the payment of short term incentives accrued at June 30, 2014 but paid out during the first quarter of the current fiscal year offset by the remaining accrued project charge from our joint venture as described in Note 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Investing activities used $16.0 million of cash in the first nine months of fiscal 2015 primarily due to the purchase of HDB in the amount of $5.6 million and capital expenditures of $11.1 million. The HDB acquisition is discussed in Note 2 of the Notes to Condensed Consolidated Financial Statements included in Part 1, Item 1 of this Quarterly Report on Form 10-Q. Capital expenditures consisted primarily of $3.1 million for the purchase of construction equipment, $3.3 million for transportation and fabrication equipment, $4.1 million for office equipment, $0.3 million for land and buildings, and $0.3 million for small tools.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Financing activities provided $6.1 million of cash in the first nine months of fiscal 2015 primarily due to $7.8 million in proceeds contributed from the noncontrolling interest partner in our acquired EPC joint venture project, net repayments of $1.7 million under our credit facility, and treasury share purchases of $2.5 million. Cash received for the issuance of stock options was $0.5 million and $0.2 million in cash was received from employees participating in the Company's employee stock purchase program. The excess tax benefit of exercised stock options and vesting of deferred shares provided $1.7 million of cash. Cash borrowings and repayments for the first nine months of fiscal 2015 were $8.3 million and $10.0 million, respectively. Cash borrowings were used for Canadian dollar advances to fund our existing Canadian operations including amounts to settle intercompany cross currency billings and other borrowings to finance our short-term working capital requirements.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82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175" w:lineRule="exact"/>
        <w:rPr>
          <w:sz w:val="20"/>
          <w:szCs w:val="20"/>
          <w:color w:val="auto"/>
        </w:rPr>
      </w:pPr>
    </w:p>
    <w:p>
      <w:pPr>
        <w:jc w:val="both"/>
        <w:ind w:left="60" w:right="40"/>
        <w:spacing w:after="0" w:line="264" w:lineRule="auto"/>
        <w:rPr>
          <w:sz w:val="20"/>
          <w:szCs w:val="20"/>
          <w:color w:val="auto"/>
        </w:rPr>
      </w:pPr>
      <w:r>
        <w:rPr>
          <w:rFonts w:ascii="Arial" w:cs="Arial" w:eastAsia="Arial" w:hAnsi="Arial"/>
          <w:sz w:val="18"/>
          <w:szCs w:val="18"/>
          <w:color w:val="auto"/>
        </w:rPr>
        <w:t>As noted previously in Note 5 of the Notes to Condensed Consolidated Financial Statements included in Part 1, Item 1 of this Quarterly Report on Form 10-Q, the Company has a five-year $200.0 million senior secured revolving credit facility under a credit agreement (the "Credit Agreement") that expires March 13,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22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March 31, 2015, Consolidated EBITDA, as defined in the Credit Agreement, was $53.0 million. Accordingly, at March 31, 2015, there was a restriction on our ability to access the full amount of the credit facility. Consolidated Funded Indebtedness at March 31, 2015 was $34.5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March 31, 2015 and June 30, 2014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67,528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132,472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11,621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32,654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23,017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89,884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165,362</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Outstanding borrowings at March 31, 2015 included Canadian dollar advances to fund our existing Canadian operations including amounts to settle intercompany cross currency billings and other borrowings to finance our short-term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dividends on our capital stock during any fiscal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823" w:right="239" w:bottom="1440" w:gutter="0" w:footer="0" w:header="0"/>
        </w:sectPr>
      </w:pPr>
    </w:p>
    <w:bookmarkStart w:id="31" w:name="page32"/>
    <w:bookmarkEnd w:id="31"/>
    <w:p>
      <w:pPr>
        <w:spacing w:after="0" w:line="264" w:lineRule="auto"/>
        <w:rPr>
          <w:sz w:val="20"/>
          <w:szCs w:val="20"/>
          <w:color w:val="auto"/>
        </w:rPr>
      </w:pPr>
      <w:r>
        <w:rPr>
          <w:rFonts w:ascii="Arial" w:cs="Arial" w:eastAsia="Arial" w:hAnsi="Arial"/>
          <w:sz w:val="18"/>
          <w:szCs w:val="18"/>
          <w:color w:val="auto"/>
        </w:rPr>
        <w:t>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November 4, 2014 the Board of Directors approved a stock buyback program that replaced the program that had been in place since November 2012. The new program, which expires on December 31, 2016, allows the Company to purchase up to $25.0 million of common stock annually if sufficient liquidity exists and management believes the purchase would be accretive to the Company's stockholders. The annual $25.0 million limitation is applied on a calendar year basis. The cumulative number of shares repurchased cannot exceed 2,653,399, which represents 10% of the shares outstanding on the date the new repurchase program was approved.</w:t>
      </w:r>
    </w:p>
    <w:p>
      <w:pPr>
        <w:spacing w:after="0" w:line="13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102,450 shares in the first nine months of fiscal 2015 to satisfy these obligations. These shares were returned to the Company’s pool of treasury shares.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1,173,656 treasury shares as of March 31, 2015 and intends to utilize these treasury shares solely in connection with equity awards under the Company’s stock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to our business of crude oil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2014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30-</w:t>
      </w:r>
    </w:p>
    <w:p>
      <w:pPr>
        <w:sectPr>
          <w:pgSz w:w="11900" w:h="16838" w:orient="portrait"/>
          <w:cols w:equalWidth="0" w:num="1">
            <w:col w:w="11400"/>
          </w:cols>
          <w:pgMar w:left="240" w:top="665" w:right="259" w:bottom="1440" w:gutter="0" w:footer="0" w:header="0"/>
        </w:sectPr>
      </w:pPr>
    </w:p>
    <w:bookmarkStart w:id="32" w:name="page33"/>
    <w:bookmarkEnd w:id="32"/>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340"/>
          </w:cols>
          <w:pgMar w:left="240" w:top="584"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2014, filed with the Securities and Exchange Commission. For more information on market risk, see Part II, Item 7A in our fiscal 2014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2015. Based on the foregoing, our Chief Executive Officer and Chief Financial Officer concluded that our disclosure controls and procedures were effective at the reasonable assurance level at March 31, 2015.</w:t>
      </w:r>
    </w:p>
    <w:p>
      <w:pPr>
        <w:spacing w:after="0" w:line="187" w:lineRule="exact"/>
        <w:rPr>
          <w:sz w:val="20"/>
          <w:szCs w:val="20"/>
          <w:color w:val="auto"/>
        </w:rPr>
      </w:pPr>
    </w:p>
    <w:p>
      <w:pPr>
        <w:ind w:right="2320"/>
        <w:spacing w:after="0" w:line="273" w:lineRule="auto"/>
        <w:rPr>
          <w:sz w:val="20"/>
          <w:szCs w:val="20"/>
          <w:color w:val="auto"/>
        </w:rPr>
      </w:pPr>
      <w:r>
        <w:rPr>
          <w:rFonts w:ascii="Arial" w:cs="Arial" w:eastAsia="Arial" w:hAnsi="Arial"/>
          <w:sz w:val="17"/>
          <w:szCs w:val="17"/>
          <w:color w:val="auto"/>
        </w:rPr>
        <w:t>We completed the acquisition of Matrix NAC effective December 21, 2013. We are in the process of assessing and, to the extent necessary, making changes to the internal control over financial reporting of Matrix NAC to conform such internal control to that used on our other operations. However, we are not yet required to evaluate, and have not yet fully evaluated, changes in Matrix NAC's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March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823" w:right="2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third quarter of fiscal year 2015.</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Announced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to January 31, 2015</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2,653,399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February 1 to February 28, 2015</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2,653,399</w:t>
            </w: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1,292</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$18.86</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1 to March 31, 2015</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2,653,399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6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ind w:left="540" w:right="180" w:hanging="316"/>
        <w:spacing w:after="0" w:line="25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November 4, 2014 the Board of Directors approved a stock buyback program that replaces the program that had been in place since November 2012. The new program, which expires on December 31, 2016, allows the Company to purchase up to $25.0 million annually of common stock if sufficient liquidity exist and management believes the shares purchase would be accretive to the Company's stockholders. The annual $25.0 million limitation is applied on a calendar year basis. The shares included in this column represent the maximum number of shares that were available to be purchased under the plan approved on November 4,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360"/>
          </w:cols>
          <w:pgMar w:left="240" w:top="580"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8"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Pursuant to Section 302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Pursuant to Section 302 of Sarbanes-Oxley Act of 2002 – CFO.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32.1:</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0"/>
              </w:rPr>
              <w:t>(section 906 of Sarbanes-Oxley Act of 2002) – CEO.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32.2:</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1"/>
              </w:rPr>
              <w:t>(section 906 of Sarbanes-Oxley Act of 2002) – CFO.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95:</w:t>
            </w:r>
          </w:p>
        </w:tc>
        <w:tc>
          <w:tcPr>
            <w:tcW w:w="2320" w:type="dxa"/>
            <w:vAlign w:val="bottom"/>
          </w:tcPr>
          <w:p>
            <w:pPr>
              <w:ind w:left="300"/>
              <w:spacing w:after="0"/>
              <w:rPr>
                <w:sz w:val="20"/>
                <w:szCs w:val="20"/>
                <w:color w:val="auto"/>
              </w:rPr>
            </w:pPr>
            <w:r>
              <w:rPr>
                <w:rFonts w:ascii="Arial" w:cs="Arial" w:eastAsia="Arial" w:hAnsi="Arial"/>
                <w:sz w:val="18"/>
                <w:szCs w:val="18"/>
                <w:color w:val="auto"/>
              </w:rPr>
              <w:t>Mine Safety Disclosure.</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101.INS:</w:t>
            </w:r>
          </w:p>
        </w:tc>
        <w:tc>
          <w:tcPr>
            <w:tcW w:w="2320" w:type="dxa"/>
            <w:vAlign w:val="bottom"/>
          </w:tcPr>
          <w:p>
            <w:pPr>
              <w:ind w:left="300"/>
              <w:spacing w:after="0"/>
              <w:rPr>
                <w:sz w:val="20"/>
                <w:szCs w:val="20"/>
                <w:color w:val="auto"/>
              </w:rPr>
            </w:pPr>
            <w:r>
              <w:rPr>
                <w:rFonts w:ascii="Arial" w:cs="Arial" w:eastAsia="Arial" w:hAnsi="Arial"/>
                <w:sz w:val="18"/>
                <w:szCs w:val="18"/>
                <w:color w:val="auto"/>
                <w:w w:val="94"/>
              </w:rPr>
              <w:t>XBRL Instance Document.</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101.SCH:</w:t>
            </w: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8"/>
              </w:rPr>
              <w:t>XBRL Taxonomy Schema Document.</w:t>
            </w: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101.CAL:</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101.DEF:</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101.LAB:</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101.PRE:</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2015</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34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340"/>
          </w:cols>
          <w:pgMar w:left="240" w:top="580"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2360" w:type="dxa"/>
            <w:vAlign w:val="bottom"/>
          </w:tcPr>
          <w:p>
            <w:pPr>
              <w:spacing w:after="0"/>
              <w:rPr>
                <w:sz w:val="17"/>
                <w:szCs w:val="17"/>
                <w:color w:val="auto"/>
              </w:rPr>
            </w:pPr>
          </w:p>
        </w:tc>
      </w:tr>
      <w:tr>
        <w:trPr>
          <w:trHeight w:val="709"/>
        </w:trPr>
        <w:tc>
          <w:tcPr>
            <w:tcW w:w="1620" w:type="dxa"/>
            <w:vAlign w:val="bottom"/>
          </w:tcPr>
          <w:p>
            <w:pPr>
              <w:spacing w:after="0"/>
              <w:rPr>
                <w:sz w:val="20"/>
                <w:szCs w:val="20"/>
                <w:color w:val="auto"/>
              </w:rPr>
            </w:pPr>
            <w:r>
              <w:rPr>
                <w:rFonts w:ascii="Arial" w:cs="Arial" w:eastAsia="Arial" w:hAnsi="Arial"/>
                <w:sz w:val="18"/>
                <w:szCs w:val="18"/>
                <w:color w:val="auto"/>
              </w:rPr>
              <w:t>Exhibit 31.1: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31.2: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32.1: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CEO.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32.2: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CFO.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95:</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101.INS:</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101.SCH:</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101.CAL:</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101.DEF:</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101.LAB:</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101.PRE:</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62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- 35-</w:t>
            </w:r>
          </w:p>
        </w:tc>
        <w:tc>
          <w:tcPr>
            <w:tcW w:w="2360" w:type="dxa"/>
            <w:vAlign w:val="bottom"/>
          </w:tcPr>
          <w:p>
            <w:pPr>
              <w:spacing w:after="0"/>
              <w:rPr>
                <w:sz w:val="24"/>
                <w:szCs w:val="24"/>
                <w:color w:val="auto"/>
              </w:rPr>
            </w:pPr>
          </w:p>
        </w:tc>
      </w:tr>
    </w:tbl>
    <w:p>
      <w:pPr>
        <w:sectPr>
          <w:pgSz w:w="11900" w:h="16838" w:orient="portrait"/>
          <w:cols w:equalWidth="0" w:num="1">
            <w:col w:w="10179"/>
          </w:cols>
          <w:pgMar w:left="280" w:top="56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8,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2015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8,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2015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1" w:name="page42"/>
    <w:bookmarkEnd w:id="41"/>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1972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97231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4"/>
              </w:rPr>
              <w:t>Received Notice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of Legal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4"/>
              </w:rPr>
              <w:t>Operating</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Mining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Violations Under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Section 110(b)</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Section 104(e)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3"/>
              </w:rPr>
              <w:t xml:space="preserve">(6) </w:t>
            </w:r>
            <w:r>
              <w:rPr>
                <w:rFonts w:ascii="Arial" w:cs="Arial" w:eastAsia="Arial" w:hAnsi="Arial"/>
                <w:sz w:val="14"/>
                <w:szCs w:val="14"/>
                <w:color w:val="auto"/>
                <w:w w:val="93"/>
              </w:rPr>
              <w:t>(yes/no)</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8</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76"/>
              </w:rPr>
              <w:t>1</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Morenci Inc. 02-</w:t>
            </w: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00024 5CP</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Safford Inc. 02-</w:t>
            </w: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03131</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Solvay</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Chemicals Inc.</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9"/>
              </w:rPr>
              <w:t>3913</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No</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2</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48-01295</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60" w:right="360" w:hanging="252"/>
        <w:spacing w:after="0" w:line="261"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39" w:lineRule="exact"/>
        <w:rPr>
          <w:rFonts w:ascii="Arial" w:cs="Arial" w:eastAsia="Arial" w:hAnsi="Arial"/>
          <w:sz w:val="13"/>
          <w:szCs w:val="13"/>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5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2019-12-29T17:43:48Z</dcterms:created>
  <dcterms:modified xsi:type="dcterms:W3CDTF">2019-12-29T17:43:48Z</dcterms:modified>
</cp:coreProperties>
</file>