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10-K</w:t>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580" w:hanging="572"/>
        <w:spacing w:after="0"/>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8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 the fiscal year ended June 30, 2012</w:t>
      </w:r>
    </w:p>
    <w:p>
      <w:pPr>
        <w:spacing w:after="0" w:line="9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or</w:t>
      </w:r>
    </w:p>
    <w:p>
      <w:pPr>
        <w:spacing w:after="0" w:line="71"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tbl>
      <w:tblPr>
        <w:tblLayout w:type="fixed"/>
        <w:tblInd w:w="360" w:type="dxa"/>
        <w:tblCellMar>
          <w:top w:w="0" w:type="dxa"/>
          <w:left w:w="0" w:type="dxa"/>
          <w:bottom w:w="0" w:type="dxa"/>
          <w:right w:w="0" w:type="dxa"/>
        </w:tblCellMar>
      </w:tblPr>
      <w:tr>
        <w:trPr>
          <w:trHeight w:val="222"/>
        </w:trPr>
        <w:tc>
          <w:tcPr>
            <w:tcW w:w="6040" w:type="dxa"/>
            <w:vAlign w:val="bottom"/>
          </w:tcPr>
          <w:p>
            <w:pPr>
              <w:ind w:left="3320"/>
              <w:spacing w:after="0"/>
              <w:rPr>
                <w:sz w:val="20"/>
                <w:szCs w:val="20"/>
                <w:color w:val="auto"/>
              </w:rPr>
            </w:pPr>
            <w:r>
              <w:rPr>
                <w:rFonts w:ascii="Arial" w:cs="Arial" w:eastAsia="Arial" w:hAnsi="Arial"/>
                <w:sz w:val="18"/>
                <w:szCs w:val="18"/>
                <w:color w:val="auto"/>
              </w:rPr>
              <w:t>For the transition period from</w:t>
            </w:r>
          </w:p>
        </w:tc>
        <w:tc>
          <w:tcPr>
            <w:tcW w:w="2340" w:type="dxa"/>
            <w:vAlign w:val="bottom"/>
          </w:tcPr>
          <w:p>
            <w:pPr>
              <w:ind w:left="280"/>
              <w:spacing w:after="0"/>
              <w:rPr>
                <w:sz w:val="20"/>
                <w:szCs w:val="20"/>
                <w:color w:val="auto"/>
              </w:rPr>
            </w:pPr>
            <w:r>
              <w:rPr>
                <w:rFonts w:ascii="Arial" w:cs="Arial" w:eastAsia="Arial" w:hAnsi="Arial"/>
                <w:sz w:val="18"/>
                <w:szCs w:val="18"/>
                <w:color w:val="auto"/>
              </w:rPr>
              <w:t>to</w:t>
            </w: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97"/>
        </w:trPr>
        <w:tc>
          <w:tcPr>
            <w:tcW w:w="8380" w:type="dxa"/>
            <w:vAlign w:val="bottom"/>
            <w:gridSpan w:val="2"/>
          </w:tcPr>
          <w:p>
            <w:pPr>
              <w:jc w:val="center"/>
              <w:ind w:left="2231"/>
              <w:spacing w:after="0"/>
              <w:rPr>
                <w:sz w:val="20"/>
                <w:szCs w:val="20"/>
                <w:color w:val="auto"/>
              </w:rPr>
            </w:pPr>
            <w:r>
              <w:rPr>
                <w:rFonts w:ascii="Arial" w:cs="Arial" w:eastAsia="Arial" w:hAnsi="Arial"/>
                <w:sz w:val="18"/>
                <w:szCs w:val="18"/>
                <w:color w:val="auto"/>
                <w:w w:val="90"/>
              </w:rPr>
              <w:t>Commission File No. 1-15461</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70"/>
        </w:trPr>
        <w:tc>
          <w:tcPr>
            <w:tcW w:w="9060" w:type="dxa"/>
            <w:vAlign w:val="bottom"/>
            <w:gridSpan w:val="3"/>
          </w:tcPr>
          <w:p>
            <w:pPr>
              <w:jc w:val="center"/>
              <w:ind w:left="1571"/>
              <w:spacing w:after="0"/>
              <w:rPr>
                <w:sz w:val="20"/>
                <w:szCs w:val="20"/>
                <w:color w:val="auto"/>
              </w:rPr>
            </w:pPr>
            <w:r>
              <w:rPr>
                <w:rFonts w:ascii="Arial" w:cs="Arial" w:eastAsia="Arial" w:hAnsi="Arial"/>
                <w:sz w:val="43"/>
                <w:szCs w:val="43"/>
                <w:b w:val="1"/>
                <w:bCs w:val="1"/>
                <w:color w:val="auto"/>
              </w:rPr>
              <w:t>MATRIX SERVICE COMPANY</w:t>
            </w:r>
          </w:p>
        </w:tc>
        <w:tc>
          <w:tcPr>
            <w:tcW w:w="640" w:type="dxa"/>
            <w:vAlign w:val="bottom"/>
          </w:tcPr>
          <w:p>
            <w:pPr>
              <w:spacing w:after="0"/>
              <w:rPr>
                <w:sz w:val="24"/>
                <w:szCs w:val="24"/>
                <w:color w:val="auto"/>
              </w:rPr>
            </w:pPr>
          </w:p>
        </w:tc>
      </w:tr>
      <w:tr>
        <w:trPr>
          <w:trHeight w:val="174"/>
        </w:trPr>
        <w:tc>
          <w:tcPr>
            <w:tcW w:w="8380" w:type="dxa"/>
            <w:vAlign w:val="bottom"/>
            <w:gridSpan w:val="2"/>
          </w:tcPr>
          <w:p>
            <w:pPr>
              <w:jc w:val="center"/>
              <w:ind w:left="2231"/>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71"/>
        </w:trPr>
        <w:tc>
          <w:tcPr>
            <w:tcW w:w="6040" w:type="dxa"/>
            <w:vAlign w:val="bottom"/>
          </w:tcPr>
          <w:p>
            <w:pPr>
              <w:jc w:val="center"/>
              <w:ind w:right="891"/>
              <w:spacing w:after="0"/>
              <w:rPr>
                <w:sz w:val="20"/>
                <w:szCs w:val="20"/>
                <w:color w:val="auto"/>
              </w:rPr>
            </w:pPr>
            <w:r>
              <w:rPr>
                <w:rFonts w:ascii="Arial" w:cs="Arial" w:eastAsia="Arial" w:hAnsi="Arial"/>
                <w:sz w:val="18"/>
                <w:szCs w:val="18"/>
                <w:b w:val="1"/>
                <w:bCs w:val="1"/>
                <w:color w:val="auto"/>
                <w:w w:val="88"/>
              </w:rPr>
              <w:t>Delaware</w:t>
            </w:r>
          </w:p>
        </w:tc>
        <w:tc>
          <w:tcPr>
            <w:tcW w:w="3020" w:type="dxa"/>
            <w:vAlign w:val="bottom"/>
            <w:gridSpan w:val="2"/>
          </w:tcPr>
          <w:p>
            <w:pPr>
              <w:jc w:val="right"/>
              <w:ind w:right="252"/>
              <w:spacing w:after="0"/>
              <w:rPr>
                <w:sz w:val="20"/>
                <w:szCs w:val="20"/>
                <w:color w:val="auto"/>
              </w:rPr>
            </w:pPr>
            <w:r>
              <w:rPr>
                <w:rFonts w:ascii="Arial" w:cs="Arial" w:eastAsia="Arial" w:hAnsi="Arial"/>
                <w:sz w:val="18"/>
                <w:szCs w:val="18"/>
                <w:b w:val="1"/>
                <w:bCs w:val="1"/>
                <w:color w:val="auto"/>
              </w:rPr>
              <w:t>73-1352174</w:t>
            </w:r>
          </w:p>
        </w:tc>
        <w:tc>
          <w:tcPr>
            <w:tcW w:w="640" w:type="dxa"/>
            <w:vAlign w:val="bottom"/>
          </w:tcPr>
          <w:p>
            <w:pPr>
              <w:spacing w:after="0"/>
              <w:rPr>
                <w:sz w:val="23"/>
                <w:szCs w:val="23"/>
                <w:color w:val="auto"/>
              </w:rPr>
            </w:pPr>
          </w:p>
        </w:tc>
      </w:tr>
      <w:tr>
        <w:trPr>
          <w:trHeight w:val="149"/>
        </w:trPr>
        <w:tc>
          <w:tcPr>
            <w:tcW w:w="6040" w:type="dxa"/>
            <w:vAlign w:val="bottom"/>
          </w:tcPr>
          <w:p>
            <w:pPr>
              <w:jc w:val="center"/>
              <w:ind w:right="891"/>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020" w:type="dxa"/>
            <w:vAlign w:val="bottom"/>
            <w:gridSpan w:val="2"/>
          </w:tcPr>
          <w:p>
            <w:pPr>
              <w:jc w:val="center"/>
              <w:ind w:left="1402"/>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640" w:type="dxa"/>
            <w:vAlign w:val="bottom"/>
          </w:tcPr>
          <w:p>
            <w:pPr>
              <w:spacing w:after="0"/>
              <w:rPr>
                <w:sz w:val="12"/>
                <w:szCs w:val="12"/>
                <w:color w:val="auto"/>
              </w:rPr>
            </w:pPr>
          </w:p>
        </w:tc>
      </w:tr>
      <w:tr>
        <w:trPr>
          <w:trHeight w:val="174"/>
        </w:trPr>
        <w:tc>
          <w:tcPr>
            <w:tcW w:w="6040" w:type="dxa"/>
            <w:vAlign w:val="bottom"/>
          </w:tcPr>
          <w:p>
            <w:pPr>
              <w:jc w:val="center"/>
              <w:ind w:right="871"/>
              <w:spacing w:after="0"/>
              <w:rPr>
                <w:sz w:val="20"/>
                <w:szCs w:val="20"/>
                <w:color w:val="auto"/>
              </w:rPr>
            </w:pPr>
            <w:r>
              <w:rPr>
                <w:rFonts w:ascii="Arial" w:cs="Arial" w:eastAsia="Arial" w:hAnsi="Arial"/>
                <w:sz w:val="14"/>
                <w:szCs w:val="14"/>
                <w:b w:val="1"/>
                <w:bCs w:val="1"/>
                <w:color w:val="auto"/>
                <w:w w:val="88"/>
              </w:rPr>
              <w:t>incorporation or organization)</w:t>
            </w:r>
          </w:p>
        </w:tc>
        <w:tc>
          <w:tcPr>
            <w:tcW w:w="3020" w:type="dxa"/>
            <w:vAlign w:val="bottom"/>
            <w:gridSpan w:val="2"/>
          </w:tcPr>
          <w:p>
            <w:pPr>
              <w:jc w:val="center"/>
              <w:ind w:left="1402"/>
              <w:spacing w:after="0"/>
              <w:rPr>
                <w:sz w:val="20"/>
                <w:szCs w:val="20"/>
                <w:color w:val="auto"/>
              </w:rPr>
            </w:pPr>
            <w:r>
              <w:rPr>
                <w:rFonts w:ascii="Arial" w:cs="Arial" w:eastAsia="Arial" w:hAnsi="Arial"/>
                <w:sz w:val="14"/>
                <w:szCs w:val="14"/>
                <w:b w:val="1"/>
                <w:bCs w:val="1"/>
                <w:color w:val="auto"/>
                <w:w w:val="89"/>
              </w:rPr>
              <w:t>Identification No.)</w:t>
            </w:r>
          </w:p>
        </w:tc>
        <w:tc>
          <w:tcPr>
            <w:tcW w:w="640" w:type="dxa"/>
            <w:vAlign w:val="bottom"/>
          </w:tcPr>
          <w:p>
            <w:pPr>
              <w:spacing w:after="0"/>
              <w:rPr>
                <w:sz w:val="15"/>
                <w:szCs w:val="15"/>
                <w:color w:val="auto"/>
              </w:rPr>
            </w:pPr>
          </w:p>
        </w:tc>
      </w:tr>
      <w:tr>
        <w:trPr>
          <w:trHeight w:val="418"/>
        </w:trPr>
        <w:tc>
          <w:tcPr>
            <w:tcW w:w="6040" w:type="dxa"/>
            <w:vAlign w:val="bottom"/>
          </w:tcPr>
          <w:p>
            <w:pPr>
              <w:jc w:val="center"/>
              <w:ind w:right="891"/>
              <w:spacing w:after="0"/>
              <w:rPr>
                <w:sz w:val="20"/>
                <w:szCs w:val="20"/>
                <w:color w:val="auto"/>
              </w:rPr>
            </w:pPr>
            <w:r>
              <w:rPr>
                <w:rFonts w:ascii="Arial" w:cs="Arial" w:eastAsia="Arial" w:hAnsi="Arial"/>
                <w:sz w:val="18"/>
                <w:szCs w:val="18"/>
                <w:b w:val="1"/>
                <w:bCs w:val="1"/>
                <w:color w:val="auto"/>
                <w:w w:val="89"/>
              </w:rPr>
              <w:t>5100 E. Skelly Drive, Suite 700</w:t>
            </w:r>
          </w:p>
        </w:tc>
        <w:tc>
          <w:tcPr>
            <w:tcW w:w="2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1"/>
        </w:trPr>
        <w:tc>
          <w:tcPr>
            <w:tcW w:w="6040" w:type="dxa"/>
            <w:vAlign w:val="bottom"/>
          </w:tcPr>
          <w:p>
            <w:pPr>
              <w:jc w:val="center"/>
              <w:ind w:right="871"/>
              <w:spacing w:after="0"/>
              <w:rPr>
                <w:sz w:val="20"/>
                <w:szCs w:val="20"/>
                <w:color w:val="auto"/>
              </w:rPr>
            </w:pPr>
            <w:r>
              <w:rPr>
                <w:rFonts w:ascii="Arial" w:cs="Arial" w:eastAsia="Arial" w:hAnsi="Arial"/>
                <w:sz w:val="18"/>
                <w:szCs w:val="18"/>
                <w:b w:val="1"/>
                <w:bCs w:val="1"/>
                <w:color w:val="auto"/>
                <w:w w:val="88"/>
              </w:rPr>
              <w:t>Tulsa, Oklahoma</w:t>
            </w:r>
          </w:p>
        </w:tc>
        <w:tc>
          <w:tcPr>
            <w:tcW w:w="3020" w:type="dxa"/>
            <w:vAlign w:val="bottom"/>
            <w:gridSpan w:val="2"/>
          </w:tcPr>
          <w:p>
            <w:pPr>
              <w:jc w:val="right"/>
              <w:ind w:right="452"/>
              <w:spacing w:after="0"/>
              <w:rPr>
                <w:sz w:val="20"/>
                <w:szCs w:val="20"/>
                <w:color w:val="auto"/>
              </w:rPr>
            </w:pPr>
            <w:r>
              <w:rPr>
                <w:rFonts w:ascii="Arial" w:cs="Arial" w:eastAsia="Arial" w:hAnsi="Arial"/>
                <w:sz w:val="18"/>
                <w:szCs w:val="18"/>
                <w:b w:val="1"/>
                <w:bCs w:val="1"/>
                <w:color w:val="auto"/>
              </w:rPr>
              <w:t>74135</w:t>
            </w:r>
          </w:p>
        </w:tc>
        <w:tc>
          <w:tcPr>
            <w:tcW w:w="640" w:type="dxa"/>
            <w:vAlign w:val="bottom"/>
          </w:tcPr>
          <w:p>
            <w:pPr>
              <w:spacing w:after="0"/>
              <w:rPr>
                <w:sz w:val="20"/>
                <w:szCs w:val="20"/>
                <w:color w:val="auto"/>
              </w:rPr>
            </w:pPr>
          </w:p>
        </w:tc>
      </w:tr>
      <w:tr>
        <w:trPr>
          <w:trHeight w:val="174"/>
        </w:trPr>
        <w:tc>
          <w:tcPr>
            <w:tcW w:w="6040" w:type="dxa"/>
            <w:vAlign w:val="bottom"/>
          </w:tcPr>
          <w:p>
            <w:pPr>
              <w:jc w:val="center"/>
              <w:ind w:right="891"/>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20" w:type="dxa"/>
            <w:vAlign w:val="bottom"/>
            <w:gridSpan w:val="2"/>
          </w:tcPr>
          <w:p>
            <w:pPr>
              <w:jc w:val="center"/>
              <w:ind w:left="1402"/>
              <w:spacing w:after="0"/>
              <w:rPr>
                <w:sz w:val="20"/>
                <w:szCs w:val="20"/>
                <w:color w:val="auto"/>
              </w:rPr>
            </w:pPr>
            <w:r>
              <w:rPr>
                <w:rFonts w:ascii="Arial" w:cs="Arial" w:eastAsia="Arial" w:hAnsi="Arial"/>
                <w:sz w:val="14"/>
                <w:szCs w:val="14"/>
                <w:b w:val="1"/>
                <w:bCs w:val="1"/>
                <w:color w:val="auto"/>
                <w:w w:val="89"/>
              </w:rPr>
              <w:t>(Zip Code)</w:t>
            </w:r>
          </w:p>
        </w:tc>
        <w:tc>
          <w:tcPr>
            <w:tcW w:w="640" w:type="dxa"/>
            <w:vAlign w:val="bottom"/>
          </w:tcPr>
          <w:p>
            <w:pPr>
              <w:spacing w:after="0"/>
              <w:rPr>
                <w:sz w:val="15"/>
                <w:szCs w:val="15"/>
                <w:color w:val="auto"/>
              </w:rPr>
            </w:pPr>
          </w:p>
        </w:tc>
      </w:tr>
      <w:tr>
        <w:trPr>
          <w:trHeight w:val="282"/>
        </w:trPr>
        <w:tc>
          <w:tcPr>
            <w:tcW w:w="8380" w:type="dxa"/>
            <w:vAlign w:val="bottom"/>
            <w:gridSpan w:val="2"/>
          </w:tcPr>
          <w:p>
            <w:pPr>
              <w:jc w:val="center"/>
              <w:ind w:left="2251"/>
              <w:spacing w:after="0"/>
              <w:rPr>
                <w:sz w:val="20"/>
                <w:szCs w:val="20"/>
                <w:color w:val="auto"/>
              </w:rPr>
            </w:pPr>
            <w:r>
              <w:rPr>
                <w:rFonts w:ascii="Arial" w:cs="Arial" w:eastAsia="Arial" w:hAnsi="Arial"/>
                <w:sz w:val="18"/>
                <w:szCs w:val="18"/>
                <w:b w:val="1"/>
                <w:bCs w:val="1"/>
                <w:color w:val="auto"/>
                <w:w w:val="87"/>
              </w:rPr>
              <w:t>Registrant’s telephone number, including area code: (918) 838-8822</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86"/>
        </w:trPr>
        <w:tc>
          <w:tcPr>
            <w:tcW w:w="8380" w:type="dxa"/>
            <w:vAlign w:val="bottom"/>
            <w:gridSpan w:val="2"/>
          </w:tcPr>
          <w:p>
            <w:pPr>
              <w:jc w:val="center"/>
              <w:ind w:left="2251"/>
              <w:spacing w:after="0"/>
              <w:rPr>
                <w:sz w:val="20"/>
                <w:szCs w:val="20"/>
                <w:color w:val="auto"/>
              </w:rPr>
            </w:pPr>
            <w:r>
              <w:rPr>
                <w:rFonts w:ascii="Arial" w:cs="Arial" w:eastAsia="Arial" w:hAnsi="Arial"/>
                <w:sz w:val="18"/>
                <w:szCs w:val="18"/>
                <w:b w:val="1"/>
                <w:bCs w:val="1"/>
                <w:color w:val="auto"/>
                <w:w w:val="86"/>
              </w:rPr>
              <w:t>Securities Registered Pursuant to Section 12(b) of the Act:</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4"/>
        </w:trPr>
        <w:tc>
          <w:tcPr>
            <w:tcW w:w="6040" w:type="dxa"/>
            <w:vAlign w:val="bottom"/>
          </w:tcPr>
          <w:p>
            <w:pPr>
              <w:jc w:val="center"/>
              <w:ind w:left="4591"/>
              <w:spacing w:after="0"/>
              <w:rPr>
                <w:sz w:val="20"/>
                <w:szCs w:val="20"/>
                <w:color w:val="auto"/>
              </w:rPr>
            </w:pPr>
            <w:r>
              <w:rPr>
                <w:rFonts w:ascii="Arial" w:cs="Arial" w:eastAsia="Arial" w:hAnsi="Arial"/>
                <w:sz w:val="14"/>
                <w:szCs w:val="14"/>
                <w:b w:val="1"/>
                <w:bCs w:val="1"/>
                <w:color w:val="auto"/>
                <w:w w:val="84"/>
              </w:rPr>
              <w:t>(Title of class)</w:t>
            </w:r>
          </w:p>
        </w:tc>
        <w:tc>
          <w:tcPr>
            <w:tcW w:w="2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70"/>
        </w:trPr>
        <w:tc>
          <w:tcPr>
            <w:tcW w:w="8380" w:type="dxa"/>
            <w:vAlign w:val="bottom"/>
            <w:gridSpan w:val="2"/>
          </w:tcPr>
          <w:p>
            <w:pPr>
              <w:jc w:val="center"/>
              <w:ind w:left="2231"/>
              <w:spacing w:after="0"/>
              <w:rPr>
                <w:sz w:val="20"/>
                <w:szCs w:val="20"/>
                <w:color w:val="auto"/>
              </w:rPr>
            </w:pPr>
            <w:r>
              <w:rPr>
                <w:rFonts w:ascii="Arial" w:cs="Arial" w:eastAsia="Arial" w:hAnsi="Arial"/>
                <w:sz w:val="18"/>
                <w:szCs w:val="18"/>
                <w:b w:val="1"/>
                <w:bCs w:val="1"/>
                <w:color w:val="auto"/>
                <w:w w:val="87"/>
              </w:rPr>
              <w:t>Common Stock, par value $0.01 per share</w:t>
            </w:r>
          </w:p>
        </w:tc>
        <w:tc>
          <w:tcPr>
            <w:tcW w:w="6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22"/>
        </w:trPr>
        <w:tc>
          <w:tcPr>
            <w:tcW w:w="8380" w:type="dxa"/>
            <w:vAlign w:val="bottom"/>
            <w:gridSpan w:val="2"/>
          </w:tcPr>
          <w:p>
            <w:pPr>
              <w:jc w:val="center"/>
              <w:ind w:left="2231"/>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2"/>
        </w:trPr>
        <w:tc>
          <w:tcPr>
            <w:tcW w:w="8380" w:type="dxa"/>
            <w:vAlign w:val="bottom"/>
            <w:gridSpan w:val="2"/>
          </w:tcPr>
          <w:p>
            <w:pPr>
              <w:spacing w:after="0"/>
              <w:rPr>
                <w:sz w:val="20"/>
                <w:szCs w:val="20"/>
                <w:color w:val="auto"/>
              </w:rPr>
            </w:pPr>
            <w:r>
              <w:rPr>
                <w:rFonts w:ascii="Arial" w:cs="Arial" w:eastAsia="Arial" w:hAnsi="Arial"/>
                <w:sz w:val="18"/>
                <w:szCs w:val="18"/>
                <w:color w:val="auto"/>
              </w:rPr>
              <w:t>Name of each exchange on which registered: NASDAQ Global Select Market (common stock)</w:t>
            </w: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7"/>
        </w:trPr>
        <w:tc>
          <w:tcPr>
            <w:tcW w:w="8380" w:type="dxa"/>
            <w:vAlign w:val="bottom"/>
            <w:gridSpan w:val="2"/>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w:t>
            </w:r>
          </w:p>
        </w:tc>
        <w:tc>
          <w:tcPr>
            <w:tcW w:w="68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97"/>
        </w:trPr>
        <w:tc>
          <w:tcPr>
            <w:tcW w:w="8380" w:type="dxa"/>
            <w:vAlign w:val="bottom"/>
            <w:gridSpan w:val="2"/>
          </w:tcPr>
          <w:p>
            <w:pPr>
              <w:spacing w:after="0"/>
              <w:rPr>
                <w:sz w:val="20"/>
                <w:szCs w:val="20"/>
                <w:color w:val="auto"/>
              </w:rPr>
            </w:pPr>
            <w:r>
              <w:rPr>
                <w:rFonts w:ascii="Arial" w:cs="Arial" w:eastAsia="Arial" w:hAnsi="Arial"/>
                <w:sz w:val="18"/>
                <w:szCs w:val="18"/>
                <w:color w:val="auto"/>
                <w:w w:val="88"/>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40" w:type="dxa"/>
            <w:vAlign w:val="bottom"/>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r>
    </w:tbl>
    <w:p>
      <w:pPr>
        <w:spacing w:after="0" w:line="55" w:lineRule="exact"/>
        <w:rPr>
          <w:sz w:val="24"/>
          <w:szCs w:val="24"/>
          <w:color w:val="auto"/>
        </w:rPr>
      </w:pPr>
    </w:p>
    <w:p>
      <w:pPr>
        <w:ind w:right="26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18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180" w:firstLine="342"/>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280"/>
          </w:cols>
          <w:pgMar w:left="240" w:top="230" w:right="379" w:bottom="1440" w:gutter="0" w:footer="0" w:header="0"/>
        </w:sectPr>
      </w:pPr>
    </w:p>
    <w:p>
      <w:pPr>
        <w:spacing w:after="0" w:line="33" w:lineRule="exact"/>
        <w:rPr>
          <w:sz w:val="24"/>
          <w:szCs w:val="24"/>
          <w:color w:val="auto"/>
        </w:rPr>
      </w:pPr>
    </w:p>
    <w:p>
      <w:pPr>
        <w:ind w:left="36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8">
            <w:col w:w="1920" w:space="100"/>
            <w:col w:w="160" w:space="520"/>
            <w:col w:w="1160" w:space="100"/>
            <w:col w:w="160" w:space="520"/>
            <w:col w:w="1500" w:space="80"/>
            <w:col w:w="160" w:space="520"/>
            <w:col w:w="1920" w:space="100"/>
            <w:col w:w="2360"/>
          </w:cols>
          <w:pgMar w:left="240" w:top="230" w:right="379" w:bottom="1440" w:gutter="0" w:footer="0" w:header="0"/>
          <w:type w:val="continuous"/>
        </w:sectPr>
      </w:pPr>
    </w:p>
    <w:p>
      <w:pPr>
        <w:spacing w:after="0" w:line="32"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5">
            <w:col w:w="8320" w:space="160"/>
            <w:col w:w="260" w:space="80"/>
            <w:col w:w="160" w:space="180"/>
            <w:col w:w="220" w:space="80"/>
            <w:col w:w="1820"/>
          </w:cols>
          <w:pgMar w:left="240" w:top="230" w:right="379" w:bottom="1440" w:gutter="0" w:footer="0" w:header="0"/>
          <w:type w:val="continuous"/>
        </w:sectPr>
      </w:pPr>
    </w:p>
    <w:p>
      <w:pPr>
        <w:ind w:right="20" w:firstLine="342"/>
        <w:spacing w:after="0" w:line="332" w:lineRule="auto"/>
        <w:rPr>
          <w:sz w:val="20"/>
          <w:szCs w:val="20"/>
          <w:color w:val="auto"/>
        </w:rPr>
      </w:pPr>
      <w:r>
        <w:rPr>
          <w:rFonts w:ascii="Arial" w:cs="Arial" w:eastAsia="Arial" w:hAnsi="Arial"/>
          <w:sz w:val="16"/>
          <w:szCs w:val="16"/>
          <w:color w:val="auto"/>
        </w:rPr>
        <w:t>The aggregate market value of the registrant’s common stock held by non-affiliates computed by reference to the price at which the common stock was last sold as of the last business day of the registrant’s most recently completed second quarter was approximately $240 million.</w:t>
      </w:r>
    </w:p>
    <w:p>
      <w:pPr>
        <w:spacing w:after="0" w:line="4"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number of shares of the registrant’s common stock outstanding as of September 4, 2012 was 25,819,853 shares.</w:t>
      </w:r>
    </w:p>
    <w:p>
      <w:pPr>
        <w:spacing w:after="0" w:line="84"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ind w:right="480" w:firstLine="342"/>
        <w:spacing w:after="0" w:line="332" w:lineRule="auto"/>
        <w:rPr>
          <w:sz w:val="20"/>
          <w:szCs w:val="20"/>
          <w:color w:val="auto"/>
        </w:rPr>
      </w:pPr>
      <w:r>
        <w:rPr>
          <w:rFonts w:ascii="Arial" w:cs="Arial" w:eastAsia="Arial" w:hAnsi="Arial"/>
          <w:sz w:val="16"/>
          <w:szCs w:val="16"/>
          <w:color w:val="auto"/>
        </w:rPr>
        <w:t>Certain sections of the registrant’s definitive proxy statement relating to the registrant’s 2012 annual meeting of stockholders, which definitive proxy statement will be filed within 120 days of the end of the registrant’s fiscal year,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780" w:type="dxa"/>
            <w:vAlign w:val="bottom"/>
            <w:gridSpan w:val="8"/>
          </w:tcPr>
          <w:p>
            <w:pPr>
              <w:jc w:val="center"/>
              <w:ind w:right="386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80" w:type="dxa"/>
            <w:vAlign w:val="bottom"/>
            <w:gridSpan w:val="6"/>
            <w:vMerge w:val="restart"/>
          </w:tcPr>
          <w:p>
            <w:pPr>
              <w:jc w:val="center"/>
              <w:ind w:right="4460"/>
              <w:spacing w:after="0"/>
              <w:rPr>
                <w:sz w:val="20"/>
                <w:szCs w:val="20"/>
                <w:color w:val="auto"/>
              </w:rPr>
            </w:pPr>
            <w:r>
              <w:rPr>
                <w:rFonts w:ascii="Arial" w:cs="Arial" w:eastAsia="Arial" w:hAnsi="Arial"/>
                <w:sz w:val="18"/>
                <w:szCs w:val="18"/>
                <w:b w:val="1"/>
                <w:bCs w:val="1"/>
                <w:color w:val="auto"/>
                <w:w w:val="97"/>
              </w:rPr>
              <w:t>Part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4"/>
        </w:trPr>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780" w:type="dxa"/>
            <w:vAlign w:val="bottom"/>
            <w:gridSpan w:val="6"/>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940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Risk Factors</w:t>
              </w:r>
            </w:hyperlink>
          </w:p>
        </w:tc>
        <w:tc>
          <w:tcPr>
            <w:tcW w:w="914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1B.</w:t>
            </w:r>
          </w:p>
        </w:tc>
        <w:tc>
          <w:tcPr>
            <w:tcW w:w="10040" w:type="dxa"/>
            <w:vAlign w:val="bottom"/>
            <w:gridSpan w:val="1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Unresolved Staff Comments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17">
              <w:r>
                <w:rPr>
                  <w:rFonts w:ascii="Arial" w:cs="Arial" w:eastAsia="Arial" w:hAnsi="Arial"/>
                  <w:sz w:val="18"/>
                  <w:szCs w:val="18"/>
                  <w:color w:val="0000EE"/>
                  <w:w w:val="85"/>
                </w:rPr>
                <w:t>Properties</w:t>
              </w:r>
            </w:hyperlink>
          </w:p>
        </w:tc>
        <w:tc>
          <w:tcPr>
            <w:tcW w:w="1280" w:type="dxa"/>
            <w:vAlign w:val="bottom"/>
            <w:tcBorders>
              <w:top w:val="single" w:sz="8" w:color="0000EE"/>
            </w:tcBorders>
            <w:gridSpan w:val="6"/>
          </w:tcPr>
          <w:p>
            <w:pPr>
              <w:spacing w:after="0"/>
              <w:rPr>
                <w:sz w:val="24"/>
                <w:szCs w:val="24"/>
                <w:color w:val="auto"/>
              </w:rPr>
            </w:pPr>
          </w:p>
        </w:tc>
        <w:tc>
          <w:tcPr>
            <w:tcW w:w="804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10040" w:type="dxa"/>
            <w:vAlign w:val="bottom"/>
            <w:gridSpan w:val="1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0040" w:type="dxa"/>
            <w:vAlign w:val="bottom"/>
            <w:gridSpan w:val="1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Mine Safety Disclosures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51"/>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80" w:type="dxa"/>
            <w:vAlign w:val="bottom"/>
            <w:gridSpan w:val="6"/>
          </w:tcPr>
          <w:p>
            <w:pPr>
              <w:jc w:val="center"/>
              <w:ind w:right="4460"/>
              <w:spacing w:after="0"/>
              <w:rPr>
                <w:sz w:val="20"/>
                <w:szCs w:val="20"/>
                <w:color w:val="auto"/>
              </w:rPr>
            </w:pPr>
            <w:r>
              <w:rPr>
                <w:rFonts w:ascii="Arial" w:cs="Arial" w:eastAsia="Arial" w:hAnsi="Arial"/>
                <w:sz w:val="18"/>
                <w:szCs w:val="18"/>
                <w:b w:val="1"/>
                <w:bCs w:val="1"/>
                <w:color w:val="auto"/>
              </w:rPr>
              <w:t>Part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1004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3"/>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7.</w:t>
            </w:r>
          </w:p>
        </w:tc>
        <w:tc>
          <w:tcPr>
            <w:tcW w:w="10040" w:type="dxa"/>
            <w:vAlign w:val="bottom"/>
            <w:gridSpan w:val="1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7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Financial Statements and Supplementary Data</w:t>
              </w:r>
            </w:hyperlink>
          </w:p>
        </w:tc>
        <w:tc>
          <w:tcPr>
            <w:tcW w:w="6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9.</w:t>
            </w:r>
          </w:p>
        </w:tc>
        <w:tc>
          <w:tcPr>
            <w:tcW w:w="10040" w:type="dxa"/>
            <w:vAlign w:val="bottom"/>
            <w:gridSpan w:val="1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Changes in and Disagreements with Accountants on Accounting and Financial Disclosure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64">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10"/>
          </w:tcPr>
          <w:p>
            <w:pPr>
              <w:spacing w:after="0"/>
              <w:rPr>
                <w:sz w:val="24"/>
                <w:szCs w:val="24"/>
                <w:color w:val="auto"/>
              </w:rPr>
            </w:pPr>
          </w:p>
        </w:tc>
        <w:tc>
          <w:tcPr>
            <w:tcW w:w="37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9B.</w:t>
            </w:r>
          </w:p>
        </w:tc>
        <w:tc>
          <w:tcPr>
            <w:tcW w:w="10040" w:type="dxa"/>
            <w:vAlign w:val="bottom"/>
            <w:gridSpan w:val="1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451"/>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80" w:type="dxa"/>
            <w:vAlign w:val="bottom"/>
            <w:gridSpan w:val="6"/>
          </w:tcPr>
          <w:p>
            <w:pPr>
              <w:jc w:val="center"/>
              <w:ind w:right="4480"/>
              <w:spacing w:after="0"/>
              <w:rPr>
                <w:sz w:val="20"/>
                <w:szCs w:val="20"/>
                <w:color w:val="auto"/>
              </w:rPr>
            </w:pPr>
            <w:r>
              <w:rPr>
                <w:rFonts w:ascii="Arial" w:cs="Arial" w:eastAsia="Arial" w:hAnsi="Arial"/>
                <w:sz w:val="18"/>
                <w:szCs w:val="18"/>
                <w:b w:val="1"/>
                <w:bCs w:val="1"/>
                <w:color w:val="auto"/>
              </w:rPr>
              <w:t>Part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00" w:type="dxa"/>
            <w:vAlign w:val="bottom"/>
          </w:tcPr>
          <w:p>
            <w:pPr>
              <w:spacing w:after="0"/>
              <w:rPr>
                <w:sz w:val="20"/>
                <w:szCs w:val="20"/>
                <w:color w:val="auto"/>
              </w:rPr>
            </w:pPr>
            <w:r>
              <w:rPr>
                <w:rFonts w:ascii="Arial" w:cs="Arial" w:eastAsia="Arial" w:hAnsi="Arial"/>
                <w:sz w:val="18"/>
                <w:szCs w:val="18"/>
                <w:color w:val="auto"/>
              </w:rPr>
              <w:t>Item 10.</w:t>
            </w:r>
          </w:p>
        </w:tc>
        <w:tc>
          <w:tcPr>
            <w:tcW w:w="10040" w:type="dxa"/>
            <w:vAlign w:val="bottom"/>
            <w:gridSpan w:val="19"/>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Directors, Executive Officers and Corporate Governance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2"/>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Executive Compensation</w:t>
              </w:r>
            </w:hyperlink>
          </w:p>
        </w:tc>
        <w:tc>
          <w:tcPr>
            <w:tcW w:w="604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12.</w:t>
            </w:r>
          </w:p>
        </w:tc>
        <w:tc>
          <w:tcPr>
            <w:tcW w:w="10040" w:type="dxa"/>
            <w:vAlign w:val="bottom"/>
            <w:gridSpan w:val="19"/>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17"/>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Certain Relationships and Related Transactions, and Director Independence</w:t>
              </w:r>
            </w:hyperlink>
          </w:p>
        </w:tc>
        <w:tc>
          <w:tcPr>
            <w:tcW w:w="29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4"/>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Principal Accountant Fees and Services</w:t>
              </w:r>
            </w:hyperlink>
          </w:p>
        </w:tc>
        <w:tc>
          <w:tcPr>
            <w:tcW w:w="47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51"/>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80" w:type="dxa"/>
            <w:vAlign w:val="bottom"/>
            <w:gridSpan w:val="6"/>
          </w:tcPr>
          <w:p>
            <w:pPr>
              <w:jc w:val="center"/>
              <w:ind w:right="4460"/>
              <w:spacing w:after="0"/>
              <w:rPr>
                <w:sz w:val="20"/>
                <w:szCs w:val="20"/>
                <w:color w:val="auto"/>
              </w:rPr>
            </w:pPr>
            <w:r>
              <w:rPr>
                <w:rFonts w:ascii="Arial" w:cs="Arial" w:eastAsia="Arial" w:hAnsi="Arial"/>
                <w:sz w:val="18"/>
                <w:szCs w:val="18"/>
                <w:b w:val="1"/>
                <w:bCs w:val="1"/>
                <w:color w:val="auto"/>
                <w:w w:val="98"/>
              </w:rPr>
              <w:t>Part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00" w:type="dxa"/>
            <w:vAlign w:val="bottom"/>
          </w:tcPr>
          <w:p>
            <w:pPr>
              <w:spacing w:after="0"/>
              <w:rPr>
                <w:sz w:val="20"/>
                <w:szCs w:val="20"/>
                <w:color w:val="auto"/>
              </w:rPr>
            </w:pPr>
            <w:r>
              <w:rPr>
                <w:rFonts w:ascii="Arial" w:cs="Arial" w:eastAsia="Arial" w:hAnsi="Arial"/>
                <w:sz w:val="18"/>
                <w:szCs w:val="18"/>
                <w:color w:val="auto"/>
              </w:rPr>
              <w:t>Item 15.</w:t>
            </w:r>
          </w:p>
        </w:tc>
        <w:tc>
          <w:tcPr>
            <w:tcW w:w="10040" w:type="dxa"/>
            <w:vAlign w:val="bottom"/>
            <w:gridSpan w:val="19"/>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Exhibits and Financial Statement Schedules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83"/>
        </w:trPr>
        <w:tc>
          <w:tcPr>
            <w:tcW w:w="1000" w:type="dxa"/>
            <w:vAlign w:val="bottom"/>
          </w:tcPr>
          <w:p>
            <w:pPr>
              <w:spacing w:after="0"/>
              <w:rPr>
                <w:sz w:val="24"/>
                <w:szCs w:val="24"/>
                <w:color w:val="auto"/>
              </w:rPr>
            </w:pPr>
          </w:p>
        </w:tc>
        <w:tc>
          <w:tcPr>
            <w:tcW w:w="3080" w:type="dxa"/>
            <w:vAlign w:val="bottom"/>
            <w:tcBorders>
              <w:top w:val="single" w:sz="8" w:color="0000EE"/>
            </w:tcBorders>
            <w:gridSpan w:val="10"/>
          </w:tcPr>
          <w:p>
            <w:pPr>
              <w:spacing w:after="0"/>
              <w:rPr>
                <w:sz w:val="24"/>
                <w:szCs w:val="24"/>
                <w:color w:val="auto"/>
              </w:rPr>
            </w:pPr>
          </w:p>
        </w:tc>
        <w:tc>
          <w:tcPr>
            <w:tcW w:w="2240" w:type="dxa"/>
            <w:vAlign w:val="bottom"/>
            <w:gridSpan w:val="4"/>
          </w:tcPr>
          <w:p>
            <w:pPr>
              <w:jc w:val="right"/>
              <w:ind w:right="372"/>
              <w:spacing w:after="0"/>
              <w:rPr>
                <w:sz w:val="20"/>
                <w:szCs w:val="20"/>
                <w:color w:val="auto"/>
              </w:rPr>
            </w:pPr>
            <w:r>
              <w:rPr>
                <w:rFonts w:ascii="Arial" w:cs="Arial" w:eastAsia="Arial" w:hAnsi="Arial"/>
                <w:sz w:val="18"/>
                <w:szCs w:val="18"/>
                <w:color w:val="auto"/>
              </w:rPr>
              <w:t>- 1 -</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Annual Report on Form 10-K includes “forward-looking statements” within the meaning of Section 27A of the Securities Act of 1933, as amended, and Section 21E of the Securities Exchange Act of 1934, as amended. All statements, other than statements of historical facts, included in this Annual Report which address activities, events or developments, which we expect, believe or anticipate will or may occur in the future are forward-looking statements. The word “believes,” “intends,” “expects,” “anticipates,” “projects,” “estimates,” “predicts” and similar expressions are also intended to identify forward-looking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9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and other trends in the industries we serve;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generate sufficient cash from operations or to raise cash in order to meet our short and long-term capital requirements;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171"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These statements are based on certain assumptions and analyses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7"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risk factors discussed in Item 1A of this Annual Report and listed from time to time in our filings with the Securities and Exchange Commission;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adequacy of our reserves for contingencies;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and in the oil, gas and power industries in particular;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laws or regulations;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Consequently, all of the forward-looking statements made in this Annual Report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Company began operations in 1984 as an Oklahoma corporation. Matrix Service Company was incorporated in the State of Delaware in 1989. We provide engineering, fabrication, construction and maintenance services primarily to oil, gas, power, petrochemical, industrial and mining and minerals markets. We maintain regional offices throughout the United States and Canada, and operate through separate union and merit subsidiaries.</w:t>
      </w:r>
    </w:p>
    <w:p>
      <w:pPr>
        <w:spacing w:after="0" w:line="107"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The Company is licensed to operate in all 50 states and in four Canadian provinces. Our headquarters are in Tulsa, Oklahoma, and we have regional operating facilities throughout the United States and Canada. Our principal executive offices are located at 5100 E. Skelly Drive, Suite 700, Tulsa, Oklahoma 74135. Our telephone number is (918) 838-8822. Unless the context otherwise requires, all references herein to “Matrix Service Company”, “Matrix”, the “Company” or to “we”, “our”, and “us” are to Matrix Service Company and its subsidiaries.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REPORTS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Our public internet site is </w:t>
      </w:r>
      <w:r>
        <w:rPr>
          <w:rFonts w:ascii="Arial" w:cs="Arial" w:eastAsia="Arial" w:hAnsi="Arial"/>
          <w:sz w:val="18"/>
          <w:szCs w:val="18"/>
          <w:u w:val="single" w:color="auto"/>
          <w:color w:val="auto"/>
        </w:rPr>
        <w:t>www.matrixservicecompany.com</w:t>
      </w:r>
      <w:r>
        <w:rPr>
          <w:rFonts w:ascii="Arial" w:cs="Arial" w:eastAsia="Arial" w:hAnsi="Arial"/>
          <w:sz w:val="18"/>
          <w:szCs w:val="18"/>
          <w:color w:val="auto"/>
        </w:rPr>
        <w:t>. We make available free of charge through our internet site our annual reports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Securities and Exchange Commission.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In addition, we currently make our annual reports to stockholders available on our internet site, </w:t>
      </w:r>
      <w:r>
        <w:rPr>
          <w:rFonts w:ascii="Arial" w:cs="Arial" w:eastAsia="Arial" w:hAnsi="Arial"/>
          <w:sz w:val="18"/>
          <w:szCs w:val="18"/>
          <w:u w:val="single" w:color="auto"/>
          <w:color w:val="auto"/>
        </w:rPr>
        <w:t>www.matrixservicecompany.com</w:t>
      </w:r>
      <w:r>
        <w:rPr>
          <w:rFonts w:ascii="Arial" w:cs="Arial" w:eastAsia="Arial" w:hAnsi="Arial"/>
          <w:sz w:val="18"/>
          <w:szCs w:val="18"/>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Company completed an update of its long-term business strategy in fiscal 2012. This strategic update along with certain changes in our organizational structure led to a reassessment of our operating segments. As a result of these events, we have revised our reportable segments to better align with the current management of the business. As required under ASC 280—“Segment Reporting”, the segment information for all prior periods presented has been restated to reflect our new reporting segment presentation. Our previous operating segments were Construction Services and Repair and Maintenance Services. Our new segments are as follows:</w:t>
      </w:r>
    </w:p>
    <w:p>
      <w:pPr>
        <w:spacing w:after="0" w:line="62" w:lineRule="exact"/>
        <w:rPr>
          <w:sz w:val="20"/>
          <w:szCs w:val="20"/>
          <w:color w:val="auto"/>
        </w:rPr>
      </w:pPr>
    </w:p>
    <w:p>
      <w:pPr>
        <w:ind w:left="900" w:right="160" w:hanging="325"/>
        <w:spacing w:after="0" w:line="298"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Electrical Infrastructure segment primarily encompasses high voltage services to investor owned utilities including construction of new substations, upgrades of existing substations, short-run transmission line installations, distribution upgrades and maintenance, and storm restoration services. We also provide construction and maintenance services to a variety of power generation facilities such as combined cycle plants, nuclear facilities, coal fired power stations, and renewable energy installations.</w:t>
      </w:r>
    </w:p>
    <w:p>
      <w:pPr>
        <w:spacing w:after="0" w:line="31" w:lineRule="exact"/>
        <w:rPr>
          <w:rFonts w:ascii="Arial" w:cs="Arial" w:eastAsia="Arial" w:hAnsi="Arial"/>
          <w:sz w:val="16"/>
          <w:szCs w:val="16"/>
          <w:color w:val="auto"/>
        </w:rPr>
      </w:pPr>
    </w:p>
    <w:p>
      <w:pPr>
        <w:ind w:left="900" w:right="440" w:hanging="325"/>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Oil Gas &amp; Chemical segment includes our traditional turnaround activities, plant maintenance services and construction in the downstream petroleum industry. Another key offering is industrial cleaning services, which include hydroblasting, hydroexcavating, chemical cleaning and vacuum services. We also perform work in the renewable energy, industrial and natural gas, gas processing and compression, and upstream petroleum markets.</w:t>
      </w:r>
    </w:p>
    <w:p>
      <w:pPr>
        <w:spacing w:after="0" w:line="62" w:lineRule="exact"/>
        <w:rPr>
          <w:rFonts w:ascii="Arial" w:cs="Arial" w:eastAsia="Arial" w:hAnsi="Arial"/>
          <w:sz w:val="18"/>
          <w:szCs w:val="18"/>
          <w:color w:val="auto"/>
        </w:rPr>
      </w:pPr>
    </w:p>
    <w:p>
      <w:pPr>
        <w:ind w:left="900" w:right="80" w:hanging="325"/>
        <w:spacing w:after="0" w:line="298"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Storage Solutions segment includes new construction of, as well as planned and emergency maintenance services for crude and refined products aboveground storage tanks. Also included in the Storage Solutions segment is work related to specialty storage tanks including liquefied natural gas (“LNG”), liquid nitrogen/liquid oxygen (“LIN/LOX”), liquid petroleum (“LPG”) tanks and other specialty vessels including spheres. Finally, the Storage Solutions segment includes balance of plant work in storage terminals and tank farms.</w:t>
      </w:r>
    </w:p>
    <w:p>
      <w:pPr>
        <w:spacing w:after="0" w:line="31" w:lineRule="exact"/>
        <w:rPr>
          <w:rFonts w:ascii="Arial" w:cs="Arial" w:eastAsia="Arial" w:hAnsi="Arial"/>
          <w:sz w:val="16"/>
          <w:szCs w:val="16"/>
          <w:color w:val="auto"/>
        </w:rPr>
      </w:pPr>
    </w:p>
    <w:p>
      <w:pPr>
        <w:ind w:left="900" w:right="3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Industrial segment includes work in the mining and minerals industry, bulk material handling, thermal vacuum chambers, as well as work for clients in other industrial and manufacturing markets.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Marketing</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provided services to approximately 430 customers in fiscal 2012. The following table lists the customers that accounted for greater than 10% of our consolidated revenue for fiscal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Oil Gas &amp; Chemical</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w w:val="96"/>
              </w:rPr>
              <w:t>Storage Solutions</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w w:val="89"/>
              </w:rPr>
              <w:t>Total</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gridSpan w:val="6"/>
          </w:tcPr>
          <w:p>
            <w:pPr>
              <w:jc w:val="right"/>
              <w:ind w:right="140"/>
              <w:spacing w:after="0" w:line="142" w:lineRule="exact"/>
              <w:rPr>
                <w:sz w:val="20"/>
                <w:szCs w:val="20"/>
                <w:color w:val="auto"/>
              </w:rPr>
            </w:pPr>
            <w:r>
              <w:rPr>
                <w:rFonts w:ascii="Arial" w:cs="Arial" w:eastAsia="Arial" w:hAnsi="Arial"/>
                <w:sz w:val="14"/>
                <w:szCs w:val="14"/>
                <w:b w:val="1"/>
                <w:bCs w:val="1"/>
                <w:color w:val="auto"/>
                <w:w w:val="85"/>
              </w:rPr>
              <w:t>(In thousands, except percentages)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BP PLC</w:t>
            </w:r>
          </w:p>
        </w:tc>
        <w:tc>
          <w:tcPr>
            <w:tcW w:w="3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$72,196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8,815</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81,011</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Enbridge</w:t>
            </w:r>
          </w:p>
        </w:tc>
        <w:tc>
          <w:tcPr>
            <w:tcW w:w="25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79,169</w:t>
            </w:r>
          </w:p>
        </w:tc>
        <w:tc>
          <w:tcPr>
            <w:tcW w:w="3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79,169</w:t>
            </w:r>
          </w:p>
        </w:tc>
        <w:tc>
          <w:tcPr>
            <w:tcW w:w="3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72,196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87,984</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160,180</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loss of either of these major customers could have a material adverse effect on the Company.</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Matrix markets its services and products primarily through its marketing and business development personnel, senior professional staff and its operating management. The business development personnel concentrate on developing new customers and assisting management with existing customers. We competitively bid most of our projects; however, we have a number of preferred provider relationships with customers who award us work through long-term agreements. Our projects have durations of a few days to multiple years.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Financial Information</w:t>
      </w:r>
    </w:p>
    <w:p>
      <w:pPr>
        <w:spacing w:after="0" w:line="96"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Financial information for our operating segments is provided in Item 7. Management’s Discussion and Analysis of Financial Condition and Results of Operations, and in Note 14—Segment Information of the Notes to Consolidated Financial Statements included in Item 8. Financial Statements and Supplementary Data.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 competes with local, regional, national and international contractors. Competitors generally vary with the markets we serve with few competitors competing in all of the markets we serve or in all of the services we provide. Contracts are generally awarded based on price, reputation for quality, customer satisfaction, safety record and programs, and schedule.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define backlog as the total dollar amount of revenues that we expect to recognize as a result of performing work that has been awarded to us through a signed contract, notice to proceed or other type of assurance that we consider firm. The following arrangements are considered firm:</w:t>
      </w:r>
    </w:p>
    <w:p>
      <w:pPr>
        <w:spacing w:after="0" w:line="4"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132"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For long-term maintenance contracts we include only the amounts that we expect to recognize into revenue over the next 12 months. For all other arrangements, we calculate backlog as the estimated contract amount less revenues recognized as of the reporting date.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summary of changes in our backlog for fiscal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Electrical</w:t>
            </w:r>
          </w:p>
        </w:tc>
        <w:tc>
          <w:tcPr>
            <w:tcW w:w="180" w:type="dxa"/>
            <w:vAlign w:val="bottom"/>
          </w:tcPr>
          <w:p>
            <w:pPr>
              <w:spacing w:after="0"/>
              <w:rPr>
                <w:sz w:val="14"/>
                <w:szCs w:val="14"/>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Oil Gas &amp;</w:t>
            </w:r>
          </w:p>
        </w:tc>
        <w:tc>
          <w:tcPr>
            <w:tcW w:w="24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Storage</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9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Chemical</w:t>
            </w:r>
          </w:p>
        </w:tc>
        <w:tc>
          <w:tcPr>
            <w:tcW w:w="24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7"/>
              </w:rPr>
              <w:t>Solutions</w:t>
            </w:r>
          </w:p>
        </w:tc>
        <w:tc>
          <w:tcPr>
            <w:tcW w:w="8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1"/>
              </w:rPr>
              <w:t>Industrial</w:t>
            </w:r>
          </w:p>
        </w:tc>
        <w:tc>
          <w:tcPr>
            <w:tcW w:w="1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Backlog as of June 30, 2011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85,551</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92,162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$ 218,073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9,332</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$ 405,118</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awards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177,234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231,523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396,652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25,971</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831,380</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(135,086)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(205,823)</w:t>
            </w: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(378,154)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(19,983)</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(739,046)</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Backlog as of June 30, 2012</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127,699</w:t>
            </w:r>
          </w:p>
        </w:tc>
        <w:tc>
          <w:tcPr>
            <w:tcW w:w="2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117,862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$ 236,571</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15,320</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$ 497,452</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Turnarounds and planned outages at customer facilities are typically scheduled in the spring and the fall when the demand for energy is lower. As a result, quarterly operating results can exhibit seasonal fluctuations, especially in our Oil Gas &amp; Chemical segment. We typically see a lower level of operating activity relating to construction projects during the winter months and early in the calendar year because many of our customers’ capital budgets have not been finalized. Our business can also be affected both positively and negatively by seasonal factors such as energy demand or weather conditions including hurricanes, snowstorms, and abnormally low or high temperatures. Accordingly, results for any interim period may not necessarily be indicative of future operating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 Sources and Availability</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Steel plate and steel pipe are the primary raw materials used by the Company. Supplies of these materials are available throughout the United States and globally from numerous sources. We anticipate that adequate amounts of these materials will be available in the foreseeable future. However, the price, quantity, and the delivery schedules of these materials could change rapidly due to various factors, including producer capacity, the level of foreign imports, worldwide demand, tariffs on imported steel and other market conditions.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coverage limits and self-insured retentions.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Typically our contracts require us to indemnify our customers for injury, damage or loss arising from the performance of our services and provide for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w:t>
      </w:r>
    </w:p>
    <w:p>
      <w:pPr>
        <w:spacing w:after="0" w:line="14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or surety bonds in favor of the Company, to secure the subcontractors’ work or as required by contract. There can be no assurance that our insurance and the additional insurance coverage provided by our subcontractors will fully protect us against a valid claim or loss under the contracts with our customers.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As of June 30, 2012, we had 2,692 employees of which 535 were employed in non-field positions and 2,157 were employed in field or shop positions. The number of employees varies significantly throughout the year because of the number, type and size of projects we have in progress at any particular time.</w:t>
      </w:r>
    </w:p>
    <w:p>
      <w:pPr>
        <w:spacing w:after="0" w:line="8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Company’s subsidiaries include both merit and union companies. In our union business, we operate under collective bargaining agreements with various unions representing different groups of our employees. Union agreements provide union employees with benefits including health and welfare, pension, training programs and compensation plans. We have not experienced any significant strikes or work stoppages in recent years. We maintain health and welfare, retirement and training programs for our merit craft employees and administrative personnel.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Technology</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Matrix Service Company’s engineering subsidiary has several patents and patents pending, and continues to pursue new ideas and innovations to better serve our customers in all areas of our business. The patents under the Flex-A-Span</w:t>
      </w:r>
      <w:r>
        <w:rPr>
          <w:rFonts w:ascii="Arial" w:cs="Arial" w:eastAsia="Arial" w:hAnsi="Arial"/>
          <w:sz w:val="10"/>
          <w:szCs w:val="10"/>
          <w:color w:val="auto"/>
        </w:rPr>
        <w:t>®</w:t>
      </w:r>
      <w:r>
        <w:rPr>
          <w:rFonts w:ascii="Arial" w:cs="Arial" w:eastAsia="Arial" w:hAnsi="Arial"/>
          <w:sz w:val="16"/>
          <w:szCs w:val="16"/>
          <w:color w:val="auto"/>
        </w:rPr>
        <w:t xml:space="preserve"> and Flex-A-Seal</w:t>
      </w:r>
      <w:r>
        <w:rPr>
          <w:rFonts w:ascii="Arial" w:cs="Arial" w:eastAsia="Arial" w:hAnsi="Arial"/>
          <w:sz w:val="10"/>
          <w:szCs w:val="10"/>
          <w:color w:val="auto"/>
        </w:rPr>
        <w:t>®</w:t>
      </w:r>
      <w:r>
        <w:rPr>
          <w:rFonts w:ascii="Arial" w:cs="Arial" w:eastAsia="Arial" w:hAnsi="Arial"/>
          <w:sz w:val="16"/>
          <w:szCs w:val="16"/>
          <w:color w:val="auto"/>
        </w:rPr>
        <w:t xml:space="preserve"> trademarks are utilized to cover seals for floating roof tanks. Our patent of our ThermoStor</w:t>
      </w:r>
      <w:r>
        <w:rPr>
          <w:rFonts w:ascii="Arial" w:cs="Arial" w:eastAsia="Arial" w:hAnsi="Arial"/>
          <w:sz w:val="10"/>
          <w:szCs w:val="10"/>
          <w:color w:val="auto"/>
        </w:rPr>
        <w:t>®</w:t>
      </w:r>
      <w:r>
        <w:rPr>
          <w:rFonts w:ascii="Arial" w:cs="Arial" w:eastAsia="Arial" w:hAnsi="Arial"/>
          <w:sz w:val="16"/>
          <w:szCs w:val="16"/>
          <w:color w:val="auto"/>
        </w:rPr>
        <w:t xml:space="preserve"> diffuser system is for a process that receives, stores and dispenses both chilled and warm water in and from the same storage tank. The patented RS 1000 Tank Mixer</w:t>
      </w:r>
      <w:r>
        <w:rPr>
          <w:rFonts w:ascii="Arial" w:cs="Arial" w:eastAsia="Arial" w:hAnsi="Arial"/>
          <w:sz w:val="10"/>
          <w:szCs w:val="10"/>
          <w:color w:val="auto"/>
        </w:rPr>
        <w:t>®</w:t>
      </w:r>
      <w:r>
        <w:rPr>
          <w:rFonts w:ascii="Arial" w:cs="Arial" w:eastAsia="Arial" w:hAnsi="Arial"/>
          <w:sz w:val="16"/>
          <w:szCs w:val="16"/>
          <w:color w:val="auto"/>
        </w:rPr>
        <w:t xml:space="preserve"> controls sludge build-up in crude oil tanks through resuspension. The Valve Shield</w:t>
      </w:r>
      <w:r>
        <w:rPr>
          <w:rFonts w:ascii="Arial" w:cs="Arial" w:eastAsia="Arial" w:hAnsi="Arial"/>
          <w:sz w:val="10"/>
          <w:szCs w:val="10"/>
          <w:color w:val="auto"/>
        </w:rPr>
        <w:t>®</w:t>
      </w:r>
      <w:r>
        <w:rPr>
          <w:rFonts w:ascii="Arial" w:cs="Arial" w:eastAsia="Arial" w:hAnsi="Arial"/>
          <w:sz w:val="16"/>
          <w:szCs w:val="16"/>
          <w:color w:val="auto"/>
        </w:rPr>
        <w:t xml:space="preserve"> patent relates to a flexible fluid containment system that captures and contains fluid leaking from pipe and valve connections. The patent for Spacerless or Geocomposite Double Bottom for Storage Tanks relates to a replacement bottom with leak detection and containment that allows for the retrofitting of an existing tank while minimizing the loss of capacity. The patent for the Training Tank for Personnel Entry, Exit and Rescue relates to a mobile device that can be used to train personnel on equipment that is made to simulate real world hazards.</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holds a perpetual license to use various patents and technologies related to LNG storage tanks, LIN/LOX storage tanks, LPG storage tanks and thermal vacuum chambers. We believe that the ability to use these patents and technology enables us to expand our presence in the markets for these products and minimizes the development costs typically associated with organic growth.</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While we believe that continued product development and the protection of our patents are important to our business, we do not believe that these patents or purchased technology are essential to our success.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 Regulations</w:t>
      </w:r>
    </w:p>
    <w:p>
      <w:pPr>
        <w:spacing w:after="0" w:line="90"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Our operations are subject to the requirements of the United States Occupational Safety and Health Act (“OSHA”) and Mine Safety and Health Administration (“MSHA”), comparable state laws and the Canadian Workers’ Compensation Board and its Workplace Health, Safety and Compensation Commission. Regulations promulgated by these agencies require employers and independent contractors to implement work practices, medical surveillance systems and personnel protection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programs to protect employees from workplace hazards and exposure to hazardous chemicals and materials. In recognition of the potential for accidents within various scopes of work, these agencies have enacted strict and comprehensive safety regulations. The Company has established comprehensive programs for complying with health and safety regulations to protect the safety of its workers, subcontractors and customers. While the Company believes that it operates safely and prudently, there can be no assurance that accidents will not occur or that the Company will not incur substantial liability in connection with the operation of its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Company’s operations are subject to extensive and changing environmental laws and regulations. These laws and regulations relate primarily to air and water pollutants and the management and disposal of hazardous materials. The Company is exposed to potential liability for personal injury or property damage caused by any release, spill, exposure or other accident involving such pollutants, substances or hazardous materials.</w:t>
      </w:r>
    </w:p>
    <w:p>
      <w:pPr>
        <w:spacing w:after="0" w:line="10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order to limit costs incurred as a result of environmental exposure, the Company has purchased contractor’s pollution liability insurance policies that cover liability we may incur as a result of accidental releases of hazardous materials at customer or operating locations, including our fabrication facilities in Oklahoma and California.</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believes that it is currently in compliance, in all material aspects, with all applicable environmental laws and regulations. The Company does not expect any material charges in subsequent periods relating to environmental conditions that currently exist and does not currently foresee any significant future capital spending relating to environmental matters.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0"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b w:val="1"/>
          <w:bCs w:val="1"/>
          <w:color w:val="auto"/>
        </w:rPr>
        <w:t>The following risk factors should be considered with the other information included in this Annual Report on Form 10-K. As we operate in a continuously changing environment, other risk factors may emerge which could have material adverse effects on our results of operations, financial condition and cash flow.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Our Business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Unsatisfactory safety performance may subject us to penalties, can affect customer relationships, result in higher operating costs, negatively impact employee morale and result in higher employee turnover.</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Workplace safety is important to the Company, our employees, and our customers. As a result, we maintain comprehensive safety programs and training to all applicable employees throughout our organization. While we focus on protecting people and property, our work is performed at construction sites and in industrial facilities and our workers are subject to the normal hazards associated with providing these services. Even with proper safety precautions, these hazards can lead to personal injury, loss of life, damage to or destruction of property, plant and equipment, and environmental damage. We are intensely focused on maintaining a strong safety environment and reducing the risk of accidents to the lowest possible level.</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Although we have taken what we believe are appropriate precautions to adequately train and equip our employees, we have experienced serious accidents, including fatalities, in the past and may experience additional accidents in the future. Serious accidents may subject us to penalties, civil litigation or criminal prosecution. Claims for damages to persons, including claims for bodily injury or loss of life, could result in costs and liabilities, which could materially and adversely affect our financial condition, results of operations or cash flows.</w:t>
      </w:r>
    </w:p>
    <w:p>
      <w:pPr>
        <w:spacing w:after="0" w:line="22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Demand for our products and services is cyclical and is vulnerable to the level of capital and maintenance spending of our customers and to downturns in the industries and markets we serve as well as conditions in the general economy.</w:t>
      </w:r>
    </w:p>
    <w:p>
      <w:pPr>
        <w:spacing w:after="0" w:line="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demand for our products and services depends upon the existence of construction and maintenance projects in the downstream petroleum, power and other heavy industries in the United States and Canada. Therefore, it is likely that our business will continue to be cyclical in nature and vulnerable to general downturns in the United States, Canadian and world economies and declines in commodity prices, which could adversely affect the demand for our products and services.</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availability of engineering and construction projects is dependent upon economic conditions in the oil, gas, and power industries, specifically, the level of capital expenditures on energy infrastructure. A prolonged period of sluggish economic conditions in North America has had and may continue to have an adverse impact on the level of capital expenditures of our customers and/or their ability to finance these expenditures. Our failure to obtain projects, the delay of project awards, the cancellation of projects or delays in the completion of contracts are factors that may result in under-utilization of our resources, which would adversely impact our revenue, operating results and cash flow. There are numerous factors beyond our control that influence the level of capital expenditures of oil, gas and power companies, including:</w:t>
      </w:r>
    </w:p>
    <w:p>
      <w:pPr>
        <w:spacing w:after="0" w:line="63"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current or projected commodity prices, including oil, gas and power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refining margins;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demand for oil, gas and electricity;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oil, gas and power companies to generate, access and deploy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exploration, production and transportation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 incentives, including those for alternative energy projects;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restraints on the rates that power companies may charge their customers;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local, national and international political and economic conditions.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depend upon the award of new contracts and the timing of those awards.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revenues are derived primarily from contracts awarded on a project-by-project basis. Generally, it is difficult to predict whether and when we will be awarded a new contract due to lengthy and complex bidding and selection processes, changes in existing or forecasted market conditions, access to financing, governmental regulations, permitting and environmental matters. Because our revenues are derived from contract awards, our results of operations and cash flows can fluctuate materially from period to period.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uncertainty associated with the timing of contract awards may reduce our short-term profitability as we balance our current capacity with expectations of future contract awards. If an expected contract award is delayed or not received, we could incur costs to maintain an idle workforce that may have a material adverse effect on our results of operations. Alternatively, we may decide that our long-term interests are best served by reducing our workforce and incurring increased costs associated with severance and termination benefits which also could have a material adverse effect on our results of operations for the period when incurred. Reducing our workforce could also impact our results of operations if we are unable to adequately staff projects that are awarded subsequent to a workforce reduction.</w:t>
      </w:r>
    </w:p>
    <w:p>
      <w:pPr>
        <w:spacing w:after="0" w:line="22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b w:val="1"/>
          <w:bCs w:val="1"/>
          <w:i w:val="1"/>
          <w:iCs w:val="1"/>
          <w:color w:val="auto"/>
        </w:rPr>
        <w:t>There are integration and consolidation risks associated with the acquisition strategy included in our strategic plan. Future acquisitions may result in significant transaction expenses, unexpected liabilities and risks associated with entering new markets, and we may be unable to profitably operate these businesses.</w:t>
      </w:r>
    </w:p>
    <w:p>
      <w:pPr>
        <w:spacing w:after="0" w:line="59"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may lack sufficient management, financial and other resources to successfully integrate future acquisitions including acquisitions in markets in which we have not previously operated. Any future acquisitions may result in significant transaction expenses, unexpected liabilities and other risks in addition to the integration and consolidation risks.</w:t>
      </w:r>
    </w:p>
    <w:p>
      <w:pPr>
        <w:spacing w:after="0" w:line="14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If we make any future acquisitions, we likely will have exposure to third parties for liabilities of the acquired business or assets that may or may not be adequately covered by insurance or by indemnification, if any, from the former owners of the acquired business or assets. Any of these unexpected liabilities could have a material adverse effect on our business.</w:t>
      </w:r>
    </w:p>
    <w:p>
      <w:pPr>
        <w:spacing w:after="0" w:line="221"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b w:val="1"/>
          <w:bCs w:val="1"/>
          <w:i w:val="1"/>
          <w:iCs w:val="1"/>
          <w:color w:val="auto"/>
        </w:rPr>
        <w:t>We may need to raise additional capital in the future for working capital, capital expenditures and/or acquisitions, and we may not be able to do so on favorable terms or at all, which would impair our ability to operate our business or achieve our strategic plan.</w:t>
      </w:r>
    </w:p>
    <w:p>
      <w:pPr>
        <w:spacing w:after="0" w:line="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To the extent that cash flow from operations, together with available borrowings under our credit facility, are insufficient to make future investments, make acquisitions or provide needed additional working capital, we may require additional financing from other sources. Our ability to obtain such additional financing in the future will depend in part upon prevailing capital market conditions, as well as conditions in our business and our operating results; and those factors may affect our efforts to arrange additional financing on terms that are satisfactory to us. If adequate funds are not available, or are not available on acceptable terms, we may not be able to make future investments, take advantage of acquisitions or other opportunities, or respond to competitive challenges.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 in each of our business segments, which may have a material adverse effect on our business.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face competition in all areas of our business from regional, national and international competitors. Our competitors range from small family owned businesses to well-established, well-financed entities, both privately and publicly held, including many major equipment manufacturers, large engineering and construction companies and specialty contractors. We compete primarily on the basis of price, customer satisfaction, safety performance and programs, quality of our products and services, and schedule. As a result, the level of competition in one or more markets may result in lower operating margins than we have recently experienced.</w:t>
      </w:r>
    </w:p>
    <w:p>
      <w:pPr>
        <w:spacing w:after="0" w:line="22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Our backlog is subject to unexpected fluctuations, adjustments and cancellations and does not include the full value of our long-term maintenance contracts, and therefore, may not be a reliable indicator of our future earnings.</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Backlog may not be a reliable indicator of our future performance. We cannot guarantee that the revenue projected in our backlog will be realized or profitable. Projects may remain in our backlog for an extended period of time. In addition, project cancellations or scope adjustments may occur from time to time with respect to contracts included in our backlog that could reduce the dollar amount of our backlog and the revenue and profits that we actually earn. Many of our contracts have termination rights. Therefore, project adjustments may occur from time to time to contracts in our backlog.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of our significant customers could adversely affect us.</w:t>
      </w:r>
    </w:p>
    <w:p>
      <w:pPr>
        <w:spacing w:after="0" w:line="90"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One or more customers have in the past and may in the future contribute a material portion of our revenues in any one year. Because these significant customers generally contract with us for specific projects or for specific periods of time, we may lose these customers from year to year as the projects or maintenance contracts are completed. The loss of business from any one of these customers could have a material adverse effect on our business or results of operations.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The terms of our contracts could expose us to unforeseen costs and costs not within our control, which may not be recoverable and could adversely affect our results of operations and financial condition.</w:t>
      </w:r>
    </w:p>
    <w:p>
      <w:pPr>
        <w:spacing w:after="0" w:line="5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 significant amount of our work is performed under fixed price contracts. Under fixed-price contracts, we agree to perform the contract for a fixed-price and, as a result, can improve our expected profit by superior execution, productivity, workplace safety and other factors resulting in cost savings. However, we could incur cost overruns above the approved contract price, which may not be recoverable. Under certain incentive fixed-price contracts, we may agree to share with a customer a portion of any savings we are able to generate while the customer agrees to bear a portion of any increased costs we may incur up to a negotiated ceiling. To the extent costs exceed the negotiated ceiling price, we may be required to absorb some or all of the cost overruns.</w:t>
      </w:r>
    </w:p>
    <w:p>
      <w:pPr>
        <w:spacing w:after="0" w:line="1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Fixed-price contract prices are established based largely upon estimates and assumptions relating to project scope and specifications, personnel and productivity, material needs, and site conditions. These estimates and assumptions may prove inaccurate or conditions may change due to factors out of our control, resulting in cost overruns, which we may be required to absorb and which could have a material adverse effect on our business, financial condition and results of operations. In addition, our profits from these contracts could decrease or we could experience losses if we incur difficulties in performing the contracts or are unable to secure fixed-pricing commitments from our manufacturers, suppliers and subcontractors at the time we enter into fixed-price contracts with our customers.</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Under cost-plus and time-and-material contracts, we perform our services in return for payment of our agreed upon reimbursable costs plus a profit. The profit component is typically expressed in the contract either as a percentage of the reimbursable costs we actually incur or is factored into the rates we charge for labor or for the cost of equipment and materials, if any, we are required to provide. Our profit could be negatively impacted if our actual costs exceed the estimated costs utilized to establish the billing rates included in the contracts.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costs in providing services in excess of original project scope without having an approved change order.</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After commencement of a contract, we may perform, without the benefit of an approved change order from the customer, additional services requested by the customer that were not contemplated in our contract price for various reasons, including customer changes or incomplete or inaccurate engineering, changes in project specifications and other similar information provided to us by the customer. Our construction contracts generally require the customer to compensate us for additional work or expenses incurred under these circumstances.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 failure to obtain adequate compensation for these matters could require us to record in the current period an adjustment to revenue and profit recognized in prior periods under the percentage-of-completion accounting method. Any such adjustments, if substantial, could have a material adverse effect on our results of operations and financial condition, particularly for the period in which such adjustments are made. We cannot be assured that we will be successful in obtaining, through negotiation, arbitration, litigation or otherwise, approved change orders in an amount adequate to compensate us for our additional work or expenses.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profitability could be negatively impacted if we are not able to maintain appropriate utilization of our workforce.</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extent to which we utilize our workforce affects our profitability. If we under utilize our workforce, our project gross margins and overall profitability suffer in the short-term. If we over utilize our workforce, we may negatively impact safety, employee satisfaction and project execution, which could result in a decline of future project awards. The utilization of our workforce is impacted by numerous factors including:</w:t>
      </w:r>
    </w:p>
    <w:p>
      <w:pPr>
        <w:spacing w:after="0" w:line="59"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estimate of the headcount requirements for various operating units based upon our forecast of the demand for our products and services;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our talent base and manage attrition;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schedule our portfolio of projects to efficiently utilize our employees and minimize downtime between project assignments; and</w:t>
      </w:r>
    </w:p>
    <w:p>
      <w:pPr>
        <w:spacing w:after="0" w:line="113" w:lineRule="exact"/>
        <w:rPr>
          <w:rFonts w:ascii="Arial" w:cs="Arial" w:eastAsia="Arial" w:hAnsi="Arial"/>
          <w:sz w:val="16"/>
          <w:szCs w:val="16"/>
          <w:color w:val="auto"/>
        </w:rPr>
      </w:pPr>
    </w:p>
    <w:p>
      <w:pPr>
        <w:ind w:left="900" w:right="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need to invest time and resources into functions such as training, business development, employee recruiting, and sales that are not chargeable to customer projects.</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Our use of percentage-of-completion accounting for fixed-price contracts and our reporting of profits for cost-plus contracts prior to contract completion could result in a reduction or elimination of previously reported profits.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revenues are recognized using the percentage-of-completion method of accounting. Under percentage-of-completion accounting, contract revenues and earnings are recognized ratably over the contract term based on the proportion of actual costs incurred to total estimated contract costs. In addition, some contracts contain penalty provisions for failure to achieve certain milestones, schedules or performance standards. We review our estimates of contract revenues, costs and profitability on a monthly basis. As a result, we may adjust our estimates on one or more occasions as a result of changes in cost estimates, change orders to the original contract, or claims against the customer for increased costs incurred by us due to customer-induced delays and other factors.</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estimates of costs to complete fixed price contracts indicate a loss, a provision is made through a contract write-down for the total loss anticipated in the period the loss is determined. Contract profit estimates are also adjusted, on a percentage of completion basis, in the fiscal period in which it is determined that an adjustment is required. No restatements are made to prior periods. Further, a number of our contracts contain various cost and performance incentives and penalties that impact the earnings we realize from our contracts, and adjustments related to these incentives and penalties are recorded on a percentage of completion basis in the period when estimable and probable.</w:t>
      </w:r>
    </w:p>
    <w:p>
      <w:pPr>
        <w:spacing w:after="0" w:line="14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As a result of the requirements of the percentage-of-completion method of accounting, the possibility exists that we could have estimated and reported a profit on a contract over several prior periods and later determine that all or a portion of such previously estimated and reported profits were overstated. If this occurs, the full aggregate amount of the overstatement will be reported for the period in which such determination is made.</w:t>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are exposed to credit risk from customers. If we experience delays and/or defaults in customer payments, we could suffer liquidity problems or we could be unable to recover amounts owed to us.</w:t>
      </w:r>
    </w:p>
    <w:p>
      <w:pPr>
        <w:spacing w:after="0" w:line="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Under the terms of our contracts, at times we commit resources to customer projects prior to receiving payments from customers in amounts sufficient to cover expenditures on these projects as they are incurred. Many of our fixed-price or cost-plus contracts require us to satisfy specified progress milestones or performance standards in order to receive a payment. Under these types of arrangements, we may incur significant costs for labor, equipment and supplies prior to receipt of payment. If the customer fails or refuses to pay us for any reason, there is no assurance we will be able to collect amounts due to us for costs previously incurred. In some cases, we may find it necessary to terminate subcontracts with suppliers engaged by us to assist in performing a contract, and we may incur costs or penalties for canceling our commitments to them. Delays in customer payments require an investment in working capital. If we are unable to collect amounts owed to us under our contracts, we may be required to record a charge against previously recognized earnings related to the project, and our liquidity, financial condition and results of operations could be adversely affected.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Actual results could differ from the estimates and assumptions that we use to prepare our financial statements.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To prepare financial statements in conformity with generally accepted accounting principles, management is required to make estimates and assumptions, as of the date of the financial statements, which affect the reported values of assets, liabilities, revenues and expenses and disclosures of contingent assets and liabilities. Areas requiring significant estimation by our management include:</w:t>
      </w:r>
    </w:p>
    <w:p>
      <w:pPr>
        <w:spacing w:after="0" w:line="59"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contract costs and application of percentage-of-completion accounting;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provisions for uncollectible receivables from customers for invoiced amounts;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and collectability of unapproved change orders and claims against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provisions for income taxes and related valuation allowances;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recoverability of goodwill and intangible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valuation of assets acquired and liabilities assumed in connection with business combinations;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accruals for estimated liabilities, including litigation and insurance reserves.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actual results could materially differ from these estimates.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b w:val="1"/>
          <w:bCs w:val="1"/>
          <w:i w:val="1"/>
          <w:iCs w:val="1"/>
          <w:color w:val="auto"/>
        </w:rPr>
        <w:t>An inability to attract and retain qualified personnel, and in particular, engineers, project managers and skilled craft workers, could impact our ability to perform on our contracts, which could harm our business and impair our future revenues and profitability.</w:t>
      </w:r>
    </w:p>
    <w:p>
      <w:pPr>
        <w:spacing w:after="0" w:line="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ability to attract and retain qualified engineers, project managers, skilled craftsmen and other experienced professionals in accordance with our needs is an important factor in our ability to maintain profitability and grow our business. The market for these professionals is competitive, particularly during periods of economic growth when the supply is limited. We cannot provide any assurance that we will be successful in our efforts to retain or attract qualified personnel when needed. Therefore, when we anticipate or experience growing demand for our services, we may incur additional cost to maintain a professional staff in excess of our current contract needs in an effort to have sufficient qualified personnel available to address this anticipated demand. If we do incur additional compensation and benefit costs, our customer contracts may not allow us to pass through these costs.</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Competent and experienced engineers, project managers, and craft workers are especially critical to the profitable performance of our contracts, particularly on our fixed-price contracts where superior design and execution of the project can result in profits greater than originally estimated or where inferior design and project execution can reduce or eliminate estimated profits or even result in a loss.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project managers are involved in most aspects of contracting and contract execution including:</w:t>
      </w:r>
    </w:p>
    <w:p>
      <w:pPr>
        <w:spacing w:after="0" w:line="90" w:lineRule="exact"/>
        <w:rPr>
          <w:sz w:val="20"/>
          <w:szCs w:val="20"/>
          <w:color w:val="auto"/>
        </w:rPr>
      </w:pPr>
    </w:p>
    <w:p>
      <w:pPr>
        <w:ind w:left="900" w:right="2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supervising the bidding process, including providing estimates of significant cost components, such as material and equipment needs, and the size, productivity and composition of the workforce;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negotiating contracts;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supervising project performance, including performance by our employees, subcontractors and other third-party suppliers and vendors;</w:t>
      </w:r>
    </w:p>
    <w:p>
      <w:pPr>
        <w:spacing w:after="0" w:line="113"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estimating costs for completion of contracts that is used to estimate amounts that can be reported as revenues and earnings on the contract under the percentage-of-completion method of accounting;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negotiating requests for change orders and the final terms of approved change orders; and</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determining and documenting claims by us for increased costs incurred due to the failure of customers, subcontractors and other third-party suppliers of equipment and materials to perform on a timely basis and in accordance with contract terms.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 stoppages and other labor problems could adversely affect us.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Some of our employees are represented by labor unions. The Company has in excess of 50 collective bargaining agreements with various labor unions. The most significant agreements include the following:</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Trade</w:t>
            </w:r>
          </w:p>
        </w:tc>
        <w:tc>
          <w:tcPr>
            <w:tcW w:w="5640" w:type="dxa"/>
            <w:vAlign w:val="bottom"/>
          </w:tcPr>
          <w:p>
            <w:pPr>
              <w:spacing w:after="0"/>
              <w:rPr>
                <w:sz w:val="15"/>
                <w:szCs w:val="15"/>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Local #</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380" w:type="dxa"/>
            <w:vAlign w:val="bottom"/>
          </w:tcPr>
          <w:p>
            <w:pPr>
              <w:spacing w:after="0"/>
              <w:rPr>
                <w:sz w:val="15"/>
                <w:szCs w:val="15"/>
                <w:color w:val="auto"/>
              </w:rPr>
            </w:pPr>
          </w:p>
        </w:tc>
        <w:tc>
          <w:tcPr>
            <w:tcW w:w="920" w:type="dxa"/>
            <w:vAlign w:val="bottom"/>
          </w:tcPr>
          <w:p>
            <w:pPr>
              <w:ind w:left="240"/>
              <w:spacing w:after="0"/>
              <w:rPr>
                <w:sz w:val="20"/>
                <w:szCs w:val="20"/>
                <w:color w:val="auto"/>
              </w:rPr>
            </w:pPr>
            <w:r>
              <w:rPr>
                <w:rFonts w:ascii="Arial" w:cs="Arial" w:eastAsia="Arial" w:hAnsi="Arial"/>
                <w:sz w:val="14"/>
                <w:szCs w:val="14"/>
                <w:b w:val="1"/>
                <w:bCs w:val="1"/>
                <w:color w:val="auto"/>
              </w:rPr>
              <w:t>Expires</w:t>
            </w:r>
          </w:p>
        </w:tc>
      </w:tr>
      <w:tr>
        <w:trPr>
          <w:trHeight w:val="195"/>
        </w:trPr>
        <w:tc>
          <w:tcPr>
            <w:tcW w:w="6020" w:type="dxa"/>
            <w:vAlign w:val="bottom"/>
            <w:gridSpan w:val="2"/>
          </w:tcPr>
          <w:p>
            <w:pPr>
              <w:spacing w:after="0" w:line="195" w:lineRule="exact"/>
              <w:rPr>
                <w:sz w:val="20"/>
                <w:szCs w:val="20"/>
                <w:color w:val="auto"/>
              </w:rPr>
            </w:pPr>
            <w:r>
              <w:rPr>
                <w:rFonts w:ascii="Arial" w:cs="Arial" w:eastAsia="Arial" w:hAnsi="Arial"/>
                <w:sz w:val="18"/>
                <w:szCs w:val="18"/>
                <w:color w:val="auto"/>
              </w:rPr>
              <w:t>Boilermaker</w:t>
            </w:r>
          </w:p>
        </w:tc>
        <w:tc>
          <w:tcPr>
            <w:tcW w:w="5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28</w:t>
            </w:r>
          </w:p>
        </w:tc>
        <w:tc>
          <w:tcPr>
            <w:tcW w:w="380" w:type="dxa"/>
            <w:vAlign w:val="bottom"/>
          </w:tcPr>
          <w:p>
            <w:pPr>
              <w:spacing w:after="0"/>
              <w:rPr>
                <w:sz w:val="16"/>
                <w:szCs w:val="16"/>
                <w:color w:val="auto"/>
              </w:rPr>
            </w:pPr>
          </w:p>
        </w:tc>
        <w:tc>
          <w:tcPr>
            <w:tcW w:w="13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Bayonne, N.J.</w:t>
            </w:r>
          </w:p>
        </w:tc>
        <w:tc>
          <w:tcPr>
            <w:tcW w:w="380" w:type="dxa"/>
            <w:vAlign w:val="bottom"/>
          </w:tcPr>
          <w:p>
            <w:pPr>
              <w:spacing w:after="0"/>
              <w:rPr>
                <w:sz w:val="16"/>
                <w:szCs w:val="16"/>
                <w:color w:val="auto"/>
              </w:rPr>
            </w:pPr>
          </w:p>
        </w:tc>
        <w:tc>
          <w:tcPr>
            <w:tcW w:w="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12/31/2012</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Boilermaker</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3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Philadelphia, PA.</w:t>
            </w:r>
          </w:p>
        </w:tc>
        <w:tc>
          <w:tcPr>
            <w:tcW w:w="1300" w:type="dxa"/>
            <w:vAlign w:val="bottom"/>
            <w:gridSpan w:val="2"/>
          </w:tcPr>
          <w:p>
            <w:pPr>
              <w:ind w:left="380"/>
              <w:spacing w:after="0"/>
              <w:rPr>
                <w:sz w:val="20"/>
                <w:szCs w:val="20"/>
                <w:color w:val="auto"/>
              </w:rPr>
            </w:pPr>
            <w:r>
              <w:rPr>
                <w:rFonts w:ascii="Arial" w:cs="Arial" w:eastAsia="Arial" w:hAnsi="Arial"/>
                <w:sz w:val="18"/>
                <w:szCs w:val="18"/>
                <w:color w:val="auto"/>
              </w:rPr>
              <w:t>9/29/2012</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Electrician</w:t>
            </w:r>
          </w:p>
        </w:tc>
        <w:tc>
          <w:tcPr>
            <w:tcW w:w="500" w:type="dxa"/>
            <w:vAlign w:val="bottom"/>
          </w:tcPr>
          <w:p>
            <w:pPr>
              <w:jc w:val="center"/>
              <w:spacing w:after="0"/>
              <w:rPr>
                <w:sz w:val="20"/>
                <w:szCs w:val="20"/>
                <w:color w:val="auto"/>
              </w:rPr>
            </w:pPr>
            <w:r>
              <w:rPr>
                <w:rFonts w:ascii="Arial" w:cs="Arial" w:eastAsia="Arial" w:hAnsi="Arial"/>
                <w:sz w:val="18"/>
                <w:szCs w:val="18"/>
                <w:color w:val="auto"/>
                <w:w w:val="86"/>
              </w:rPr>
              <w:t>351</w:t>
            </w:r>
          </w:p>
        </w:tc>
        <w:tc>
          <w:tcPr>
            <w:tcW w:w="3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Winslow, N.J.</w:t>
            </w:r>
          </w:p>
        </w:tc>
        <w:tc>
          <w:tcPr>
            <w:tcW w:w="1300" w:type="dxa"/>
            <w:vAlign w:val="bottom"/>
            <w:gridSpan w:val="2"/>
          </w:tcPr>
          <w:p>
            <w:pPr>
              <w:ind w:left="380"/>
              <w:spacing w:after="0"/>
              <w:rPr>
                <w:sz w:val="20"/>
                <w:szCs w:val="20"/>
                <w:color w:val="auto"/>
              </w:rPr>
            </w:pPr>
            <w:r>
              <w:rPr>
                <w:rFonts w:ascii="Arial" w:cs="Arial" w:eastAsia="Arial" w:hAnsi="Arial"/>
                <w:sz w:val="18"/>
                <w:szCs w:val="18"/>
                <w:color w:val="auto"/>
                <w:w w:val="99"/>
              </w:rPr>
              <w:t>10/01/2013</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Boilermaker—NTD</w:t>
            </w:r>
          </w:p>
        </w:tc>
        <w:tc>
          <w:tcPr>
            <w:tcW w:w="880" w:type="dxa"/>
            <w:vAlign w:val="bottom"/>
            <w:gridSpan w:val="2"/>
          </w:tcPr>
          <w:p>
            <w:pPr>
              <w:jc w:val="center"/>
              <w:ind w:right="380"/>
              <w:spacing w:after="0"/>
              <w:rPr>
                <w:sz w:val="20"/>
                <w:szCs w:val="20"/>
                <w:color w:val="auto"/>
              </w:rPr>
            </w:pPr>
            <w:r>
              <w:rPr>
                <w:rFonts w:ascii="Arial" w:cs="Arial" w:eastAsia="Arial" w:hAnsi="Arial"/>
                <w:sz w:val="18"/>
                <w:szCs w:val="18"/>
                <w:color w:val="auto"/>
              </w:rPr>
              <w:t>All</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National</w:t>
            </w:r>
          </w:p>
        </w:tc>
        <w:tc>
          <w:tcPr>
            <w:tcW w:w="1300" w:type="dxa"/>
            <w:vAlign w:val="bottom"/>
            <w:gridSpan w:val="2"/>
          </w:tcPr>
          <w:p>
            <w:pPr>
              <w:ind w:left="380"/>
              <w:spacing w:after="0"/>
              <w:rPr>
                <w:sz w:val="20"/>
                <w:szCs w:val="20"/>
                <w:color w:val="auto"/>
              </w:rPr>
            </w:pPr>
            <w:r>
              <w:rPr>
                <w:rFonts w:ascii="Arial" w:cs="Arial" w:eastAsia="Arial" w:hAnsi="Arial"/>
                <w:sz w:val="18"/>
                <w:szCs w:val="18"/>
                <w:color w:val="auto"/>
                <w:w w:val="99"/>
              </w:rPr>
              <w:t>10/31/2013</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Electrician</w:t>
            </w:r>
          </w:p>
        </w:tc>
        <w:tc>
          <w:tcPr>
            <w:tcW w:w="500" w:type="dxa"/>
            <w:vAlign w:val="bottom"/>
          </w:tcPr>
          <w:p>
            <w:pPr>
              <w:jc w:val="center"/>
              <w:spacing w:after="0"/>
              <w:rPr>
                <w:sz w:val="20"/>
                <w:szCs w:val="20"/>
                <w:color w:val="auto"/>
              </w:rPr>
            </w:pPr>
            <w:r>
              <w:rPr>
                <w:rFonts w:ascii="Arial" w:cs="Arial" w:eastAsia="Arial" w:hAnsi="Arial"/>
                <w:sz w:val="18"/>
                <w:szCs w:val="18"/>
                <w:color w:val="auto"/>
                <w:w w:val="86"/>
              </w:rPr>
              <w:t>102</w:t>
            </w:r>
          </w:p>
        </w:tc>
        <w:tc>
          <w:tcPr>
            <w:tcW w:w="3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Parsippany, N.J.</w:t>
            </w:r>
          </w:p>
        </w:tc>
        <w:tc>
          <w:tcPr>
            <w:tcW w:w="1300" w:type="dxa"/>
            <w:vAlign w:val="bottom"/>
            <w:gridSpan w:val="2"/>
          </w:tcPr>
          <w:p>
            <w:pPr>
              <w:ind w:left="380"/>
              <w:spacing w:after="0"/>
              <w:rPr>
                <w:sz w:val="20"/>
                <w:szCs w:val="20"/>
                <w:color w:val="auto"/>
              </w:rPr>
            </w:pPr>
            <w:r>
              <w:rPr>
                <w:rFonts w:ascii="Arial" w:cs="Arial" w:eastAsia="Arial" w:hAnsi="Arial"/>
                <w:sz w:val="18"/>
                <w:szCs w:val="18"/>
                <w:color w:val="auto"/>
              </w:rPr>
              <w:t>6/02/2014</w:t>
            </w:r>
          </w:p>
        </w:tc>
      </w:tr>
      <w:tr>
        <w:trPr>
          <w:trHeight w:val="222"/>
        </w:trPr>
        <w:tc>
          <w:tcPr>
            <w:tcW w:w="6020" w:type="dxa"/>
            <w:vAlign w:val="bottom"/>
            <w:gridSpan w:val="2"/>
          </w:tcPr>
          <w:p>
            <w:pPr>
              <w:spacing w:after="0"/>
              <w:rPr>
                <w:sz w:val="20"/>
                <w:szCs w:val="20"/>
                <w:color w:val="auto"/>
              </w:rPr>
            </w:pPr>
            <w:r>
              <w:rPr>
                <w:rFonts w:ascii="Arial" w:cs="Arial" w:eastAsia="Arial" w:hAnsi="Arial"/>
                <w:sz w:val="18"/>
                <w:szCs w:val="18"/>
                <w:color w:val="auto"/>
              </w:rPr>
              <w:t>Electrician</w:t>
            </w:r>
          </w:p>
        </w:tc>
        <w:tc>
          <w:tcPr>
            <w:tcW w:w="500" w:type="dxa"/>
            <w:vAlign w:val="bottom"/>
          </w:tcPr>
          <w:p>
            <w:pPr>
              <w:jc w:val="center"/>
              <w:spacing w:after="0"/>
              <w:rPr>
                <w:sz w:val="20"/>
                <w:szCs w:val="20"/>
                <w:color w:val="auto"/>
              </w:rPr>
            </w:pPr>
            <w:r>
              <w:rPr>
                <w:rFonts w:ascii="Arial" w:cs="Arial" w:eastAsia="Arial" w:hAnsi="Arial"/>
                <w:sz w:val="18"/>
                <w:szCs w:val="18"/>
                <w:color w:val="auto"/>
                <w:w w:val="86"/>
              </w:rPr>
              <w:t>164</w:t>
            </w:r>
          </w:p>
        </w:tc>
        <w:tc>
          <w:tcPr>
            <w:tcW w:w="38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Paramus, N.J.</w:t>
            </w:r>
          </w:p>
        </w:tc>
        <w:tc>
          <w:tcPr>
            <w:tcW w:w="1300" w:type="dxa"/>
            <w:vAlign w:val="bottom"/>
            <w:gridSpan w:val="2"/>
          </w:tcPr>
          <w:p>
            <w:pPr>
              <w:ind w:left="380"/>
              <w:spacing w:after="0"/>
              <w:rPr>
                <w:sz w:val="20"/>
                <w:szCs w:val="20"/>
                <w:color w:val="auto"/>
              </w:rPr>
            </w:pPr>
            <w:r>
              <w:rPr>
                <w:rFonts w:ascii="Arial" w:cs="Arial" w:eastAsia="Arial" w:hAnsi="Arial"/>
                <w:sz w:val="18"/>
                <w:szCs w:val="18"/>
                <w:color w:val="auto"/>
              </w:rPr>
              <w:t>6/02/2014</w:t>
            </w:r>
          </w:p>
        </w:tc>
      </w:tr>
    </w:tbl>
    <w:p>
      <w:pPr>
        <w:spacing w:after="0" w:line="15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Company is also working under a number of other collective bargaining agreements that cover a smaller number of employees. These agreements expire within the next five years. For those agreements with upcoming expiration dates, the Company is currently negotiating renewals and expects that the renewals will be successfully completed. To date, the Company has not experienced any significant work stoppages or other significant labor problems in connection with its collective bargaining agreements. A lengthy strike or other work stoppage on any of our projects could have a material adverse effect on our business and results of operations due to an inability to complete contracted projects in a timely manner. From time to time, we have also experienced attempts to unionize certain of our merit employees. While these efforts have only achieved limited success to date, we cannot provide any assurance that we will not experience additional and more successful union activity in the future.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contribute to multiemployer plans that could result in liabilities to us if those plans are terminated or if we withdraw from those plans.</w:t>
      </w:r>
    </w:p>
    <w:p>
      <w:pPr>
        <w:spacing w:after="0" w:line="11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contribute to several multiemployer pension plans for employees covered by collective bargaining agreements. These plans are not administered by us and contributions are determined in accordance with provisions of negotiated labor contracts. The Employee Retirement Income Security Act of 1974, as amended by the Multiemployer Pension Plan Amendments Act of 1980, imposes certain liabilities upon employers who are contributors to a multiemployer plan in the event of the employer’s withdrawal from, or upon termination of, such plan. We are not currently able to determine the net assets and actuarial present value of the multiemployer pension plans’ unfunded vested benefits allocable to us, if any, and we are not presently aware of the amounts, if any, for which we may be contingently liable if we were to withdraw from any of these plans. In addition, if the funding level of any of these multiemployer plans becomes classified as “critical status” under the Pension Protection Act of 2006, we could be required to make significant additional contributions to those plans.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events, including those associated with our strategic plan, could negatively affect our liquidity position.</w:t>
      </w:r>
    </w:p>
    <w:p>
      <w:pPr>
        <w:spacing w:after="0" w:line="90" w:lineRule="exact"/>
        <w:rPr>
          <w:sz w:val="20"/>
          <w:szCs w:val="20"/>
          <w:color w:val="auto"/>
        </w:rPr>
      </w:pPr>
    </w:p>
    <w:p>
      <w:pPr>
        <w:ind w:right="640" w:firstLine="456"/>
        <w:spacing w:after="0" w:line="306" w:lineRule="auto"/>
        <w:rPr>
          <w:sz w:val="20"/>
          <w:szCs w:val="20"/>
          <w:color w:val="auto"/>
        </w:rPr>
      </w:pPr>
      <w:r>
        <w:rPr>
          <w:rFonts w:ascii="Arial" w:cs="Arial" w:eastAsia="Arial" w:hAnsi="Arial"/>
          <w:sz w:val="16"/>
          <w:szCs w:val="16"/>
          <w:color w:val="auto"/>
        </w:rPr>
        <w:t>We can provide no assurance that we will have sufficient cash from operations or the credit capacity to meet all of our future cash needs should we encounter significant working capital requirements or incur significant acquisition costs. Insufficient cash from operations, significant working capital requirements, and contract disputes have in the past, and could in the future, reduce availability under our credit facility.</w:t>
      </w:r>
    </w:p>
    <w:p>
      <w:pPr>
        <w:spacing w:after="0" w:line="18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We are involved, and are likely to continue to be involved in legal proceedings, which will increase our costs and, if adversely determined, could have a material effect on our financial condition, results of operations, cash flows and liquidity.</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are currently a defendant in legal proceedings arising from the operation of our business and it is reasonable to expect that we would be named in future actions. Many of the actions against us arise out of the normal course of performing services on project sites, and include claims for workers’ compensation, personal injury and property damage. From time to time, we are also named as a defendant for actions involving the violation of federal and state labor laws related to employment practices, wages and benefits or in contract disputes with our customers. We also are, and are likely to continue to be, a plaintiff in legal proceedings against customers seeking to recover payment of contractual amounts due to us as well as claims for increased costs incurred by us resulting from, among other things, services performed by us at the request of a customer that are in excess of original project scope that are later disputed by the customer and customer-caused delays in our contract performance.</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maintain insurance against operating hazards in amounts that we believe are customary in our industry. However, our insurance has deductibles and coverage exclusions so we cannot provide assurance that we are adequately insured against all types of risks that are associated with the conduct of our business. A successful claim brought against us in excess of, or outside of, our insurance coverage could have a material adverse effect on our financial condition, results of operations, cash flows and liquidity.</w:t>
      </w:r>
    </w:p>
    <w:p>
      <w:pPr>
        <w:spacing w:after="0" w:line="14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Litigation, regardless of its outcome, is expensive, typically diverts the efforts of our management away from operations for varying periods of time, and can disrupt or otherwise adversely impact our relationships with current or potential customers, subcontractors and suppliers. Payment and claim disputes with customers may also cause us to incur increased interest costs resulting from incurring indebtedness under our revolving line of credit or receiving less interest income resulting from fewer funds invested due to the failure to receive payment for disputed claims and accounts.</w:t>
      </w:r>
    </w:p>
    <w:p>
      <w:pPr>
        <w:spacing w:after="0" w:line="194"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b w:val="1"/>
          <w:bCs w:val="1"/>
          <w:i w:val="1"/>
          <w:iCs w:val="1"/>
          <w:color w:val="auto"/>
        </w:rPr>
        <w:t>Our projects expose us to potential professional liability, product liability, warranty and other claims, which could be expensive, damage our reputation and harm our business. We may not be able to obtain or maintain adequate insurance to cover these claims.</w:t>
      </w:r>
    </w:p>
    <w:p>
      <w:pPr>
        <w:spacing w:after="0" w:line="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perform construction and maintenance services at large industrial facilities where accidents or system failures can be disastrous and costly. Any catastrophic occurrence in excess of our insurance limits at locations engineered or constructed by us or where our products are installed or services performed could result in significant professional liability, product liability, warranty and other claims against us by our customers, including claims for cost overruns and the failure of the project to meet contractually specified milestones or performance standards. Further, the rendering of our services on these projects could expose us to risks and claims by third parties and governmental agencies for personal injuries, property damage and environmental matters, among others. Any claim, regardless of its merit or eventual outcome, could result in substantial costs, divert management’s attention and create negative publicity, particularly for claims relating to environmental matters where the amount of the claim could be extremely large. We may not be able to or may choose not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obtain or maintain insurance coverage for the types of claims described above. If we are unable to obtain insurance at an acceptable cost or otherwise protect against the claims described above, we will be exposed to significant liabilities, which may materially and adversely affect our financial condition and results of operations.</w:t>
      </w:r>
    </w:p>
    <w:p>
      <w:pPr>
        <w:spacing w:after="0" w:line="221" w:lineRule="exact"/>
        <w:rPr>
          <w:sz w:val="20"/>
          <w:szCs w:val="20"/>
          <w:color w:val="auto"/>
        </w:rPr>
      </w:pPr>
    </w:p>
    <w:p>
      <w:pPr>
        <w:ind w:right="920"/>
        <w:spacing w:after="0" w:line="332" w:lineRule="auto"/>
        <w:rPr>
          <w:sz w:val="20"/>
          <w:szCs w:val="20"/>
          <w:color w:val="auto"/>
        </w:rPr>
      </w:pPr>
      <w:r>
        <w:rPr>
          <w:rFonts w:ascii="Arial" w:cs="Arial" w:eastAsia="Arial" w:hAnsi="Arial"/>
          <w:sz w:val="16"/>
          <w:szCs w:val="16"/>
          <w:b w:val="1"/>
          <w:bCs w:val="1"/>
          <w:i w:val="1"/>
          <w:iCs w:val="1"/>
          <w:color w:val="auto"/>
        </w:rPr>
        <w:t>Employee, subcontractor or partner misconduct or our overall failure to comply with laws or regulations could harm our reputation, damage our relationships with customers, reduce our revenues and profits, and subject us to criminal and civil enforcement actions.</w:t>
      </w:r>
    </w:p>
    <w:p>
      <w:pPr>
        <w:spacing w:after="0" w:line="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Misconduct, fraud, non-compliance with applicable laws and regulations, or other improper activities by one of our employees, subcontractors or partners could have a significant negative impact on our business and reputation. Such misconduct could include the failure to comply with safety standards, laws and regulations, customer requirements, regulations pertaining to the internal controls over financial reporting, environmental laws and any other applicable laws or regulations. The precautions we take to prevent and detect these activities may not be effective, since our internal controls are subject to inherent limitations, including human error, the possibility that controls could be circumvented or become inadequate because of changed conditions, and fraud.</w:t>
      </w:r>
    </w:p>
    <w:p>
      <w:pPr>
        <w:spacing w:after="0" w:line="1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Our failure to comply with applicable laws or regulations or acts of misconduct could subject us to fines and penalties, harm our reputation, damage our relationships with customers, reduce our revenues and profits and subject us to criminal and civil enforcement actions.</w:t>
      </w:r>
    </w:p>
    <w:p>
      <w:pPr>
        <w:spacing w:after="0" w:line="166"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i w:val="1"/>
          <w:iCs w:val="1"/>
          <w:color w:val="auto"/>
        </w:rPr>
        <w:t>We rely on internally and externally developed software applications and systems to support critical functions including project management, estimating, human resources, accounting, and financial reporting. Any sudden loss, disruption or unexpected costs to maintain these systems could significantly increase our operational expense as well as disrupt the management of our business operations.</w:t>
      </w:r>
    </w:p>
    <w:p>
      <w:pPr>
        <w:spacing w:after="0" w:line="2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rely on various software systems to operate our critical operating and administrative functions. We depend on our software vendors to provide long-term software maintenance support for our information systems. Software vendors may decide to discontinue further development, integration or long-term software maintenance support for our information systems, in which case we may need to abandon one or more of our current information systems and migrate some or all of our project management, human resources, estimating, accounting and financial information to other systems, thus increasing our operational expense as well as disrupting the management of our business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difficult work sites and environments, which may adversely affect our overall business.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perform our work under a variety of conditions, including, but not limited to, difficult terrain, difficult site conditions and busy urban centers where delivery of materials and availability of labor may be impacted. Performing work under these conditions can slow our progress, potentially causing us to incur contractual liability to our customers. These difficult conditions may also cause us to incur additional, unanticipated costs that we might not be able to pass on to our customers.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susceptible to adverse weather conditions, which may harm our business and financial results.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business may be adversely affected by severe weather in areas where we have significant operations. Repercussions of severe weather conditions may include:</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curtailment of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suspension of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meet performance schedules in accordance with contracts;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weather related damage to our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 of information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receive machinery, equipment and materials at jobsites;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productivity.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factors and changes in laws and regulations could increase our costs and liabilities.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operations are subject to environmental laws and regulations, including those concerning emissions into the air; discharges into waterways; generation, storage, handling, treatment and disposal of hazardous material and wastes; and health and safety.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Our projects often involve highly regulated materials, including hazardous wastes. Environmental laws and regulations generally impose limitations and standards for regulated materials and require us to obtain permits and comply with various other requirements. The improper characterization, handling, or disposal of regulated materials or any other failure by us to comply with federal, state and local environmental laws and regulations or associated environmental permits could subject us to the assessment of administrative, civil and criminal penalties, the imposition of investigatory or remedial obligations, or the issuance of injunctions that could restrict or prevent our ability to operate our business and complete contracted projects.</w:t>
      </w:r>
    </w:p>
    <w:p>
      <w:pPr>
        <w:spacing w:after="0" w:line="1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addition, under the Comprehensive Environmental Response, Compensation and Liability Act of 1980 (“CERCLA”), and comparable state laws, we may be required to investigate and remediate regulated materials. CERCLA and the comparable state laws typically impose liability without regard to whether a company knew of or caused the release, and liability for the entire cost of clean-up can be imposed upon any responsible party.</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are subject to numerous other laws and regulations including those related to business registrations and licenses, environment, workplace, employment, health and safety. These laws and regulations are complex, change frequently and could become more stringent in the future. It is impossible to predict the effect on us of any future changes to these laws and regulations. We can provide no absolute assurance that our operations will continue to comply with future laws and regulations or that the costs to comply with these laws and regulations and/or a failure to comply with these laws will not significantly adversely affect our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for future periods may be affected by impairment charges.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Because we have grown in part through acquisitions, goodwill and other acquired intangible assets represent a substantial portion of our assets. We perform annual goodwill and intangible asset impairment reviews in the fourth quarter of every fiscal year. In addition, we perform an impairment review whenever events or changes in circumstances indicate the carrying value of goodwill or an intangible or fixed asset may not be recoverable. At some future date, we may determine that significant impairment has occurred, which could require us to write off an additional portion of our assets and could adversely affect our financial condition or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facility imposes restrictions that may limit business alternatives.</w:t>
      </w:r>
    </w:p>
    <w:p>
      <w:pPr>
        <w:spacing w:after="0" w:line="90" w:lineRule="exact"/>
        <w:rPr>
          <w:sz w:val="20"/>
          <w:szCs w:val="20"/>
          <w:color w:val="auto"/>
        </w:rPr>
      </w:pPr>
    </w:p>
    <w:p>
      <w:pPr>
        <w:jc w:val="both"/>
        <w:ind w:right="340" w:firstLine="456"/>
        <w:spacing w:after="0" w:line="256" w:lineRule="auto"/>
        <w:rPr>
          <w:sz w:val="20"/>
          <w:szCs w:val="20"/>
          <w:color w:val="auto"/>
        </w:rPr>
      </w:pPr>
      <w:r>
        <w:rPr>
          <w:rFonts w:ascii="Arial" w:cs="Arial" w:eastAsia="Arial" w:hAnsi="Arial"/>
          <w:sz w:val="18"/>
          <w:szCs w:val="18"/>
          <w:color w:val="auto"/>
        </w:rPr>
        <w:t>Our senior revolving credit facility contains covenants that restrict or limit our ability to incur additional debt, acquire or dispose of assets, repurchase equity, or make certain distributions, including dividends. In addition, our credit facility requires that we comply with a number of financial covenants. These covenants and restrictions may impact our ability to effectively execute operating and strategic plans and our operating performance may not be sufficient to comply with the required covenants.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failure to comply with one or more of the covenants in our credit facility could result in an event of default. We can provide no assurance that a default could be remedied, or that our creditors would grant a waiver or amend the terms of the credit facility. If an event of default occurs, our lenders could elect to declare all amounts outstanding under the facility to be immediately due and payable, terminate all commitments, refuse to extend further credit, and require us to provide cash to collateralize any outstanding letters of credit. If an event of default occurs and the lenders under the credit facility accelerate the maturity of any loans or other debt outstanding, we may not have sufficient liquidity to repay amounts outstanding under the existing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Our Common Stock</w:t>
      </w:r>
    </w:p>
    <w:p>
      <w:pPr>
        <w:spacing w:after="0" w:line="96"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b w:val="1"/>
          <w:bCs w:val="1"/>
          <w:i w:val="1"/>
          <w:iCs w:val="1"/>
          <w:color w:val="auto"/>
        </w:rPr>
        <w:t>Our common stock, which is listed on the NASDAQ Global Select Market, has experienced significant price and volume fluctuations. These fluctuations are likely to continue in the future, and our stockholders may not be able to resell their shares of common stock at or above the purchase price paid.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market price of our common stock may change significantly in response to various factors and events beyond our control, including the following:</w:t>
      </w:r>
    </w:p>
    <w:p>
      <w:pPr>
        <w:spacing w:after="0" w:line="113"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risk factors described in this Item 1A;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significant concentration of ownership of our common stock in the hands of a small number of institutional investors;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shortfall in operating revenue or net income from that expected by securities analysts and investors;</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securities analysts’ estimates of our financial performance or the financial performance of our competitors or companies in our industry;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conditions in our customers’ industries;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conditions in the security markets.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Some companies that have volatile market prices for their securities have been subject to security class action suits filed against them. If a suit were to be filed against us, regardless of the outcome, it could result in substantial costs and a diversion of our management’s attention and resources. This could have a material adverse effect on our business, results of operations and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depress our stock price.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or otherwise, either by us, a member of management or a major stockholder, or the perception that these sales could occur, could depress the market price of our common stock and impair our ability to raise capital through the sale of additional equity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equity securities, which could lead to dilution of our issued and outstanding stock.</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issuance of additional common stock, restricted stock units or securities convertible into our common stock could result in dilution of the ownership interest held by existing stockholders. We are authorized to issue, without stockholder approval 5,000,000 shares of preferred stock, par value $0.01 per share, in one or more series, which may give other stockholders dividend, conversion, voting, and liquidation rights, among other rights, which may be superior to the rights of holders of our common stock. In addition, we are authorized to issue, without stockholder approval, a significant number of additional shares of our common stock and securities convertible into either common stock or preferred stock.</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320"/>
          </w:cols>
          <w:pgMar w:left="24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principal properties of Matrix Service Company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6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3200" w:type="dxa"/>
            <w:vAlign w:val="bottom"/>
          </w:tcPr>
          <w:p>
            <w:pPr>
              <w:ind w:left="960"/>
              <w:spacing w:after="0"/>
              <w:rPr>
                <w:sz w:val="20"/>
                <w:szCs w:val="20"/>
                <w:color w:val="auto"/>
              </w:rPr>
            </w:pPr>
            <w:r>
              <w:rPr>
                <w:rFonts w:ascii="Arial" w:cs="Arial" w:eastAsia="Arial" w:hAnsi="Arial"/>
                <w:sz w:val="14"/>
                <w:szCs w:val="14"/>
                <w:b w:val="1"/>
                <w:bCs w:val="1"/>
                <w:color w:val="auto"/>
              </w:rPr>
              <w:t>Description of Facility</w:t>
            </w:r>
          </w:p>
        </w:tc>
        <w:tc>
          <w:tcPr>
            <w:tcW w:w="240" w:type="dxa"/>
            <w:vAlign w:val="bottom"/>
          </w:tcPr>
          <w:p>
            <w:pPr>
              <w:spacing w:after="0"/>
              <w:rPr>
                <w:sz w:val="15"/>
                <w:szCs w:val="15"/>
                <w:color w:val="auto"/>
              </w:rPr>
            </w:pPr>
          </w:p>
        </w:tc>
        <w:tc>
          <w:tcPr>
            <w:tcW w:w="3420" w:type="dxa"/>
            <w:vAlign w:val="bottom"/>
            <w:gridSpan w:val="2"/>
          </w:tcPr>
          <w:p>
            <w:pPr>
              <w:ind w:left="1360"/>
              <w:spacing w:after="0"/>
              <w:rPr>
                <w:sz w:val="20"/>
                <w:szCs w:val="20"/>
                <w:color w:val="auto"/>
              </w:rPr>
            </w:pPr>
            <w:r>
              <w:rPr>
                <w:rFonts w:ascii="Arial" w:cs="Arial" w:eastAsia="Arial" w:hAnsi="Arial"/>
                <w:sz w:val="14"/>
                <w:szCs w:val="14"/>
                <w:b w:val="1"/>
                <w:bCs w:val="1"/>
                <w:color w:val="auto"/>
              </w:rPr>
              <w:t>Segment</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Interest</w:t>
            </w:r>
          </w:p>
        </w:tc>
      </w:tr>
      <w:tr>
        <w:trPr>
          <w:trHeight w:val="201"/>
        </w:trPr>
        <w:tc>
          <w:tcPr>
            <w:tcW w:w="20" w:type="dxa"/>
            <w:vAlign w:val="bottom"/>
          </w:tcPr>
          <w:p>
            <w:pPr>
              <w:spacing w:after="0"/>
              <w:rPr>
                <w:sz w:val="17"/>
                <w:szCs w:val="17"/>
                <w:color w:val="auto"/>
              </w:rPr>
            </w:pPr>
          </w:p>
        </w:tc>
        <w:tc>
          <w:tcPr>
            <w:tcW w:w="34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Tulsa, Oklahoma</w:t>
            </w:r>
          </w:p>
        </w:tc>
        <w:tc>
          <w:tcPr>
            <w:tcW w:w="220" w:type="dxa"/>
            <w:vAlign w:val="bottom"/>
          </w:tcPr>
          <w:p>
            <w:pPr>
              <w:spacing w:after="0"/>
              <w:rPr>
                <w:sz w:val="17"/>
                <w:szCs w:val="17"/>
                <w:color w:val="auto"/>
              </w:rPr>
            </w:pPr>
          </w:p>
        </w:tc>
        <w:tc>
          <w:tcPr>
            <w:tcW w:w="3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Corporate headquarters</w:t>
            </w:r>
          </w:p>
        </w:tc>
        <w:tc>
          <w:tcPr>
            <w:tcW w:w="240" w:type="dxa"/>
            <w:vAlign w:val="bottom"/>
          </w:tcPr>
          <w:p>
            <w:pPr>
              <w:spacing w:after="0"/>
              <w:rPr>
                <w:sz w:val="17"/>
                <w:szCs w:val="17"/>
                <w:color w:val="auto"/>
              </w:rPr>
            </w:pPr>
          </w:p>
        </w:tc>
        <w:tc>
          <w:tcPr>
            <w:tcW w:w="3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17"/>
                <w:szCs w:val="17"/>
                <w:color w:val="auto"/>
              </w:rPr>
            </w:pPr>
          </w:p>
        </w:tc>
        <w:tc>
          <w:tcPr>
            <w:tcW w:w="9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4"/>
              </w:rPr>
              <w:t>Leased</w:t>
            </w: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Alton, Illinois</w:t>
            </w:r>
          </w:p>
        </w:tc>
        <w:tc>
          <w:tcPr>
            <w:tcW w:w="3200" w:type="dxa"/>
            <w:vAlign w:val="bottom"/>
          </w:tcPr>
          <w:p>
            <w:pPr>
              <w:spacing w:after="0"/>
              <w:rPr>
                <w:sz w:val="20"/>
                <w:szCs w:val="20"/>
                <w:color w:val="auto"/>
              </w:rPr>
            </w:pPr>
            <w:r>
              <w:rPr>
                <w:rFonts w:ascii="Arial" w:cs="Arial" w:eastAsia="Arial" w:hAnsi="Arial"/>
                <w:sz w:val="18"/>
                <w:szCs w:val="18"/>
                <w:color w:val="auto"/>
              </w:rPr>
              <w:t>Regional office and warehouse</w:t>
            </w:r>
          </w:p>
        </w:tc>
        <w:tc>
          <w:tcPr>
            <w:tcW w:w="3660" w:type="dxa"/>
            <w:vAlign w:val="bottom"/>
            <w:gridSpan w:val="3"/>
          </w:tcPr>
          <w:p>
            <w:pPr>
              <w:ind w:left="240"/>
              <w:spacing w:after="0"/>
              <w:rPr>
                <w:sz w:val="20"/>
                <w:szCs w:val="20"/>
                <w:color w:val="auto"/>
              </w:rPr>
            </w:pPr>
            <w:r>
              <w:rPr>
                <w:rFonts w:ascii="Arial" w:cs="Arial" w:eastAsia="Arial" w:hAnsi="Arial"/>
                <w:sz w:val="18"/>
                <w:szCs w:val="18"/>
                <w:color w:val="auto"/>
              </w:rPr>
              <w:t>Oil Gas &amp; Chemical</w:t>
            </w: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Bellingham, Washington</w:t>
            </w:r>
          </w:p>
        </w:tc>
        <w:tc>
          <w:tcPr>
            <w:tcW w:w="3200" w:type="dxa"/>
            <w:vAlign w:val="bottom"/>
          </w:tcPr>
          <w:p>
            <w:pPr>
              <w:spacing w:after="0"/>
              <w:rPr>
                <w:sz w:val="20"/>
                <w:szCs w:val="20"/>
                <w:color w:val="auto"/>
              </w:rPr>
            </w:pPr>
            <w:r>
              <w:rPr>
                <w:rFonts w:ascii="Arial" w:cs="Arial" w:eastAsia="Arial" w:hAnsi="Arial"/>
                <w:sz w:val="18"/>
                <w:szCs w:val="18"/>
                <w:color w:val="auto"/>
              </w:rPr>
              <w:t>Regional office and warehouse</w:t>
            </w:r>
          </w:p>
        </w:tc>
        <w:tc>
          <w:tcPr>
            <w:tcW w:w="3660" w:type="dxa"/>
            <w:vAlign w:val="bottom"/>
            <w:gridSpan w:val="3"/>
          </w:tcPr>
          <w:p>
            <w:pPr>
              <w:ind w:left="240"/>
              <w:spacing w:after="0"/>
              <w:rPr>
                <w:sz w:val="20"/>
                <w:szCs w:val="20"/>
                <w:color w:val="auto"/>
              </w:rPr>
            </w:pPr>
            <w:r>
              <w:rPr>
                <w:rFonts w:ascii="Arial" w:cs="Arial" w:eastAsia="Arial" w:hAnsi="Arial"/>
                <w:sz w:val="18"/>
                <w:szCs w:val="18"/>
                <w:color w:val="auto"/>
              </w:rPr>
              <w:t>Oil Gas &amp; Chemical Storage Solutions</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Owned</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660" w:type="dxa"/>
            <w:vAlign w:val="bottom"/>
            <w:gridSpan w:val="3"/>
          </w:tcPr>
          <w:p>
            <w:pPr>
              <w:ind w:left="240"/>
              <w:spacing w:after="0"/>
              <w:rPr>
                <w:sz w:val="20"/>
                <w:szCs w:val="20"/>
                <w:color w:val="auto"/>
              </w:rPr>
            </w:pPr>
            <w:r>
              <w:rPr>
                <w:rFonts w:ascii="Arial" w:cs="Arial" w:eastAsia="Arial" w:hAnsi="Arial"/>
                <w:sz w:val="18"/>
                <w:szCs w:val="18"/>
                <w:color w:val="auto"/>
              </w:rPr>
              <w:t>Industrial</w:t>
            </w:r>
          </w:p>
        </w:tc>
        <w:tc>
          <w:tcPr>
            <w:tcW w:w="900" w:type="dxa"/>
            <w:vAlign w:val="bottom"/>
          </w:tcPr>
          <w:p>
            <w:pPr>
              <w:spacing w:after="0"/>
              <w:rPr>
                <w:sz w:val="18"/>
                <w:szCs w:val="18"/>
                <w:color w:val="auto"/>
              </w:rPr>
            </w:pP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Benicia, California</w:t>
            </w:r>
          </w:p>
        </w:tc>
        <w:tc>
          <w:tcPr>
            <w:tcW w:w="3200" w:type="dxa"/>
            <w:vAlign w:val="bottom"/>
          </w:tcPr>
          <w:p>
            <w:pPr>
              <w:spacing w:after="0"/>
              <w:rPr>
                <w:sz w:val="20"/>
                <w:szCs w:val="20"/>
                <w:color w:val="auto"/>
              </w:rPr>
            </w:pPr>
            <w:r>
              <w:rPr>
                <w:rFonts w:ascii="Arial" w:cs="Arial" w:eastAsia="Arial" w:hAnsi="Arial"/>
                <w:sz w:val="18"/>
                <w:szCs w:val="18"/>
                <w:color w:val="auto"/>
              </w:rPr>
              <w:t>Regional office and warehouse</w:t>
            </w:r>
          </w:p>
        </w:tc>
        <w:tc>
          <w:tcPr>
            <w:tcW w:w="3660" w:type="dxa"/>
            <w:vAlign w:val="bottom"/>
            <w:gridSpan w:val="3"/>
          </w:tcPr>
          <w:p>
            <w:pPr>
              <w:ind w:left="240"/>
              <w:spacing w:after="0"/>
              <w:rPr>
                <w:sz w:val="20"/>
                <w:szCs w:val="20"/>
                <w:color w:val="auto"/>
              </w:rPr>
            </w:pPr>
            <w:r>
              <w:rPr>
                <w:rFonts w:ascii="Arial" w:cs="Arial" w:eastAsia="Arial" w:hAnsi="Arial"/>
                <w:sz w:val="18"/>
                <w:szCs w:val="18"/>
                <w:color w:val="auto"/>
              </w:rPr>
              <w:t>Storage Solutions</w:t>
            </w: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Catoosa, Oklahoma</w:t>
            </w:r>
          </w:p>
        </w:tc>
        <w:tc>
          <w:tcPr>
            <w:tcW w:w="3200" w:type="dxa"/>
            <w:vAlign w:val="bottom"/>
          </w:tcPr>
          <w:p>
            <w:pPr>
              <w:spacing w:after="0"/>
              <w:rPr>
                <w:sz w:val="20"/>
                <w:szCs w:val="20"/>
                <w:color w:val="auto"/>
              </w:rPr>
            </w:pPr>
            <w:r>
              <w:rPr>
                <w:rFonts w:ascii="Arial" w:cs="Arial" w:eastAsia="Arial" w:hAnsi="Arial"/>
                <w:sz w:val="18"/>
                <w:szCs w:val="18"/>
                <w:color w:val="auto"/>
              </w:rPr>
              <w:t>Fabrication facility, regional office and</w:t>
            </w:r>
          </w:p>
        </w:tc>
        <w:tc>
          <w:tcPr>
            <w:tcW w:w="3660" w:type="dxa"/>
            <w:vAlign w:val="bottom"/>
            <w:gridSpan w:val="3"/>
          </w:tcPr>
          <w:p>
            <w:pPr>
              <w:ind w:left="240"/>
              <w:spacing w:after="0"/>
              <w:rPr>
                <w:sz w:val="20"/>
                <w:szCs w:val="20"/>
                <w:color w:val="auto"/>
              </w:rPr>
            </w:pPr>
            <w:r>
              <w:rPr>
                <w:rFonts w:ascii="Arial" w:cs="Arial" w:eastAsia="Arial" w:hAnsi="Arial"/>
                <w:sz w:val="18"/>
                <w:szCs w:val="18"/>
                <w:color w:val="auto"/>
              </w:rPr>
              <w:t>Oil Gas &amp; Chemical Storage Solutions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Owned (1)</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warehouse</w:t>
            </w:r>
          </w:p>
        </w:tc>
        <w:tc>
          <w:tcPr>
            <w:tcW w:w="3660" w:type="dxa"/>
            <w:vAlign w:val="bottom"/>
            <w:gridSpan w:val="3"/>
          </w:tcPr>
          <w:p>
            <w:pPr>
              <w:ind w:left="240"/>
              <w:spacing w:after="0"/>
              <w:rPr>
                <w:sz w:val="20"/>
                <w:szCs w:val="20"/>
                <w:color w:val="auto"/>
              </w:rPr>
            </w:pPr>
            <w:r>
              <w:rPr>
                <w:rFonts w:ascii="Arial" w:cs="Arial" w:eastAsia="Arial" w:hAnsi="Arial"/>
                <w:sz w:val="18"/>
                <w:szCs w:val="18"/>
                <w:color w:val="auto"/>
              </w:rPr>
              <w:t>Industrial</w:t>
            </w:r>
          </w:p>
        </w:tc>
        <w:tc>
          <w:tcPr>
            <w:tcW w:w="900" w:type="dxa"/>
            <w:vAlign w:val="bottom"/>
          </w:tcPr>
          <w:p>
            <w:pPr>
              <w:spacing w:after="0"/>
              <w:rPr>
                <w:sz w:val="18"/>
                <w:szCs w:val="18"/>
                <w:color w:val="auto"/>
              </w:rPr>
            </w:pP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Eddystone, Pennsylvania</w:t>
            </w:r>
          </w:p>
        </w:tc>
        <w:tc>
          <w:tcPr>
            <w:tcW w:w="3200" w:type="dxa"/>
            <w:vAlign w:val="bottom"/>
          </w:tcPr>
          <w:p>
            <w:pPr>
              <w:spacing w:after="0"/>
              <w:rPr>
                <w:sz w:val="20"/>
                <w:szCs w:val="20"/>
                <w:color w:val="auto"/>
              </w:rPr>
            </w:pPr>
            <w:r>
              <w:rPr>
                <w:rFonts w:ascii="Arial" w:cs="Arial" w:eastAsia="Arial" w:hAnsi="Arial"/>
                <w:sz w:val="18"/>
                <w:szCs w:val="18"/>
                <w:color w:val="auto"/>
              </w:rPr>
              <w:t>Regional office</w:t>
            </w:r>
          </w:p>
        </w:tc>
        <w:tc>
          <w:tcPr>
            <w:tcW w:w="3660" w:type="dxa"/>
            <w:vAlign w:val="bottom"/>
            <w:gridSpan w:val="3"/>
          </w:tcPr>
          <w:p>
            <w:pPr>
              <w:ind w:left="240"/>
              <w:spacing w:after="0"/>
              <w:rPr>
                <w:sz w:val="20"/>
                <w:szCs w:val="20"/>
                <w:color w:val="auto"/>
              </w:rPr>
            </w:pPr>
            <w:r>
              <w:rPr>
                <w:rFonts w:ascii="Arial" w:cs="Arial" w:eastAsia="Arial" w:hAnsi="Arial"/>
                <w:sz w:val="18"/>
                <w:szCs w:val="18"/>
                <w:color w:val="auto"/>
                <w:w w:val="98"/>
              </w:rPr>
              <w:t>Electrical Infrastructure Oil Gas &amp; Chemical</w:t>
            </w: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660" w:type="dxa"/>
            <w:vAlign w:val="bottom"/>
            <w:gridSpan w:val="3"/>
          </w:tcPr>
          <w:p>
            <w:pPr>
              <w:ind w:left="240"/>
              <w:spacing w:after="0"/>
              <w:rPr>
                <w:sz w:val="20"/>
                <w:szCs w:val="20"/>
                <w:color w:val="auto"/>
              </w:rPr>
            </w:pPr>
            <w:r>
              <w:rPr>
                <w:rFonts w:ascii="Arial" w:cs="Arial" w:eastAsia="Arial" w:hAnsi="Arial"/>
                <w:sz w:val="18"/>
                <w:szCs w:val="18"/>
                <w:color w:val="auto"/>
              </w:rPr>
              <w:t>Storage Solutions Industrial</w:t>
            </w:r>
          </w:p>
        </w:tc>
        <w:tc>
          <w:tcPr>
            <w:tcW w:w="900" w:type="dxa"/>
            <w:vAlign w:val="bottom"/>
          </w:tcPr>
          <w:p>
            <w:pPr>
              <w:spacing w:after="0"/>
              <w:rPr>
                <w:sz w:val="19"/>
                <w:szCs w:val="19"/>
                <w:color w:val="auto"/>
              </w:rPr>
            </w:pPr>
          </w:p>
        </w:tc>
      </w:tr>
      <w:tr>
        <w:trPr>
          <w:trHeight w:val="223"/>
        </w:trPr>
        <w:tc>
          <w:tcPr>
            <w:tcW w:w="3660" w:type="dxa"/>
            <w:vAlign w:val="bottom"/>
            <w:gridSpan w:val="3"/>
          </w:tcPr>
          <w:p>
            <w:pPr>
              <w:spacing w:after="0"/>
              <w:rPr>
                <w:sz w:val="20"/>
                <w:szCs w:val="20"/>
                <w:color w:val="auto"/>
              </w:rPr>
            </w:pPr>
            <w:r>
              <w:rPr>
                <w:rFonts w:ascii="Arial" w:cs="Arial" w:eastAsia="Arial" w:hAnsi="Arial"/>
                <w:sz w:val="18"/>
                <w:szCs w:val="18"/>
                <w:color w:val="auto"/>
              </w:rPr>
              <w:t>Eddystone, Pennsylvania</w:t>
            </w:r>
          </w:p>
        </w:tc>
        <w:tc>
          <w:tcPr>
            <w:tcW w:w="3200" w:type="dxa"/>
            <w:vAlign w:val="bottom"/>
          </w:tcPr>
          <w:p>
            <w:pPr>
              <w:spacing w:after="0"/>
              <w:rPr>
                <w:sz w:val="20"/>
                <w:szCs w:val="20"/>
                <w:color w:val="auto"/>
              </w:rPr>
            </w:pPr>
            <w:r>
              <w:rPr>
                <w:rFonts w:ascii="Arial" w:cs="Arial" w:eastAsia="Arial" w:hAnsi="Arial"/>
                <w:sz w:val="18"/>
                <w:szCs w:val="18"/>
                <w:color w:val="auto"/>
              </w:rPr>
              <w:t>Fabrication facility and warehouse</w:t>
            </w:r>
          </w:p>
        </w:tc>
        <w:tc>
          <w:tcPr>
            <w:tcW w:w="3660" w:type="dxa"/>
            <w:vAlign w:val="bottom"/>
            <w:gridSpan w:val="3"/>
          </w:tcPr>
          <w:p>
            <w:pPr>
              <w:ind w:left="240"/>
              <w:spacing w:after="0"/>
              <w:rPr>
                <w:sz w:val="20"/>
                <w:szCs w:val="20"/>
                <w:color w:val="auto"/>
              </w:rPr>
            </w:pPr>
            <w:r>
              <w:rPr>
                <w:rFonts w:ascii="Arial" w:cs="Arial" w:eastAsia="Arial" w:hAnsi="Arial"/>
                <w:sz w:val="18"/>
                <w:szCs w:val="18"/>
                <w:color w:val="auto"/>
                <w:w w:val="98"/>
              </w:rPr>
              <w:t>Electrical Infrastructure Oil Gas &amp; Chemical</w:t>
            </w: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660" w:type="dxa"/>
            <w:vAlign w:val="bottom"/>
            <w:gridSpan w:val="3"/>
          </w:tcPr>
          <w:p>
            <w:pPr>
              <w:ind w:left="240"/>
              <w:spacing w:after="0"/>
              <w:rPr>
                <w:sz w:val="20"/>
                <w:szCs w:val="20"/>
                <w:color w:val="auto"/>
              </w:rPr>
            </w:pPr>
            <w:r>
              <w:rPr>
                <w:rFonts w:ascii="Arial" w:cs="Arial" w:eastAsia="Arial" w:hAnsi="Arial"/>
                <w:sz w:val="18"/>
                <w:szCs w:val="18"/>
                <w:color w:val="auto"/>
              </w:rPr>
              <w:t>Storage Solutions Industrial</w:t>
            </w:r>
          </w:p>
        </w:tc>
        <w:tc>
          <w:tcPr>
            <w:tcW w:w="900" w:type="dxa"/>
            <w:vAlign w:val="bottom"/>
          </w:tcPr>
          <w:p>
            <w:pPr>
              <w:spacing w:after="0"/>
              <w:rPr>
                <w:sz w:val="19"/>
                <w:szCs w:val="19"/>
                <w:color w:val="auto"/>
              </w:rPr>
            </w:pPr>
          </w:p>
        </w:tc>
      </w:tr>
      <w:tr>
        <w:trPr>
          <w:trHeight w:val="223"/>
        </w:trPr>
        <w:tc>
          <w:tcPr>
            <w:tcW w:w="3660" w:type="dxa"/>
            <w:vAlign w:val="bottom"/>
            <w:gridSpan w:val="3"/>
          </w:tcPr>
          <w:p>
            <w:pPr>
              <w:spacing w:after="0"/>
              <w:rPr>
                <w:sz w:val="20"/>
                <w:szCs w:val="20"/>
                <w:color w:val="auto"/>
              </w:rPr>
            </w:pPr>
            <w:r>
              <w:rPr>
                <w:rFonts w:ascii="Arial" w:cs="Arial" w:eastAsia="Arial" w:hAnsi="Arial"/>
                <w:sz w:val="18"/>
                <w:szCs w:val="18"/>
                <w:color w:val="auto"/>
              </w:rPr>
              <w:t>Gonzales, Louisiana</w:t>
            </w:r>
          </w:p>
        </w:tc>
        <w:tc>
          <w:tcPr>
            <w:tcW w:w="3200" w:type="dxa"/>
            <w:vAlign w:val="bottom"/>
          </w:tcPr>
          <w:p>
            <w:pPr>
              <w:spacing w:after="0"/>
              <w:rPr>
                <w:sz w:val="20"/>
                <w:szCs w:val="20"/>
                <w:color w:val="auto"/>
              </w:rPr>
            </w:pPr>
            <w:r>
              <w:rPr>
                <w:rFonts w:ascii="Arial" w:cs="Arial" w:eastAsia="Arial" w:hAnsi="Arial"/>
                <w:sz w:val="18"/>
                <w:szCs w:val="18"/>
                <w:color w:val="auto"/>
              </w:rPr>
              <w:t>Regional office</w:t>
            </w:r>
          </w:p>
        </w:tc>
        <w:tc>
          <w:tcPr>
            <w:tcW w:w="3660" w:type="dxa"/>
            <w:vAlign w:val="bottom"/>
            <w:gridSpan w:val="3"/>
          </w:tcPr>
          <w:p>
            <w:pPr>
              <w:ind w:left="240"/>
              <w:spacing w:after="0"/>
              <w:rPr>
                <w:sz w:val="20"/>
                <w:szCs w:val="20"/>
                <w:color w:val="auto"/>
              </w:rPr>
            </w:pPr>
            <w:r>
              <w:rPr>
                <w:rFonts w:ascii="Arial" w:cs="Arial" w:eastAsia="Arial" w:hAnsi="Arial"/>
                <w:sz w:val="18"/>
                <w:szCs w:val="18"/>
                <w:color w:val="auto"/>
              </w:rPr>
              <w:t>Oil Gas &amp; Chemical</w:t>
            </w: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Houston, Texas</w:t>
            </w:r>
          </w:p>
        </w:tc>
        <w:tc>
          <w:tcPr>
            <w:tcW w:w="3200" w:type="dxa"/>
            <w:vAlign w:val="bottom"/>
          </w:tcPr>
          <w:p>
            <w:pPr>
              <w:spacing w:after="0"/>
              <w:rPr>
                <w:sz w:val="20"/>
                <w:szCs w:val="20"/>
                <w:color w:val="auto"/>
              </w:rPr>
            </w:pPr>
            <w:r>
              <w:rPr>
                <w:rFonts w:ascii="Arial" w:cs="Arial" w:eastAsia="Arial" w:hAnsi="Arial"/>
                <w:sz w:val="18"/>
                <w:szCs w:val="18"/>
                <w:color w:val="auto"/>
              </w:rPr>
              <w:t>Regional office and warehouse</w:t>
            </w:r>
          </w:p>
        </w:tc>
        <w:tc>
          <w:tcPr>
            <w:tcW w:w="3660" w:type="dxa"/>
            <w:vAlign w:val="bottom"/>
            <w:gridSpan w:val="3"/>
          </w:tcPr>
          <w:p>
            <w:pPr>
              <w:ind w:left="240"/>
              <w:spacing w:after="0"/>
              <w:rPr>
                <w:sz w:val="20"/>
                <w:szCs w:val="20"/>
                <w:color w:val="auto"/>
              </w:rPr>
            </w:pPr>
            <w:r>
              <w:rPr>
                <w:rFonts w:ascii="Arial" w:cs="Arial" w:eastAsia="Arial" w:hAnsi="Arial"/>
                <w:sz w:val="18"/>
                <w:szCs w:val="18"/>
                <w:color w:val="auto"/>
              </w:rPr>
              <w:t>Storage Solutions</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Owned</w:t>
            </w: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Houston, Texas</w:t>
            </w:r>
          </w:p>
        </w:tc>
        <w:tc>
          <w:tcPr>
            <w:tcW w:w="3200" w:type="dxa"/>
            <w:vAlign w:val="bottom"/>
          </w:tcPr>
          <w:p>
            <w:pPr>
              <w:spacing w:after="0"/>
              <w:rPr>
                <w:sz w:val="20"/>
                <w:szCs w:val="20"/>
                <w:color w:val="auto"/>
              </w:rPr>
            </w:pPr>
            <w:r>
              <w:rPr>
                <w:rFonts w:ascii="Arial" w:cs="Arial" w:eastAsia="Arial" w:hAnsi="Arial"/>
                <w:sz w:val="18"/>
                <w:szCs w:val="18"/>
                <w:color w:val="auto"/>
              </w:rPr>
              <w:t>Regional office</w:t>
            </w:r>
          </w:p>
        </w:tc>
        <w:tc>
          <w:tcPr>
            <w:tcW w:w="3660" w:type="dxa"/>
            <w:vAlign w:val="bottom"/>
            <w:gridSpan w:val="3"/>
          </w:tcPr>
          <w:p>
            <w:pPr>
              <w:ind w:left="240"/>
              <w:spacing w:after="0"/>
              <w:rPr>
                <w:sz w:val="20"/>
                <w:szCs w:val="20"/>
                <w:color w:val="auto"/>
              </w:rPr>
            </w:pPr>
            <w:r>
              <w:rPr>
                <w:rFonts w:ascii="Arial" w:cs="Arial" w:eastAsia="Arial" w:hAnsi="Arial"/>
                <w:sz w:val="18"/>
                <w:szCs w:val="18"/>
                <w:color w:val="auto"/>
              </w:rPr>
              <w:t>Oil Gas &amp; Chemical Storage Solutions</w:t>
            </w: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Jamestown, Wyoming</w:t>
            </w:r>
          </w:p>
        </w:tc>
        <w:tc>
          <w:tcPr>
            <w:tcW w:w="3200" w:type="dxa"/>
            <w:vAlign w:val="bottom"/>
          </w:tcPr>
          <w:p>
            <w:pPr>
              <w:spacing w:after="0"/>
              <w:rPr>
                <w:sz w:val="20"/>
                <w:szCs w:val="20"/>
                <w:color w:val="auto"/>
              </w:rPr>
            </w:pPr>
            <w:r>
              <w:rPr>
                <w:rFonts w:ascii="Arial" w:cs="Arial" w:eastAsia="Arial" w:hAnsi="Arial"/>
                <w:sz w:val="18"/>
                <w:szCs w:val="18"/>
                <w:color w:val="auto"/>
              </w:rPr>
              <w:t>Regional office</w:t>
            </w:r>
          </w:p>
        </w:tc>
        <w:tc>
          <w:tcPr>
            <w:tcW w:w="3660" w:type="dxa"/>
            <w:vAlign w:val="bottom"/>
            <w:gridSpan w:val="3"/>
          </w:tcPr>
          <w:p>
            <w:pPr>
              <w:ind w:left="240"/>
              <w:spacing w:after="0"/>
              <w:rPr>
                <w:sz w:val="20"/>
                <w:szCs w:val="20"/>
                <w:color w:val="auto"/>
              </w:rPr>
            </w:pPr>
            <w:r>
              <w:rPr>
                <w:rFonts w:ascii="Arial" w:cs="Arial" w:eastAsia="Arial" w:hAnsi="Arial"/>
                <w:sz w:val="18"/>
                <w:szCs w:val="18"/>
                <w:color w:val="auto"/>
              </w:rPr>
              <w:t>Industrial</w:t>
            </w: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Kansas City, Missouri</w:t>
            </w:r>
          </w:p>
        </w:tc>
        <w:tc>
          <w:tcPr>
            <w:tcW w:w="3200" w:type="dxa"/>
            <w:vAlign w:val="bottom"/>
          </w:tcPr>
          <w:p>
            <w:pPr>
              <w:spacing w:after="0"/>
              <w:rPr>
                <w:sz w:val="20"/>
                <w:szCs w:val="20"/>
                <w:color w:val="auto"/>
              </w:rPr>
            </w:pPr>
            <w:r>
              <w:rPr>
                <w:rFonts w:ascii="Arial" w:cs="Arial" w:eastAsia="Arial" w:hAnsi="Arial"/>
                <w:sz w:val="18"/>
                <w:szCs w:val="18"/>
                <w:color w:val="auto"/>
              </w:rPr>
              <w:t>Regional office and warehouse</w:t>
            </w:r>
          </w:p>
        </w:tc>
        <w:tc>
          <w:tcPr>
            <w:tcW w:w="3660" w:type="dxa"/>
            <w:vAlign w:val="bottom"/>
            <w:gridSpan w:val="3"/>
          </w:tcPr>
          <w:p>
            <w:pPr>
              <w:ind w:left="240"/>
              <w:spacing w:after="0"/>
              <w:rPr>
                <w:sz w:val="20"/>
                <w:szCs w:val="20"/>
                <w:color w:val="auto"/>
              </w:rPr>
            </w:pPr>
            <w:r>
              <w:rPr>
                <w:rFonts w:ascii="Arial" w:cs="Arial" w:eastAsia="Arial" w:hAnsi="Arial"/>
                <w:sz w:val="18"/>
                <w:szCs w:val="18"/>
                <w:color w:val="auto"/>
              </w:rPr>
              <w:t>Oil Gas &amp; Chemical</w:t>
            </w: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Parsippany, New Jersey</w:t>
            </w:r>
          </w:p>
        </w:tc>
        <w:tc>
          <w:tcPr>
            <w:tcW w:w="3200" w:type="dxa"/>
            <w:vAlign w:val="bottom"/>
          </w:tcPr>
          <w:p>
            <w:pPr>
              <w:spacing w:after="0"/>
              <w:rPr>
                <w:sz w:val="20"/>
                <w:szCs w:val="20"/>
                <w:color w:val="auto"/>
              </w:rPr>
            </w:pPr>
            <w:r>
              <w:rPr>
                <w:rFonts w:ascii="Arial" w:cs="Arial" w:eastAsia="Arial" w:hAnsi="Arial"/>
                <w:sz w:val="18"/>
                <w:szCs w:val="18"/>
                <w:color w:val="auto"/>
              </w:rPr>
              <w:t>Regional office</w:t>
            </w:r>
          </w:p>
        </w:tc>
        <w:tc>
          <w:tcPr>
            <w:tcW w:w="3660" w:type="dxa"/>
            <w:vAlign w:val="bottom"/>
            <w:gridSpan w:val="3"/>
          </w:tcPr>
          <w:p>
            <w:pPr>
              <w:ind w:left="240"/>
              <w:spacing w:after="0"/>
              <w:rPr>
                <w:sz w:val="20"/>
                <w:szCs w:val="20"/>
                <w:color w:val="auto"/>
              </w:rPr>
            </w:pPr>
            <w:r>
              <w:rPr>
                <w:rFonts w:ascii="Arial" w:cs="Arial" w:eastAsia="Arial" w:hAnsi="Arial"/>
                <w:sz w:val="18"/>
                <w:szCs w:val="18"/>
                <w:color w:val="auto"/>
              </w:rPr>
              <w:t>Industrial</w:t>
            </w: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Orange, California</w:t>
            </w:r>
          </w:p>
        </w:tc>
        <w:tc>
          <w:tcPr>
            <w:tcW w:w="3200" w:type="dxa"/>
            <w:vAlign w:val="bottom"/>
          </w:tcPr>
          <w:p>
            <w:pPr>
              <w:spacing w:after="0"/>
              <w:rPr>
                <w:sz w:val="20"/>
                <w:szCs w:val="20"/>
                <w:color w:val="auto"/>
              </w:rPr>
            </w:pPr>
            <w:r>
              <w:rPr>
                <w:rFonts w:ascii="Arial" w:cs="Arial" w:eastAsia="Arial" w:hAnsi="Arial"/>
                <w:sz w:val="18"/>
                <w:szCs w:val="18"/>
                <w:color w:val="auto"/>
              </w:rPr>
              <w:t>Fabrication facility, regional office and</w:t>
            </w:r>
          </w:p>
        </w:tc>
        <w:tc>
          <w:tcPr>
            <w:tcW w:w="3660" w:type="dxa"/>
            <w:vAlign w:val="bottom"/>
            <w:gridSpan w:val="3"/>
          </w:tcPr>
          <w:p>
            <w:pPr>
              <w:ind w:left="240"/>
              <w:spacing w:after="0"/>
              <w:rPr>
                <w:sz w:val="20"/>
                <w:szCs w:val="20"/>
                <w:color w:val="auto"/>
              </w:rPr>
            </w:pPr>
            <w:r>
              <w:rPr>
                <w:rFonts w:ascii="Arial" w:cs="Arial" w:eastAsia="Arial" w:hAnsi="Arial"/>
                <w:sz w:val="18"/>
                <w:szCs w:val="18"/>
                <w:color w:val="auto"/>
              </w:rPr>
              <w:t>Oil Gas &amp; Chemical Storage Solutions</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Owned</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warehouse</w:t>
            </w:r>
          </w:p>
        </w:tc>
        <w:tc>
          <w:tcPr>
            <w:tcW w:w="3660" w:type="dxa"/>
            <w:vAlign w:val="bottom"/>
            <w:gridSpan w:val="3"/>
          </w:tcPr>
          <w:p>
            <w:pPr>
              <w:ind w:left="240"/>
              <w:spacing w:after="0"/>
              <w:rPr>
                <w:sz w:val="20"/>
                <w:szCs w:val="20"/>
                <w:color w:val="auto"/>
              </w:rPr>
            </w:pPr>
            <w:r>
              <w:rPr>
                <w:rFonts w:ascii="Arial" w:cs="Arial" w:eastAsia="Arial" w:hAnsi="Arial"/>
                <w:sz w:val="18"/>
                <w:szCs w:val="18"/>
                <w:color w:val="auto"/>
              </w:rPr>
              <w:t>Industrial</w:t>
            </w:r>
          </w:p>
        </w:tc>
        <w:tc>
          <w:tcPr>
            <w:tcW w:w="900" w:type="dxa"/>
            <w:vAlign w:val="bottom"/>
          </w:tcPr>
          <w:p>
            <w:pPr>
              <w:spacing w:after="0"/>
              <w:rPr>
                <w:sz w:val="18"/>
                <w:szCs w:val="18"/>
                <w:color w:val="auto"/>
              </w:rPr>
            </w:pP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Rahway, New Jersey</w:t>
            </w:r>
          </w:p>
        </w:tc>
        <w:tc>
          <w:tcPr>
            <w:tcW w:w="3200" w:type="dxa"/>
            <w:vAlign w:val="bottom"/>
          </w:tcPr>
          <w:p>
            <w:pPr>
              <w:spacing w:after="0"/>
              <w:rPr>
                <w:sz w:val="20"/>
                <w:szCs w:val="20"/>
                <w:color w:val="auto"/>
              </w:rPr>
            </w:pPr>
            <w:r>
              <w:rPr>
                <w:rFonts w:ascii="Arial" w:cs="Arial" w:eastAsia="Arial" w:hAnsi="Arial"/>
                <w:sz w:val="18"/>
                <w:szCs w:val="18"/>
                <w:color w:val="auto"/>
              </w:rPr>
              <w:t>Regional office and warehouse</w:t>
            </w:r>
          </w:p>
        </w:tc>
        <w:tc>
          <w:tcPr>
            <w:tcW w:w="3660" w:type="dxa"/>
            <w:vAlign w:val="bottom"/>
            <w:gridSpan w:val="3"/>
          </w:tcPr>
          <w:p>
            <w:pPr>
              <w:ind w:left="240"/>
              <w:spacing w:after="0"/>
              <w:rPr>
                <w:sz w:val="20"/>
                <w:szCs w:val="20"/>
                <w:color w:val="auto"/>
              </w:rPr>
            </w:pPr>
            <w:r>
              <w:rPr>
                <w:rFonts w:ascii="Arial" w:cs="Arial" w:eastAsia="Arial" w:hAnsi="Arial"/>
                <w:sz w:val="18"/>
                <w:szCs w:val="18"/>
                <w:color w:val="auto"/>
                <w:w w:val="98"/>
              </w:rPr>
              <w:t>Electrical Infrastructure Oil Gas &amp; Chemical</w:t>
            </w: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660" w:type="dxa"/>
            <w:vAlign w:val="bottom"/>
            <w:gridSpan w:val="3"/>
          </w:tcPr>
          <w:p>
            <w:pPr>
              <w:ind w:left="240"/>
              <w:spacing w:after="0"/>
              <w:rPr>
                <w:sz w:val="20"/>
                <w:szCs w:val="20"/>
                <w:color w:val="auto"/>
              </w:rPr>
            </w:pPr>
            <w:r>
              <w:rPr>
                <w:rFonts w:ascii="Arial" w:cs="Arial" w:eastAsia="Arial" w:hAnsi="Arial"/>
                <w:sz w:val="18"/>
                <w:szCs w:val="18"/>
                <w:color w:val="auto"/>
              </w:rPr>
              <w:t>Storage Solutions Industrial</w:t>
            </w:r>
          </w:p>
        </w:tc>
        <w:tc>
          <w:tcPr>
            <w:tcW w:w="900" w:type="dxa"/>
            <w:vAlign w:val="bottom"/>
          </w:tcPr>
          <w:p>
            <w:pPr>
              <w:spacing w:after="0"/>
              <w:rPr>
                <w:sz w:val="18"/>
                <w:szCs w:val="18"/>
                <w:color w:val="auto"/>
              </w:rPr>
            </w:pP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Sandy, Utah</w:t>
            </w:r>
          </w:p>
        </w:tc>
        <w:tc>
          <w:tcPr>
            <w:tcW w:w="3200" w:type="dxa"/>
            <w:vAlign w:val="bottom"/>
          </w:tcPr>
          <w:p>
            <w:pPr>
              <w:spacing w:after="0"/>
              <w:rPr>
                <w:sz w:val="20"/>
                <w:szCs w:val="20"/>
                <w:color w:val="auto"/>
              </w:rPr>
            </w:pPr>
            <w:r>
              <w:rPr>
                <w:rFonts w:ascii="Arial" w:cs="Arial" w:eastAsia="Arial" w:hAnsi="Arial"/>
                <w:sz w:val="18"/>
                <w:szCs w:val="18"/>
                <w:color w:val="auto"/>
              </w:rPr>
              <w:t>Regional office</w:t>
            </w:r>
          </w:p>
        </w:tc>
        <w:tc>
          <w:tcPr>
            <w:tcW w:w="3660" w:type="dxa"/>
            <w:vAlign w:val="bottom"/>
            <w:gridSpan w:val="3"/>
          </w:tcPr>
          <w:p>
            <w:pPr>
              <w:ind w:left="240"/>
              <w:spacing w:after="0"/>
              <w:rPr>
                <w:sz w:val="20"/>
                <w:szCs w:val="20"/>
                <w:color w:val="auto"/>
              </w:rPr>
            </w:pPr>
            <w:r>
              <w:rPr>
                <w:rFonts w:ascii="Arial" w:cs="Arial" w:eastAsia="Arial" w:hAnsi="Arial"/>
                <w:sz w:val="18"/>
                <w:szCs w:val="18"/>
                <w:color w:val="auto"/>
              </w:rPr>
              <w:t>Industrial</w:t>
            </w: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Sewickley, Pennsylvania</w:t>
            </w:r>
          </w:p>
        </w:tc>
        <w:tc>
          <w:tcPr>
            <w:tcW w:w="3200" w:type="dxa"/>
            <w:vAlign w:val="bottom"/>
          </w:tcPr>
          <w:p>
            <w:pPr>
              <w:spacing w:after="0"/>
              <w:rPr>
                <w:sz w:val="20"/>
                <w:szCs w:val="20"/>
                <w:color w:val="auto"/>
              </w:rPr>
            </w:pPr>
            <w:r>
              <w:rPr>
                <w:rFonts w:ascii="Arial" w:cs="Arial" w:eastAsia="Arial" w:hAnsi="Arial"/>
                <w:sz w:val="18"/>
                <w:szCs w:val="18"/>
                <w:color w:val="auto"/>
              </w:rPr>
              <w:t>Regional office</w:t>
            </w:r>
          </w:p>
        </w:tc>
        <w:tc>
          <w:tcPr>
            <w:tcW w:w="3660" w:type="dxa"/>
            <w:vAlign w:val="bottom"/>
            <w:gridSpan w:val="3"/>
          </w:tcPr>
          <w:p>
            <w:pPr>
              <w:ind w:left="240"/>
              <w:spacing w:after="0"/>
              <w:rPr>
                <w:sz w:val="20"/>
                <w:szCs w:val="20"/>
                <w:color w:val="auto"/>
              </w:rPr>
            </w:pPr>
            <w:r>
              <w:rPr>
                <w:rFonts w:ascii="Arial" w:cs="Arial" w:eastAsia="Arial" w:hAnsi="Arial"/>
                <w:sz w:val="18"/>
                <w:szCs w:val="18"/>
                <w:color w:val="auto"/>
              </w:rPr>
              <w:t>Storage Solutions</w:t>
            </w: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Temperance, Michigan</w:t>
            </w:r>
          </w:p>
        </w:tc>
        <w:tc>
          <w:tcPr>
            <w:tcW w:w="3200" w:type="dxa"/>
            <w:vAlign w:val="bottom"/>
          </w:tcPr>
          <w:p>
            <w:pPr>
              <w:spacing w:after="0"/>
              <w:rPr>
                <w:sz w:val="20"/>
                <w:szCs w:val="20"/>
                <w:color w:val="auto"/>
              </w:rPr>
            </w:pPr>
            <w:r>
              <w:rPr>
                <w:rFonts w:ascii="Arial" w:cs="Arial" w:eastAsia="Arial" w:hAnsi="Arial"/>
                <w:sz w:val="18"/>
                <w:szCs w:val="18"/>
                <w:color w:val="auto"/>
              </w:rPr>
              <w:t>Regional office and warehouse</w:t>
            </w:r>
          </w:p>
        </w:tc>
        <w:tc>
          <w:tcPr>
            <w:tcW w:w="3660" w:type="dxa"/>
            <w:vAlign w:val="bottom"/>
            <w:gridSpan w:val="3"/>
          </w:tcPr>
          <w:p>
            <w:pPr>
              <w:ind w:left="240"/>
              <w:spacing w:after="0"/>
              <w:rPr>
                <w:sz w:val="20"/>
                <w:szCs w:val="20"/>
                <w:color w:val="auto"/>
              </w:rPr>
            </w:pPr>
            <w:r>
              <w:rPr>
                <w:rFonts w:ascii="Arial" w:cs="Arial" w:eastAsia="Arial" w:hAnsi="Arial"/>
                <w:sz w:val="18"/>
                <w:szCs w:val="18"/>
                <w:color w:val="auto"/>
              </w:rPr>
              <w:t>Storage Solutions</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Owned</w:t>
            </w: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Tucson, Arizona</w:t>
            </w:r>
          </w:p>
        </w:tc>
        <w:tc>
          <w:tcPr>
            <w:tcW w:w="3200" w:type="dxa"/>
            <w:vAlign w:val="bottom"/>
          </w:tcPr>
          <w:p>
            <w:pPr>
              <w:spacing w:after="0"/>
              <w:rPr>
                <w:sz w:val="20"/>
                <w:szCs w:val="20"/>
                <w:color w:val="auto"/>
              </w:rPr>
            </w:pPr>
            <w:r>
              <w:rPr>
                <w:rFonts w:ascii="Arial" w:cs="Arial" w:eastAsia="Arial" w:hAnsi="Arial"/>
                <w:sz w:val="18"/>
                <w:szCs w:val="18"/>
                <w:color w:val="auto"/>
              </w:rPr>
              <w:t>Regional office and warehouse</w:t>
            </w:r>
          </w:p>
        </w:tc>
        <w:tc>
          <w:tcPr>
            <w:tcW w:w="3660" w:type="dxa"/>
            <w:vAlign w:val="bottom"/>
            <w:gridSpan w:val="3"/>
          </w:tcPr>
          <w:p>
            <w:pPr>
              <w:ind w:left="240"/>
              <w:spacing w:after="0"/>
              <w:rPr>
                <w:sz w:val="20"/>
                <w:szCs w:val="20"/>
                <w:color w:val="auto"/>
              </w:rPr>
            </w:pPr>
            <w:r>
              <w:rPr>
                <w:rFonts w:ascii="Arial" w:cs="Arial" w:eastAsia="Arial" w:hAnsi="Arial"/>
                <w:sz w:val="18"/>
                <w:szCs w:val="18"/>
                <w:color w:val="auto"/>
              </w:rPr>
              <w:t>Industrial</w:t>
            </w: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Calgary, Alberta, Canada</w:t>
            </w:r>
          </w:p>
        </w:tc>
        <w:tc>
          <w:tcPr>
            <w:tcW w:w="3200" w:type="dxa"/>
            <w:vAlign w:val="bottom"/>
          </w:tcPr>
          <w:p>
            <w:pPr>
              <w:spacing w:after="0"/>
              <w:rPr>
                <w:sz w:val="20"/>
                <w:szCs w:val="20"/>
                <w:color w:val="auto"/>
              </w:rPr>
            </w:pPr>
            <w:r>
              <w:rPr>
                <w:rFonts w:ascii="Arial" w:cs="Arial" w:eastAsia="Arial" w:hAnsi="Arial"/>
                <w:sz w:val="18"/>
                <w:szCs w:val="18"/>
                <w:color w:val="auto"/>
              </w:rPr>
              <w:t>Sales office</w:t>
            </w:r>
          </w:p>
        </w:tc>
        <w:tc>
          <w:tcPr>
            <w:tcW w:w="3660" w:type="dxa"/>
            <w:vAlign w:val="bottom"/>
            <w:gridSpan w:val="3"/>
          </w:tcPr>
          <w:p>
            <w:pPr>
              <w:ind w:left="240"/>
              <w:spacing w:after="0"/>
              <w:rPr>
                <w:sz w:val="20"/>
                <w:szCs w:val="20"/>
                <w:color w:val="auto"/>
              </w:rPr>
            </w:pPr>
            <w:r>
              <w:rPr>
                <w:rFonts w:ascii="Arial" w:cs="Arial" w:eastAsia="Arial" w:hAnsi="Arial"/>
                <w:sz w:val="18"/>
                <w:szCs w:val="18"/>
                <w:color w:val="auto"/>
              </w:rPr>
              <w:t>Storage Solutions</w:t>
            </w: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Leduc, Alberta, Canada</w:t>
            </w:r>
          </w:p>
        </w:tc>
        <w:tc>
          <w:tcPr>
            <w:tcW w:w="3200" w:type="dxa"/>
            <w:vAlign w:val="bottom"/>
          </w:tcPr>
          <w:p>
            <w:pPr>
              <w:spacing w:after="0"/>
              <w:rPr>
                <w:sz w:val="20"/>
                <w:szCs w:val="20"/>
                <w:color w:val="auto"/>
              </w:rPr>
            </w:pPr>
            <w:r>
              <w:rPr>
                <w:rFonts w:ascii="Arial" w:cs="Arial" w:eastAsia="Arial" w:hAnsi="Arial"/>
                <w:sz w:val="18"/>
                <w:szCs w:val="18"/>
                <w:color w:val="auto"/>
              </w:rPr>
              <w:t>Regional office and warehouse</w:t>
            </w:r>
          </w:p>
        </w:tc>
        <w:tc>
          <w:tcPr>
            <w:tcW w:w="3660" w:type="dxa"/>
            <w:vAlign w:val="bottom"/>
            <w:gridSpan w:val="3"/>
          </w:tcPr>
          <w:p>
            <w:pPr>
              <w:ind w:left="240"/>
              <w:spacing w:after="0"/>
              <w:rPr>
                <w:sz w:val="20"/>
                <w:szCs w:val="20"/>
                <w:color w:val="auto"/>
              </w:rPr>
            </w:pPr>
            <w:r>
              <w:rPr>
                <w:rFonts w:ascii="Arial" w:cs="Arial" w:eastAsia="Arial" w:hAnsi="Arial"/>
                <w:sz w:val="18"/>
                <w:szCs w:val="18"/>
                <w:color w:val="auto"/>
              </w:rPr>
              <w:t>Storage Solutions</w:t>
            </w: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Saint John, New Brunswick, Canada</w:t>
            </w:r>
          </w:p>
        </w:tc>
        <w:tc>
          <w:tcPr>
            <w:tcW w:w="3200" w:type="dxa"/>
            <w:vAlign w:val="bottom"/>
          </w:tcPr>
          <w:p>
            <w:pPr>
              <w:spacing w:after="0"/>
              <w:rPr>
                <w:sz w:val="20"/>
                <w:szCs w:val="20"/>
                <w:color w:val="auto"/>
              </w:rPr>
            </w:pPr>
            <w:r>
              <w:rPr>
                <w:rFonts w:ascii="Arial" w:cs="Arial" w:eastAsia="Arial" w:hAnsi="Arial"/>
                <w:sz w:val="18"/>
                <w:szCs w:val="18"/>
                <w:color w:val="auto"/>
              </w:rPr>
              <w:t>Regional Office</w:t>
            </w:r>
          </w:p>
        </w:tc>
        <w:tc>
          <w:tcPr>
            <w:tcW w:w="3660" w:type="dxa"/>
            <w:vAlign w:val="bottom"/>
            <w:gridSpan w:val="3"/>
          </w:tcPr>
          <w:p>
            <w:pPr>
              <w:ind w:left="240"/>
              <w:spacing w:after="0"/>
              <w:rPr>
                <w:sz w:val="20"/>
                <w:szCs w:val="20"/>
                <w:color w:val="auto"/>
              </w:rPr>
            </w:pPr>
            <w:r>
              <w:rPr>
                <w:rFonts w:ascii="Arial" w:cs="Arial" w:eastAsia="Arial" w:hAnsi="Arial"/>
                <w:sz w:val="18"/>
                <w:szCs w:val="18"/>
                <w:color w:val="auto"/>
              </w:rPr>
              <w:t>Storage Solutions</w:t>
            </w: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22"/>
        </w:trPr>
        <w:tc>
          <w:tcPr>
            <w:tcW w:w="3660" w:type="dxa"/>
            <w:vAlign w:val="bottom"/>
            <w:gridSpan w:val="3"/>
          </w:tcPr>
          <w:p>
            <w:pPr>
              <w:spacing w:after="0"/>
              <w:rPr>
                <w:sz w:val="20"/>
                <w:szCs w:val="20"/>
                <w:color w:val="auto"/>
              </w:rPr>
            </w:pPr>
            <w:r>
              <w:rPr>
                <w:rFonts w:ascii="Arial" w:cs="Arial" w:eastAsia="Arial" w:hAnsi="Arial"/>
                <w:sz w:val="18"/>
                <w:szCs w:val="18"/>
                <w:color w:val="auto"/>
              </w:rPr>
              <w:t>Sarnia, Ontario, Canada</w:t>
            </w:r>
          </w:p>
        </w:tc>
        <w:tc>
          <w:tcPr>
            <w:tcW w:w="3200" w:type="dxa"/>
            <w:vAlign w:val="bottom"/>
          </w:tcPr>
          <w:p>
            <w:pPr>
              <w:spacing w:after="0"/>
              <w:rPr>
                <w:sz w:val="20"/>
                <w:szCs w:val="20"/>
                <w:color w:val="auto"/>
              </w:rPr>
            </w:pPr>
            <w:r>
              <w:rPr>
                <w:rFonts w:ascii="Arial" w:cs="Arial" w:eastAsia="Arial" w:hAnsi="Arial"/>
                <w:sz w:val="18"/>
                <w:szCs w:val="18"/>
                <w:color w:val="auto"/>
              </w:rPr>
              <w:t>Regional office and warehouse</w:t>
            </w:r>
          </w:p>
        </w:tc>
        <w:tc>
          <w:tcPr>
            <w:tcW w:w="3660" w:type="dxa"/>
            <w:vAlign w:val="bottom"/>
            <w:gridSpan w:val="3"/>
          </w:tcPr>
          <w:p>
            <w:pPr>
              <w:ind w:left="240"/>
              <w:spacing w:after="0"/>
              <w:rPr>
                <w:sz w:val="20"/>
                <w:szCs w:val="20"/>
                <w:color w:val="auto"/>
              </w:rPr>
            </w:pPr>
            <w:r>
              <w:rPr>
                <w:rFonts w:ascii="Arial" w:cs="Arial" w:eastAsia="Arial" w:hAnsi="Arial"/>
                <w:sz w:val="18"/>
                <w:szCs w:val="18"/>
                <w:color w:val="auto"/>
              </w:rPr>
              <w:t>Storage Solutions</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Owned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Facilities were constructed by the Company on land acquired through a ground lease with renewal options extending until 2042.</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In addition to the locations listed above, Matrix has temporary office facilities at numerous customer locations throughout the United States and Canada.</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There were no mine safety violations or other regulatory matters required to be disclosed in this Annual Report under Section 1503(a) of the Dodd-Frank Wall Street Reform and Consumer Protection Act and Item 104 of Regulation S-K.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1920"/>
        <w:spacing w:after="0" w:line="34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Price Range of Common Stock</w:t>
      </w:r>
    </w:p>
    <w:p>
      <w:pPr>
        <w:spacing w:after="0" w:line="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common stock trades on the NASDAQ Global Select Market (“NASDAQ”) under the trading symbol “MTRX”. The following table sets forth the high and low sale prices for our common stock as reported by NASDAQ for the periods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3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Fiscal 2012</w:t>
            </w:r>
          </w:p>
        </w:tc>
        <w:tc>
          <w:tcPr>
            <w:tcW w:w="160" w:type="dxa"/>
            <w:vAlign w:val="bottom"/>
          </w:tcPr>
          <w:p>
            <w:pPr>
              <w:spacing w:after="0"/>
              <w:rPr>
                <w:sz w:val="14"/>
                <w:szCs w:val="14"/>
                <w:color w:val="auto"/>
              </w:rPr>
            </w:pPr>
          </w:p>
        </w:tc>
        <w:tc>
          <w:tcPr>
            <w:tcW w:w="1400" w:type="dxa"/>
            <w:vAlign w:val="bottom"/>
            <w:gridSpan w:val="4"/>
          </w:tcPr>
          <w:p>
            <w:pPr>
              <w:ind w:left="340"/>
              <w:spacing w:after="0"/>
              <w:rPr>
                <w:sz w:val="20"/>
                <w:szCs w:val="20"/>
                <w:color w:val="auto"/>
              </w:rPr>
            </w:pPr>
            <w:r>
              <w:rPr>
                <w:rFonts w:ascii="Arial" w:cs="Arial" w:eastAsia="Arial" w:hAnsi="Arial"/>
                <w:sz w:val="14"/>
                <w:szCs w:val="14"/>
                <w:b w:val="1"/>
                <w:bCs w:val="1"/>
                <w:color w:val="auto"/>
              </w:rPr>
              <w:t>Fiscal 2011</w:t>
            </w:r>
          </w:p>
        </w:tc>
      </w:tr>
      <w:tr>
        <w:trPr>
          <w:trHeight w:val="142"/>
        </w:trPr>
        <w:tc>
          <w:tcPr>
            <w:tcW w:w="8480" w:type="dxa"/>
            <w:vAlign w:val="bottom"/>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High</w:t>
            </w:r>
          </w:p>
        </w:tc>
        <w:tc>
          <w:tcPr>
            <w:tcW w:w="3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High</w:t>
            </w:r>
          </w:p>
        </w:tc>
        <w:tc>
          <w:tcPr>
            <w:tcW w:w="5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r>
      <w:tr>
        <w:trPr>
          <w:trHeight w:val="210"/>
        </w:trPr>
        <w:tc>
          <w:tcPr>
            <w:tcW w:w="8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$14.52</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$8.05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$10.00</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$ 8.45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11.40</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7.66</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12.49</w:t>
            </w:r>
          </w:p>
        </w:tc>
        <w:tc>
          <w:tcPr>
            <w:tcW w:w="500" w:type="dxa"/>
            <w:vAlign w:val="bottom"/>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9.57</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14.42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8"/>
                <w:szCs w:val="18"/>
                <w:color w:val="auto"/>
              </w:rPr>
            </w:pPr>
          </w:p>
        </w:tc>
      </w:tr>
      <w:tr>
        <w:trPr>
          <w:trHeight w:val="222"/>
        </w:trPr>
        <w:tc>
          <w:tcPr>
            <w:tcW w:w="848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14.00</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9.77</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14.48</w:t>
            </w:r>
          </w:p>
        </w:tc>
        <w:tc>
          <w:tcPr>
            <w:tcW w:w="500" w:type="dxa"/>
            <w:vAlign w:val="bottom"/>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of August 31, 2012, there were 30 holders of record of our common stock. We believe that the number of beneficial owners of our common stock is substantially greater than the number of holders of record.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relevant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table below sets forth the information with respect to purchases made by the Company of its common stock during the fourth quarter of the fiscal year ended June 30, 2012.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Maximum Number of</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2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89"/>
              </w:rPr>
              <w:t>Total Number of</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 That May Yet</w:t>
            </w:r>
          </w:p>
        </w:tc>
        <w:tc>
          <w:tcPr>
            <w:tcW w:w="0" w:type="dxa"/>
            <w:vAlign w:val="bottom"/>
          </w:tcPr>
          <w:p>
            <w:pPr>
              <w:spacing w:after="0"/>
              <w:rPr>
                <w:sz w:val="1"/>
                <w:szCs w:val="1"/>
                <w:color w:val="auto"/>
              </w:rPr>
            </w:pPr>
          </w:p>
        </w:tc>
      </w:tr>
      <w:tr>
        <w:trPr>
          <w:trHeight w:val="95"/>
        </w:trPr>
        <w:tc>
          <w:tcPr>
            <w:tcW w:w="5140" w:type="dxa"/>
            <w:vAlign w:val="bottom"/>
          </w:tcPr>
          <w:p>
            <w:pPr>
              <w:spacing w:after="0"/>
              <w:rPr>
                <w:sz w:val="8"/>
                <w:szCs w:val="8"/>
                <w:color w:val="auto"/>
              </w:rPr>
            </w:pPr>
          </w:p>
        </w:tc>
        <w:tc>
          <w:tcPr>
            <w:tcW w:w="1560" w:type="dxa"/>
            <w:vAlign w:val="bottom"/>
            <w:gridSpan w:val="2"/>
            <w:vMerge w:val="restart"/>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1540" w:type="dxa"/>
            <w:vAlign w:val="bottom"/>
            <w:gridSpan w:val="3"/>
            <w:vMerge w:val="restart"/>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1820" w:type="dxa"/>
            <w:vAlign w:val="bottom"/>
            <w:gridSpan w:val="2"/>
            <w:vMerge w:val="continue"/>
          </w:tcPr>
          <w:p>
            <w:pPr>
              <w:spacing w:after="0"/>
              <w:rPr>
                <w:sz w:val="8"/>
                <w:szCs w:val="8"/>
                <w:color w:val="auto"/>
              </w:rPr>
            </w:pPr>
          </w:p>
        </w:tc>
        <w:tc>
          <w:tcPr>
            <w:tcW w:w="13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Be Purchased</w:t>
            </w: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1820" w:type="dxa"/>
            <w:vAlign w:val="bottom"/>
            <w:gridSpan w:val="2"/>
            <w:vMerge w:val="restart"/>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Shares Purchased</w:t>
            </w:r>
          </w:p>
        </w:tc>
        <w:tc>
          <w:tcPr>
            <w:tcW w:w="1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5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w w:val="87"/>
              </w:rPr>
              <w:t>Paid</w:t>
            </w:r>
          </w:p>
        </w:tc>
        <w:tc>
          <w:tcPr>
            <w:tcW w:w="1820" w:type="dxa"/>
            <w:vAlign w:val="bottom"/>
            <w:gridSpan w:val="2"/>
            <w:vMerge w:val="continue"/>
          </w:tcPr>
          <w:p>
            <w:pPr>
              <w:spacing w:after="0"/>
              <w:rPr>
                <w:sz w:val="8"/>
                <w:szCs w:val="8"/>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Under the Plans</w:t>
            </w:r>
          </w:p>
        </w:tc>
        <w:tc>
          <w:tcPr>
            <w:tcW w:w="0" w:type="dxa"/>
            <w:vAlign w:val="bottom"/>
          </w:tcPr>
          <w:p>
            <w:pPr>
              <w:spacing w:after="0"/>
              <w:rPr>
                <w:sz w:val="1"/>
                <w:szCs w:val="1"/>
                <w:color w:val="auto"/>
              </w:rPr>
            </w:pPr>
          </w:p>
        </w:tc>
      </w:tr>
      <w:tr>
        <w:trPr>
          <w:trHeight w:val="80"/>
        </w:trPr>
        <w:tc>
          <w:tcPr>
            <w:tcW w:w="5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1820" w:type="dxa"/>
            <w:vAlign w:val="bottom"/>
            <w:gridSpan w:val="2"/>
            <w:vMerge w:val="restart"/>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as Part of Publicly</w:t>
            </w:r>
          </w:p>
        </w:tc>
        <w:tc>
          <w:tcPr>
            <w:tcW w:w="13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5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20" w:type="dxa"/>
            <w:vAlign w:val="bottom"/>
            <w:gridSpan w:val="2"/>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4"/>
              </w:rPr>
              <w:t>of Shares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140" w:type="dxa"/>
            <w:vAlign w:val="bottom"/>
          </w:tcPr>
          <w:p>
            <w:pPr>
              <w:spacing w:after="0"/>
              <w:rPr>
                <w:sz w:val="14"/>
                <w:szCs w:val="14"/>
                <w:color w:val="auto"/>
              </w:rPr>
            </w:pPr>
          </w:p>
        </w:tc>
        <w:tc>
          <w:tcPr>
            <w:tcW w:w="15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3"/>
              </w:rPr>
              <w:t>Purchased</w:t>
            </w:r>
          </w:p>
        </w:tc>
        <w:tc>
          <w:tcPr>
            <w:tcW w:w="100" w:type="dxa"/>
            <w:vAlign w:val="bottom"/>
          </w:tcPr>
          <w:p>
            <w:pPr>
              <w:spacing w:after="0"/>
              <w:rPr>
                <w:sz w:val="14"/>
                <w:szCs w:val="14"/>
                <w:color w:val="auto"/>
              </w:rPr>
            </w:pPr>
          </w:p>
        </w:tc>
        <w:tc>
          <w:tcPr>
            <w:tcW w:w="14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5"/>
              </w:rPr>
              <w:t>Per Share</w:t>
            </w:r>
          </w:p>
        </w:tc>
        <w:tc>
          <w:tcPr>
            <w:tcW w:w="18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6"/>
              </w:rPr>
              <w:t>or Programs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or Programs</w:t>
            </w: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April 1 to April 30, 2012</w:t>
            </w:r>
          </w:p>
        </w:tc>
        <w:tc>
          <w:tcPr>
            <w:tcW w:w="8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rPr>
              <w:t>Share Repurchase Program (A)</w:t>
            </w: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2,113,497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Transactions (B)</w:t>
            </w:r>
          </w:p>
        </w:tc>
        <w:tc>
          <w:tcPr>
            <w:tcW w:w="15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b w:val="1"/>
                <w:bCs w:val="1"/>
                <w:color w:val="auto"/>
              </w:rPr>
              <w:t>May 1 to May 31, 2012</w:t>
            </w: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 Repurchase Program (A)</w:t>
            </w:r>
          </w:p>
        </w:tc>
        <w:tc>
          <w:tcPr>
            <w:tcW w:w="15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rPr>
              <w:t>Employee Transactions (B)</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4,182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center"/>
              <w:ind w:left="237"/>
              <w:spacing w:after="0"/>
              <w:rPr>
                <w:sz w:val="20"/>
                <w:szCs w:val="20"/>
                <w:color w:val="auto"/>
              </w:rPr>
            </w:pPr>
            <w:r>
              <w:rPr>
                <w:rFonts w:ascii="Arial" w:cs="Arial" w:eastAsia="Arial" w:hAnsi="Arial"/>
                <w:sz w:val="18"/>
                <w:szCs w:val="18"/>
                <w:color w:val="auto"/>
                <w:w w:val="84"/>
              </w:rPr>
              <w:t>11.83</w:t>
            </w:r>
          </w:p>
        </w:tc>
        <w:tc>
          <w:tcPr>
            <w:tcW w:w="740" w:type="dxa"/>
            <w:vAlign w:val="bottom"/>
          </w:tcPr>
          <w:p>
            <w:pPr>
              <w:spacing w:after="0"/>
              <w:rPr>
                <w:sz w:val="18"/>
                <w:szCs w:val="18"/>
                <w:color w:val="auto"/>
              </w:rPr>
            </w:pPr>
          </w:p>
        </w:tc>
        <w:tc>
          <w:tcPr>
            <w:tcW w:w="18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1 to June 30, 2012</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rPr>
              <w:t>Share Repurchase Program (A)</w:t>
            </w: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2,113,497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Transactions (B)</w:t>
            </w:r>
          </w:p>
        </w:tc>
        <w:tc>
          <w:tcPr>
            <w:tcW w:w="15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40" w:hanging="452"/>
        <w:spacing w:after="0" w:line="253"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February 4, 2009 our Board of Directors authorized a stock buyback program that allows the Company to purchase up to 3,000,000 shares of common stock provided that such purchases do not exceed $25.0 million in any calendar year commencing in calendar year 2009 and continuing through calendar year 2012.</w:t>
      </w:r>
    </w:p>
    <w:p>
      <w:pPr>
        <w:ind w:left="460" w:right="48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the Company’s stock incentive plans.</w:t>
      </w:r>
    </w:p>
    <w:p>
      <w:pPr>
        <w:spacing w:after="0" w:line="124" w:lineRule="exact"/>
        <w:rPr>
          <w:rFonts w:ascii="Arial" w:cs="Arial" w:eastAsia="Arial" w:hAnsi="Arial"/>
          <w:sz w:val="18"/>
          <w:szCs w:val="18"/>
          <w:color w:val="auto"/>
        </w:rPr>
      </w:pPr>
    </w:p>
    <w:p>
      <w:pPr>
        <w:ind w:left="5620" w:hanging="96"/>
        <w:spacing w:after="0"/>
        <w:tabs>
          <w:tab w:leader="none" w:pos="5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2480" w:type="dxa"/>
            <w:vAlign w:val="bottom"/>
          </w:tcPr>
          <w:p>
            <w:pPr>
              <w:ind w:left="100"/>
              <w:spacing w:after="0"/>
              <w:rPr>
                <w:sz w:val="20"/>
                <w:szCs w:val="20"/>
                <w:color w:val="auto"/>
              </w:rPr>
            </w:pPr>
            <w:r>
              <w:rPr>
                <w:rFonts w:ascii="Arial" w:cs="Arial" w:eastAsia="Arial" w:hAnsi="Arial"/>
                <w:sz w:val="18"/>
                <w:szCs w:val="18"/>
                <w:b w:val="1"/>
                <w:bCs w:val="1"/>
                <w:color w:val="auto"/>
              </w:rPr>
              <w:t>Selected Financial Data</w:t>
            </w:r>
          </w:p>
        </w:tc>
        <w:tc>
          <w:tcPr>
            <w:tcW w:w="1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66"/>
        </w:trPr>
        <w:tc>
          <w:tcPr>
            <w:tcW w:w="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920" w:type="dxa"/>
            <w:vAlign w:val="bottom"/>
            <w:gridSpan w:val="6"/>
          </w:tcPr>
          <w:p>
            <w:pPr>
              <w:jc w:val="center"/>
              <w:ind w:left="594"/>
              <w:spacing w:after="0"/>
              <w:rPr>
                <w:sz w:val="20"/>
                <w:szCs w:val="20"/>
                <w:color w:val="auto"/>
              </w:rPr>
            </w:pPr>
            <w:r>
              <w:rPr>
                <w:rFonts w:ascii="Arial" w:cs="Arial" w:eastAsia="Arial" w:hAnsi="Arial"/>
                <w:sz w:val="18"/>
                <w:szCs w:val="18"/>
                <w:b w:val="1"/>
                <w:bCs w:val="1"/>
                <w:color w:val="auto"/>
                <w:w w:val="87"/>
              </w:rPr>
              <w:t>Selected Financial Data</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8"/>
        </w:trPr>
        <w:tc>
          <w:tcPr>
            <w:tcW w:w="9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94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86"/>
              </w:rPr>
              <w:t>(In thousands, except percentages and per share data)</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40"/>
        </w:trPr>
        <w:tc>
          <w:tcPr>
            <w:tcW w:w="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One Month</w:t>
            </w:r>
          </w:p>
        </w:tc>
      </w:tr>
      <w:tr>
        <w:trPr>
          <w:trHeight w:val="161"/>
        </w:trPr>
        <w:tc>
          <w:tcPr>
            <w:tcW w:w="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Twelve Months Ended</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Ended</w:t>
            </w:r>
          </w:p>
        </w:tc>
      </w:tr>
      <w:tr>
        <w:trPr>
          <w:trHeight w:val="129"/>
        </w:trPr>
        <w:tc>
          <w:tcPr>
            <w:tcW w:w="9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96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9"/>
              </w:rPr>
              <w:t>June 30,</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412"/>
              <w:spacing w:after="0" w:line="129" w:lineRule="exact"/>
              <w:rPr>
                <w:sz w:val="20"/>
                <w:szCs w:val="20"/>
                <w:color w:val="auto"/>
              </w:rPr>
            </w:pPr>
            <w:r>
              <w:rPr>
                <w:rFonts w:ascii="Arial" w:cs="Arial" w:eastAsia="Arial" w:hAnsi="Arial"/>
                <w:sz w:val="14"/>
                <w:szCs w:val="14"/>
                <w:b w:val="1"/>
                <w:bCs w:val="1"/>
                <w:color w:val="auto"/>
                <w:w w:val="99"/>
              </w:rPr>
              <w:t>June 30,</w:t>
            </w:r>
          </w:p>
        </w:tc>
        <w:tc>
          <w:tcPr>
            <w:tcW w:w="102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5"/>
              </w:rPr>
              <w:t>June 30,</w:t>
            </w:r>
          </w:p>
        </w:tc>
        <w:tc>
          <w:tcPr>
            <w:tcW w:w="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May 31,</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42"/>
              <w:spacing w:after="0" w:line="129" w:lineRule="exact"/>
              <w:rPr>
                <w:sz w:val="20"/>
                <w:szCs w:val="20"/>
                <w:color w:val="auto"/>
              </w:rPr>
            </w:pPr>
            <w:r>
              <w:rPr>
                <w:rFonts w:ascii="Arial" w:cs="Arial" w:eastAsia="Arial" w:hAnsi="Arial"/>
                <w:sz w:val="14"/>
                <w:szCs w:val="14"/>
                <w:b w:val="1"/>
                <w:bCs w:val="1"/>
                <w:color w:val="auto"/>
              </w:rPr>
              <w:t>May 31,</w:t>
            </w:r>
          </w:p>
        </w:tc>
        <w:tc>
          <w:tcPr>
            <w:tcW w:w="380" w:type="dxa"/>
            <w:vAlign w:val="bottom"/>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1"/>
                <w:szCs w:val="11"/>
                <w:color w:val="auto"/>
              </w:rPr>
            </w:pPr>
          </w:p>
        </w:tc>
      </w:tr>
      <w:tr>
        <w:trPr>
          <w:trHeight w:val="161"/>
        </w:trPr>
        <w:tc>
          <w:tcPr>
            <w:tcW w:w="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46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78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340" w:type="dxa"/>
            <w:vAlign w:val="bottom"/>
          </w:tcPr>
          <w:p>
            <w:pPr>
              <w:spacing w:after="0"/>
              <w:rPr>
                <w:sz w:val="14"/>
                <w:szCs w:val="14"/>
                <w:color w:val="auto"/>
              </w:rPr>
            </w:pPr>
          </w:p>
        </w:tc>
        <w:tc>
          <w:tcPr>
            <w:tcW w:w="72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80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2009(1)</w:t>
            </w:r>
          </w:p>
        </w:tc>
        <w:tc>
          <w:tcPr>
            <w:tcW w:w="200" w:type="dxa"/>
            <w:vAlign w:val="bottom"/>
          </w:tcPr>
          <w:p>
            <w:pPr>
              <w:spacing w:after="0"/>
              <w:rPr>
                <w:sz w:val="14"/>
                <w:szCs w:val="14"/>
                <w:color w:val="auto"/>
              </w:rPr>
            </w:pPr>
          </w:p>
        </w:tc>
      </w:tr>
      <w:tr>
        <w:trPr>
          <w:trHeight w:val="210"/>
        </w:trPr>
        <w:tc>
          <w:tcPr>
            <w:tcW w:w="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48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$739,046</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$627,052</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$550,814</w:t>
            </w:r>
          </w:p>
        </w:tc>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$689,720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$731,301</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$ 45,825</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w w:val="98"/>
              </w:rPr>
              <w:t>Gross profit</w:t>
            </w:r>
          </w:p>
        </w:tc>
        <w:tc>
          <w:tcPr>
            <w:tcW w:w="2480" w:type="dxa"/>
            <w:vAlign w:val="bottom"/>
          </w:tcPr>
          <w:p>
            <w:pPr>
              <w:spacing w:after="0"/>
              <w:rPr>
                <w:sz w:val="18"/>
                <w:szCs w:val="18"/>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79,618</w:t>
            </w:r>
          </w:p>
        </w:tc>
        <w:tc>
          <w:tcPr>
            <w:tcW w:w="280" w:type="dxa"/>
            <w:vAlign w:val="bottom"/>
          </w:tcPr>
          <w:p>
            <w:pPr>
              <w:spacing w:after="0"/>
              <w:rPr>
                <w:sz w:val="18"/>
                <w:szCs w:val="18"/>
                <w:color w:val="auto"/>
              </w:rPr>
            </w:pPr>
          </w:p>
        </w:tc>
        <w:tc>
          <w:tcPr>
            <w:tcW w:w="1180" w:type="dxa"/>
            <w:vAlign w:val="bottom"/>
            <w:gridSpan w:val="3"/>
          </w:tcPr>
          <w:p>
            <w:pPr>
              <w:jc w:val="right"/>
              <w:ind w:right="332"/>
              <w:spacing w:after="0"/>
              <w:rPr>
                <w:sz w:val="20"/>
                <w:szCs w:val="20"/>
                <w:color w:val="auto"/>
              </w:rPr>
            </w:pPr>
            <w:r>
              <w:rPr>
                <w:rFonts w:ascii="Arial" w:cs="Arial" w:eastAsia="Arial" w:hAnsi="Arial"/>
                <w:sz w:val="18"/>
                <w:szCs w:val="18"/>
                <w:color w:val="auto"/>
              </w:rPr>
              <w:t>74,914</w:t>
            </w:r>
          </w:p>
        </w:tc>
        <w:tc>
          <w:tcPr>
            <w:tcW w:w="680" w:type="dxa"/>
            <w:vAlign w:val="bottom"/>
          </w:tcPr>
          <w:p>
            <w:pPr>
              <w:jc w:val="right"/>
              <w:spacing w:after="0"/>
              <w:rPr>
                <w:sz w:val="20"/>
                <w:szCs w:val="20"/>
                <w:color w:val="auto"/>
              </w:rPr>
            </w:pPr>
            <w:r>
              <w:rPr>
                <w:rFonts w:ascii="Arial" w:cs="Arial" w:eastAsia="Arial" w:hAnsi="Arial"/>
                <w:sz w:val="18"/>
                <w:szCs w:val="18"/>
                <w:color w:val="auto"/>
              </w:rPr>
              <w:t>52,922</w:t>
            </w:r>
          </w:p>
        </w:tc>
        <w:tc>
          <w:tcPr>
            <w:tcW w:w="34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94,323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75,117</w:t>
            </w:r>
          </w:p>
        </w:tc>
        <w:tc>
          <w:tcPr>
            <w:tcW w:w="3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5,149</w:t>
            </w: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 %</w:t>
            </w:r>
          </w:p>
        </w:tc>
        <w:tc>
          <w:tcPr>
            <w:tcW w:w="2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118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11.9%</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w w:val="95"/>
              </w:rPr>
              <w:t>Selling, general and administrative expenses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47,983</w:t>
            </w:r>
          </w:p>
        </w:tc>
        <w:tc>
          <w:tcPr>
            <w:tcW w:w="280" w:type="dxa"/>
            <w:vAlign w:val="bottom"/>
          </w:tcPr>
          <w:p>
            <w:pPr>
              <w:spacing w:after="0"/>
              <w:rPr>
                <w:sz w:val="18"/>
                <w:szCs w:val="18"/>
                <w:color w:val="auto"/>
              </w:rPr>
            </w:pPr>
          </w:p>
        </w:tc>
        <w:tc>
          <w:tcPr>
            <w:tcW w:w="1180" w:type="dxa"/>
            <w:vAlign w:val="bottom"/>
            <w:gridSpan w:val="3"/>
          </w:tcPr>
          <w:p>
            <w:pPr>
              <w:jc w:val="right"/>
              <w:ind w:right="332"/>
              <w:spacing w:after="0"/>
              <w:rPr>
                <w:sz w:val="20"/>
                <w:szCs w:val="20"/>
                <w:color w:val="auto"/>
              </w:rPr>
            </w:pPr>
            <w:r>
              <w:rPr>
                <w:rFonts w:ascii="Arial" w:cs="Arial" w:eastAsia="Arial" w:hAnsi="Arial"/>
                <w:sz w:val="18"/>
                <w:szCs w:val="18"/>
                <w:color w:val="auto"/>
              </w:rPr>
              <w:t>44,014</w:t>
            </w:r>
          </w:p>
        </w:tc>
        <w:tc>
          <w:tcPr>
            <w:tcW w:w="680" w:type="dxa"/>
            <w:vAlign w:val="bottom"/>
          </w:tcPr>
          <w:p>
            <w:pPr>
              <w:jc w:val="right"/>
              <w:spacing w:after="0"/>
              <w:rPr>
                <w:sz w:val="20"/>
                <w:szCs w:val="20"/>
                <w:color w:val="auto"/>
              </w:rPr>
            </w:pPr>
            <w:r>
              <w:rPr>
                <w:rFonts w:ascii="Arial" w:cs="Arial" w:eastAsia="Arial" w:hAnsi="Arial"/>
                <w:sz w:val="18"/>
                <w:szCs w:val="18"/>
                <w:color w:val="auto"/>
              </w:rPr>
              <w:t>45,169</w:t>
            </w:r>
          </w:p>
        </w:tc>
        <w:tc>
          <w:tcPr>
            <w:tcW w:w="34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47,006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40,566</w:t>
            </w:r>
          </w:p>
        </w:tc>
        <w:tc>
          <w:tcPr>
            <w:tcW w:w="3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3,570</w:t>
            </w: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31,635</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30,900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w:t>
            </w: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47,317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34,551</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1,579</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Net income</w:t>
            </w:r>
          </w:p>
        </w:tc>
        <w:tc>
          <w:tcPr>
            <w:tcW w:w="2480" w:type="dxa"/>
            <w:vAlign w:val="bottom"/>
          </w:tcPr>
          <w:p>
            <w:pPr>
              <w:spacing w:after="0"/>
              <w:rPr>
                <w:sz w:val="18"/>
                <w:szCs w:val="18"/>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17,188</w:t>
            </w:r>
          </w:p>
        </w:tc>
        <w:tc>
          <w:tcPr>
            <w:tcW w:w="280" w:type="dxa"/>
            <w:vAlign w:val="bottom"/>
          </w:tcPr>
          <w:p>
            <w:pPr>
              <w:spacing w:after="0"/>
              <w:rPr>
                <w:sz w:val="18"/>
                <w:szCs w:val="18"/>
                <w:color w:val="auto"/>
              </w:rPr>
            </w:pPr>
          </w:p>
        </w:tc>
        <w:tc>
          <w:tcPr>
            <w:tcW w:w="1180" w:type="dxa"/>
            <w:vAlign w:val="bottom"/>
            <w:gridSpan w:val="3"/>
          </w:tcPr>
          <w:p>
            <w:pPr>
              <w:jc w:val="right"/>
              <w:ind w:right="332"/>
              <w:spacing w:after="0"/>
              <w:rPr>
                <w:sz w:val="20"/>
                <w:szCs w:val="20"/>
                <w:color w:val="auto"/>
              </w:rPr>
            </w:pPr>
            <w:r>
              <w:rPr>
                <w:rFonts w:ascii="Arial" w:cs="Arial" w:eastAsia="Arial" w:hAnsi="Arial"/>
                <w:sz w:val="18"/>
                <w:szCs w:val="18"/>
                <w:color w:val="auto"/>
              </w:rPr>
              <w:t>18,982</w:t>
            </w:r>
          </w:p>
        </w:tc>
        <w:tc>
          <w:tcPr>
            <w:tcW w:w="680" w:type="dxa"/>
            <w:vAlign w:val="bottom"/>
          </w:tcPr>
          <w:p>
            <w:pPr>
              <w:jc w:val="right"/>
              <w:spacing w:after="0"/>
              <w:rPr>
                <w:sz w:val="20"/>
                <w:szCs w:val="20"/>
                <w:color w:val="auto"/>
              </w:rPr>
            </w:pPr>
            <w:r>
              <w:rPr>
                <w:rFonts w:ascii="Arial" w:cs="Arial" w:eastAsia="Arial" w:hAnsi="Arial"/>
                <w:sz w:val="18"/>
                <w:szCs w:val="18"/>
                <w:color w:val="auto"/>
              </w:rPr>
              <w:t>4,876</w:t>
            </w:r>
          </w:p>
        </w:tc>
        <w:tc>
          <w:tcPr>
            <w:tcW w:w="34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30,589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21,414</w:t>
            </w:r>
          </w:p>
        </w:tc>
        <w:tc>
          <w:tcPr>
            <w:tcW w:w="3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994</w:t>
            </w: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0.71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124,553</w:t>
            </w:r>
          </w:p>
        </w:tc>
        <w:tc>
          <w:tcPr>
            <w:tcW w:w="280" w:type="dxa"/>
            <w:vAlign w:val="bottom"/>
          </w:tcPr>
          <w:p>
            <w:pPr>
              <w:spacing w:after="0"/>
              <w:rPr>
                <w:sz w:val="18"/>
                <w:szCs w:val="18"/>
                <w:color w:val="auto"/>
              </w:rPr>
            </w:pPr>
          </w:p>
        </w:tc>
        <w:tc>
          <w:tcPr>
            <w:tcW w:w="1180" w:type="dxa"/>
            <w:vAlign w:val="bottom"/>
            <w:gridSpan w:val="3"/>
          </w:tcPr>
          <w:p>
            <w:pPr>
              <w:jc w:val="right"/>
              <w:ind w:right="332"/>
              <w:spacing w:after="0"/>
              <w:rPr>
                <w:sz w:val="20"/>
                <w:szCs w:val="20"/>
                <w:color w:val="auto"/>
              </w:rPr>
            </w:pPr>
            <w:r>
              <w:rPr>
                <w:rFonts w:ascii="Arial" w:cs="Arial" w:eastAsia="Arial" w:hAnsi="Arial"/>
                <w:sz w:val="18"/>
                <w:szCs w:val="18"/>
                <w:color w:val="auto"/>
              </w:rPr>
              <w:t>115,374</w:t>
            </w:r>
          </w:p>
        </w:tc>
        <w:tc>
          <w:tcPr>
            <w:tcW w:w="680" w:type="dxa"/>
            <w:vAlign w:val="bottom"/>
          </w:tcPr>
          <w:p>
            <w:pPr>
              <w:jc w:val="right"/>
              <w:spacing w:after="0"/>
              <w:rPr>
                <w:sz w:val="20"/>
                <w:szCs w:val="20"/>
                <w:color w:val="auto"/>
              </w:rPr>
            </w:pPr>
            <w:r>
              <w:rPr>
                <w:rFonts w:ascii="Arial" w:cs="Arial" w:eastAsia="Arial" w:hAnsi="Arial"/>
                <w:sz w:val="18"/>
                <w:szCs w:val="18"/>
                <w:color w:val="auto"/>
              </w:rPr>
              <w:t>95,740</w:t>
            </w:r>
          </w:p>
        </w:tc>
        <w:tc>
          <w:tcPr>
            <w:tcW w:w="34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82,460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60,826</w:t>
            </w:r>
          </w:p>
        </w:tc>
        <w:tc>
          <w:tcPr>
            <w:tcW w:w="3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82,948</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w w:val="94"/>
              </w:rPr>
              <w:t>Total assets</w:t>
            </w:r>
          </w:p>
        </w:tc>
        <w:tc>
          <w:tcPr>
            <w:tcW w:w="248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323,135</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306,436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284,808</w:t>
            </w: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303,451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274,593</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299,961</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78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259</w:t>
            </w:r>
          </w:p>
        </w:tc>
        <w:tc>
          <w:tcPr>
            <w:tcW w:w="34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850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777</w:t>
            </w: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13,534</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10,416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5,302</w:t>
            </w: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9,983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18,302</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348</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Cash flows provided by operations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2,941</w:t>
            </w:r>
          </w:p>
        </w:tc>
        <w:tc>
          <w:tcPr>
            <w:tcW w:w="280" w:type="dxa"/>
            <w:vAlign w:val="bottom"/>
          </w:tcPr>
          <w:p>
            <w:pPr>
              <w:spacing w:after="0"/>
              <w:rPr>
                <w:sz w:val="18"/>
                <w:szCs w:val="18"/>
                <w:color w:val="auto"/>
              </w:rPr>
            </w:pPr>
          </w:p>
        </w:tc>
        <w:tc>
          <w:tcPr>
            <w:tcW w:w="1180" w:type="dxa"/>
            <w:vAlign w:val="bottom"/>
            <w:gridSpan w:val="3"/>
          </w:tcPr>
          <w:p>
            <w:pPr>
              <w:jc w:val="right"/>
              <w:ind w:right="332"/>
              <w:spacing w:after="0"/>
              <w:rPr>
                <w:sz w:val="20"/>
                <w:szCs w:val="20"/>
                <w:color w:val="auto"/>
              </w:rPr>
            </w:pPr>
            <w:r>
              <w:rPr>
                <w:rFonts w:ascii="Arial" w:cs="Arial" w:eastAsia="Arial" w:hAnsi="Arial"/>
                <w:sz w:val="18"/>
                <w:szCs w:val="18"/>
                <w:color w:val="auto"/>
              </w:rPr>
              <w:t>22,749</w:t>
            </w:r>
          </w:p>
        </w:tc>
        <w:tc>
          <w:tcPr>
            <w:tcW w:w="680" w:type="dxa"/>
            <w:vAlign w:val="bottom"/>
          </w:tcPr>
          <w:p>
            <w:pPr>
              <w:jc w:val="right"/>
              <w:spacing w:after="0"/>
              <w:rPr>
                <w:sz w:val="20"/>
                <w:szCs w:val="20"/>
                <w:color w:val="auto"/>
              </w:rPr>
            </w:pPr>
            <w:r>
              <w:rPr>
                <w:rFonts w:ascii="Arial" w:cs="Arial" w:eastAsia="Arial" w:hAnsi="Arial"/>
                <w:sz w:val="18"/>
                <w:szCs w:val="18"/>
                <w:color w:val="auto"/>
              </w:rPr>
              <w:t>4,399</w:t>
            </w:r>
          </w:p>
        </w:tc>
        <w:tc>
          <w:tcPr>
            <w:tcW w:w="34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38,624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45,596</w:t>
            </w:r>
          </w:p>
        </w:tc>
        <w:tc>
          <w:tcPr>
            <w:tcW w:w="3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18,906</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248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497,452</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405,118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353,216</w:t>
            </w: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401,073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467,308</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392,097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July 30, 2009 the Company’s Board of Directors approved a change in the Company’s fiscal year end from May 31 to June 30, beginning July 1, 2009. As a result of the change, the Company had a transition period for the one month ended June 30, 2009.</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Management’s discussion and analysis of our financial condition and results of operations is based on our consolidated financial statements, which have been prepared in accordance with accounting principles generally accepted in the United States (“GAAP”). GAAP represents a comprehensive set of accounting and disclosure rules and requirements, the application of which requires management judgments and estimates including, in certain circumstances, choices between acceptable GAAP alternatives. The preparation of these consolidated financial statements requires management to make estimates and assumptions that affect the reported amounts of assets and liabilities and disclosure of contingent assets and liabilities, if any, at the date of the financial statements, and the reported amounts of revenues and expenses during the reporting period. We base our estimates on historical experience and various other assumptions that are believed to be reasonable under the circumstances. Actual results could differ from these estimates under different assumptions or conditions. Note 1 of the Notes to Consolidated Financial Statements included elsewhere in this Annual Report on Form 10-K, contains a comprehensive summary of our significant accounting policies. The following is a discussion of our most critical accounting policies, estimates, judgments and uncertainties that are inherent in our application of GAAP.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Matrix records profits on fixed-price contracts on a percentage-of-completion basis, primarily based on costs incurred to date compared to the total estimated contract cost. The Company records revenue on reimbursable and time and material contracts on a proportional performance basis as costs are incurred. Contracts in process are valued at cost plus accrued profits less billings on uncompleted contracts. Contracts are generally considered substantially complete when field construction is completed. The elapsed time from award of a contract to completion of performance may be in excess of one year. Matrix includes pass-through revenue and costs on cost-plus contracts, which are customer-reimbursable materials, equipment and subcontractor costs, when Matrix determines that it is responsible for the procurement and management of such cost components.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Matrix has numerous contracts that are in various stages of completion which require estimates to determine the appropriate cost and revenue recognition. The Company has a history of making reasonably dependable estimates of the extent of progress towards completion, contract revenues and contract costs, and accordingly, does not believe significant fluctuations are likely to materialize. However, current estimates may be revised as additional information becomes available. If estimates of costs to complete fixed-price contracts indicate a loss, a provision is made through a contract write-down for the total loss anticipated. A number of our contracts contain various cost and performance incentives and penalties that impact the earnings we realize from our contracts. Adjustments related to these incentives and penalties are recorded in the period on a percentage of completion basis when estimable and probable.</w:t>
      </w:r>
    </w:p>
    <w:p>
      <w:pPr>
        <w:spacing w:after="0" w:line="12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Indirect costs, such as salaries and benefits, supplies and tools, equipment costs and insurance costs, are charged to projects based upon direct labor hours and overhead allocation rates per direct labor hour. Warranty costs are normally incurred prior to project completion and are charged to project costs as they are incurred. Warranty costs incurred subsequent to project completion were not material for the periods presented. Overhead allocation rates are established annually during the budgeting process and evaluated for accuracy throughout the year based upon actual direct labor hours and actual costs incurred.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Claims Recognition</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Claims are amounts in excess of the agreed contract price that we seek to collect from customers or others for delays, errors in specifications and designs, contract terminations, change orders in dispute or unapproved as to both scope and price or other causes of anticipated additional costs incurred by us. Recognition of amounts as additional contract revenue related to claims is appropriate only if it is probable that the claims will result in additional contract revenue and if the amount can be reliably estimated. If all of the following requirements are met, revenue from a claim is recorded only to the extent that we have incurred costs relating to the claim. We must determine if:</w:t>
      </w:r>
    </w:p>
    <w:p>
      <w:pPr>
        <w:spacing w:after="0" w:line="35"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is a legal basis for the claim;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additional costs were caused by circumstances that were unforeseen by the Company and are not the result of deficiencies in our performance;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are identifiable or determinable and are reasonable in view of the work performed;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evidence supporting the claim is objective and verifiable.</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of June 30, 2012 and June 30, 2011, costs and estimated earnings in excess of billings on uncompleted contracts included revenues for unapproved change orders of $8.5 million and $5.1 million, respectively. There were no claims included in costs and estimated earnings in excess of billings on uncompleted contracts as of June 30, 2012 or June 30, 2011. Historically, our collections for unapproved change orders and other claims have approximated the amount of revenue recognized.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Contingencies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Various legal actions, claims, and other contingencies arise in the normal course of our business. Contingencies are recorded in the consolidated financial statements, or are otherwise disclosed, in accordance with ASC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Legal costs are expensed as incurred.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96"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We maintain insurance coverage for various aspects of our operations. However, we retain exposure to potential losses through the use of deductibles, coverage limits and self-insured retentions. We establish reserves for claims using a combination of actuarially determined estimates and management judgment on a case-by-case basis and update our evaluations as further information becomes known. Judgments and assumptions, including the assumed losses for claims incurred but not reported, are inherent in our reserve accruals; as a result, changes in assumptions or claims experience could result in changes to these estimates in the future. If actual results of claim settlements are different than the amounts estimated we may be exposed to gains or losses that could be significant. A hypothetical ten percent unfavorable change in our claim reserves at June 30, 2012 would have reduced fiscal 2012 pretax income by $0.5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96"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Goodwill represents the excess of the purchase price of acquisitions over the acquisition date fair value of the net identifiable tangible and intangible assets acquired. In accordance with current accounting guidance, goodwill is not amortized and is tested at least annually for impairment at the reporting unit level.</w:t>
      </w:r>
    </w:p>
    <w:p>
      <w:pPr>
        <w:spacing w:after="0" w:line="6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discussed in our Form 10-Q for the quarter ending March 31, 2012, we previously concluded that the change in operating segments, which is discussed in Note 2—Segment Change and Note 14—Segment Information of the Notes to Consolidated Financial Statements included in Part II, Item 8 of this report, requires that we change our reporting units based on the new segments. Goodwill was allocated to the new reporting units in accordance with ASC 350, “Intangibles—Goodwill and Other”. The change in operating segments, reporting units and the subsequent allocation of goodwill to the new reporting units did not change the value of our underlying business; therefore, did not constitute an event that required us to perform an interim impairment test. Based on these factors, we continued our practice of performing the annual impairment test in the fourth quarter of each fiscal year.</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Goodwill is evaluated for impairment by first comparing management’s estimate of the fair value of a reporting unit with its carrying value, including goodwill. If the carrying value of a reporting unit exceeds its fair value, a computation of the implied fair value of goodwill is compared with its related carrying value. If the carrying value of the reporting unit goodwill exceeds the implied fair value of that goodwill, an impairment loss is recognized in the amount of the excess.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Management utilizes a discounted cash flow analysis to determine the estimated fair value of our reporting units. Significant judgments and assumptions including the discount rate, anticipated revenue growth rate and gross margins, estimated operating and interest expense, and capital expenditures are inherent in these fair value estimates, which are based on our operating and capital budgets and on our strategic plan. As a result, actual results may differ from the estimates utilized in our discounted cash flow analysis. The use of alternate judgments and/or assumptions could result in a fair value that differs from our estimate and could result in the recognition of an impairment charge in the financial statements. As a result of these uncertainties, we utilize multiple scenarios and assign probabilities to each of the scenarios in the discounted cash flow analysis.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Although we do not anticipate a future impairment charge, certain events could occur that would adversely affect the reported value of goodwill. Such events could include, but are not limited to, a change in economic or competitive conditions, a significant change in the project plans of our customers, the economic condition of the customers and industries we serve, and a material negative change in the relationships with one or more of our significant customers. If our judgments and assumptions change as a result of the occurrence of any of these events or other events that we do not currently anticipate, our expectations as to future results and our estimate of the implied value of one or more of our reporting units also may change.</w:t>
      </w:r>
    </w:p>
    <w:p>
      <w:pPr>
        <w:spacing w:after="0" w:line="1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performed our annual impairment test based on the new reporting units in the fourth quarter to determine whether an impairment existed and to determine the amount of headroom at May 31, 2012. We define headroom as the percentage difference between the fair value of a reporting unit and its carrying value. The amount of headroom varies by reporting unit. Approximately 42% of our goodwill balance is attributable to one reporting unit. This unit had headroom of 46% at May 31, 2012. We have three additional reporting units with goodwill representing 21%, 14% and 11% of the total goodwill balance with headroom of 84%, 106% and 40%, respectively.</w:t>
      </w:r>
    </w:p>
    <w:p>
      <w:pPr>
        <w:spacing w:after="0" w:line="143" w:lineRule="exact"/>
        <w:rPr>
          <w:sz w:val="20"/>
          <w:szCs w:val="20"/>
          <w:color w:val="auto"/>
        </w:rPr>
      </w:pPr>
    </w:p>
    <w:p>
      <w:pPr>
        <w:ind w:right="600" w:firstLine="456"/>
        <w:spacing w:after="0" w:line="335" w:lineRule="auto"/>
        <w:rPr>
          <w:sz w:val="20"/>
          <w:szCs w:val="20"/>
          <w:color w:val="auto"/>
        </w:rPr>
      </w:pPr>
      <w:r>
        <w:rPr>
          <w:rFonts w:ascii="Arial" w:cs="Arial" w:eastAsia="Arial" w:hAnsi="Arial"/>
          <w:sz w:val="15"/>
          <w:szCs w:val="15"/>
          <w:color w:val="auto"/>
        </w:rPr>
        <w:t>Our significant assumptions, including revenue growth rates, gross margins, operating and interest expense and other factors, have been reasonably accurate in recent years, but may change in light of changes in the economic and competitive environment in which we operate. Assuming that all other components of our fair value estimate remain unchanged, a change in the following assumptions would have the following effect on headroom:</w:t>
      </w:r>
    </w:p>
    <w:p>
      <w:pPr>
        <w:spacing w:after="0" w:line="7" w:lineRule="exact"/>
        <w:rPr>
          <w:sz w:val="20"/>
          <w:szCs w:val="20"/>
          <w:color w:val="auto"/>
        </w:rPr>
      </w:pPr>
    </w:p>
    <w:p>
      <w:pPr>
        <w:ind w:left="900" w:right="2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growth rate of estimated revenue decreases by one percentage point, the headroom of the reporting units referenced above would be reduced from 46%, 84%, 106% and 40% to 44%, 82%, 103% and 39%, respectively;</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our estimate of gross margins decreases one percentage point, the headroom of the reporting units referenced above would be reduced from 46%, 84%, 106% and 40% to 12%, 58%, 69% and 18%, respectively; and</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applicable discount rate increases one percentage point, the headroom of the reporting units referenced above would be reduced from 46%, 84%, 106% and 40% to 29%, 66%, 82% and 27%,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Standards Update 2011-04, Amendments to Achieve Common Fair Value Measurement and Disclosure Requirements in U.S. GAAP and IFRSs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May 2011, the FASB issued Accounting Standards Update No. 2011-04, "Amendments to Achieve Common Fair Value Measurement and Disclosure Requirements in U.S. GAAP and IFRSs" ("ASU 2011-04"). ASU 2011-04 amends ASC 820, providing a consistent definition and measurement of fair value, as well as similar disclosure requirements between U.S. GAAP and International Financial Reporting Standards. ASU 2011-04 changes certain fair value measurement principles, clarifies the application of existing fair value measurement and expands the ASC 820 disclosure requirements, particularly for Level 3 fair value measurements. ASU 2011-04 is effective for interim and annual periods beginning after December 15, 2011. The Company's adoption of ASU 2011-04 did not have a material effect on the Company's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2011-05, Comprehensive Income: Presentation of Comprehensive Income</w:t>
      </w:r>
    </w:p>
    <w:p>
      <w:pPr>
        <w:spacing w:after="0" w:line="90"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Effective March 31, 2012, we adopted Accounting Standards Update No. 2011-05, “Comprehensive Income: Presentation of Comprehensive Income” (“ASU 2011-05”). ASU 2011-05 eliminated the option of presenting the components of other comprehensive income as part of the statement of stockholders’ equity. ASU 2011-05 requires that comprehensive income be reported in either a single contiguous statement of comprehensive income which contains two sections, net income and other comprehensive income, or in two separate but consecutive statements. We elected to present comprehensive income in two statements. The adoption of ASU 2011-05 did not impact the Company’s financial position or results of operations, as it only required a change in the format of the current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2011-09, Disclosures about an Employer’s Participation in a Multiemployer Plan</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Effective June 30, 2012, we adopted Accounting Standards Update No. 2011-09, “Disclosures about an Employer’s Participation in a Multiemployer Plan” (“ASU 2011-09”). ASU 2011-09 requires employers to make additional separate disclosures for multiemployer pension and other postretirement benefit plans. Additional disclosures include, but are not limited to:</w:t>
      </w:r>
    </w:p>
    <w:p>
      <w:pPr>
        <w:spacing w:after="0" w:line="59"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plans in which an employer participates;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level of participation, including the plans to which the employer is a significant contributor;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financial health of significant plans;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nature of the employer’s commitment to the plans.</w:t>
      </w:r>
    </w:p>
    <w:p>
      <w:pPr>
        <w:spacing w:after="0" w:line="171"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ASU 2011-09 does not change the current recognition and measurement guidance that requires an employer to recognize its required contribution as a pension or other postretirement benefit cost for the period and to recognize a liability for any contributions due at the reporting date. ASU 2011-09 does not change the recognition, measurement or disclosure requirements for obligations related to an actual or potential withdrawal from a multiemployer plan. These obligations continue to be accounted for under ASC 450, “Contingencies”. Under ASC 450, if an obligation due to withdrawal from a multiemployer plan is probable and reasonably estimable, the recognition of a liability and disclosure of the contingency is required. If an obligation due to withdrawal from a multiemployer plan is reasonably possible, disclosure of the contingency is required.</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See Note 13—Employee Benefit Plans of the Notes to Consolidated Financial Statements included in Part II, Item 8 of this report, for specific disclosures relating to the multiemployer pension plans that we consider material. The adoption of ASU 2011-09 did not impact the Company’s financial position or results of operations, as it only required additional disclosures regarding the Company’s participation in multiemployer plans.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During fiscal 2012, the Company completed an update of its long-term business strategy. This strategic update along with certain changes in our organizational structure led to a reassessment of our operating segments. As a result of these events, we have revised our reportable segments to better align with the current management of the business. Our previous operating segments were Construction Services and Repair and Maintenance Services. Our new segments are as follows:</w:t>
      </w:r>
    </w:p>
    <w:p>
      <w:pPr>
        <w:spacing w:after="0" w:line="62" w:lineRule="exact"/>
        <w:rPr>
          <w:sz w:val="20"/>
          <w:szCs w:val="20"/>
          <w:color w:val="auto"/>
        </w:rPr>
      </w:pPr>
    </w:p>
    <w:p>
      <w:pPr>
        <w:ind w:left="900" w:right="160" w:hanging="325"/>
        <w:spacing w:after="0" w:line="298"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Electrical Infrastructure segment primarily encompasses high voltage services to investor owned utilities, including construction of new substations, upgrades of existing substations, short-run transmission line installations, distribution upgrades and maintenance, and storm restoration services. We also provide construction and maintenance services to a variety of power generation facilities such as combined cycle plants, nuclear facilities, coal fired power stations, and renewable energy installations.</w:t>
      </w:r>
    </w:p>
    <w:p>
      <w:pPr>
        <w:spacing w:after="0" w:line="31" w:lineRule="exact"/>
        <w:rPr>
          <w:rFonts w:ascii="Arial" w:cs="Arial" w:eastAsia="Arial" w:hAnsi="Arial"/>
          <w:sz w:val="16"/>
          <w:szCs w:val="16"/>
          <w:color w:val="auto"/>
        </w:rPr>
      </w:pPr>
    </w:p>
    <w:p>
      <w:pPr>
        <w:ind w:left="900" w:right="440" w:hanging="325"/>
        <w:spacing w:after="0" w:line="256"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Oil Gas &amp; Chemical segment includes our traditional turnaround activities, plant maintenance services and construction in the downstream petroleum industry. Another key offering is industrial cleaning services, which include hydroblasting, hydroexcavating, chemical cleaning, and vacuum services. We also perform work in the renewable energy, industrial and natural gas, gas processing and compression, and upstream petroleum markets.</w:t>
      </w:r>
    </w:p>
    <w:p>
      <w:pPr>
        <w:spacing w:after="0" w:line="62" w:lineRule="exact"/>
        <w:rPr>
          <w:rFonts w:ascii="Arial" w:cs="Arial" w:eastAsia="Arial" w:hAnsi="Arial"/>
          <w:sz w:val="18"/>
          <w:szCs w:val="18"/>
          <w:color w:val="auto"/>
        </w:rPr>
      </w:pPr>
    </w:p>
    <w:p>
      <w:pPr>
        <w:ind w:left="900" w:right="80" w:hanging="325"/>
        <w:spacing w:after="0" w:line="298"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Storage Solutions segment includes new construction of, as well as planned and emergency maintenance services for crude and refined products aboveground storage tanks. Also included in the Storage Solutions segment is work related to specialty storage tanks including liquefied natural gas (“LNG”), liquid nitrogen/liquid oxygen (“LIN/LOX”), liquid petroleum (“LPG”) tanks and other specialty vessels including spheres. Finally, the Storage Solutions segment includes balance of plant work in storage terminals and tank farms.</w:t>
      </w:r>
    </w:p>
    <w:p>
      <w:pPr>
        <w:spacing w:after="0" w:line="31" w:lineRule="exact"/>
        <w:rPr>
          <w:rFonts w:ascii="Arial" w:cs="Arial" w:eastAsia="Arial" w:hAnsi="Arial"/>
          <w:sz w:val="16"/>
          <w:szCs w:val="16"/>
          <w:color w:val="auto"/>
        </w:rPr>
      </w:pPr>
    </w:p>
    <w:p>
      <w:pPr>
        <w:ind w:left="900" w:right="3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Industrial segment includes work in the mining and minerals industry, bulk material handling, thermal vacuum chambers, as well as work for clients in other industrial and manufacturing markets.</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majority of the work for all segments is performed in the United States, with 8.5% of revenues generated in Canada during fiscal 2012 as compared to 4.8% in fiscal 2011. Significant period to period changes in revenues, gross profits and operating results are discussed below on a consolidated basis and for each segment.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Results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Electrical</w:t>
            </w:r>
          </w:p>
        </w:tc>
        <w:tc>
          <w:tcPr>
            <w:tcW w:w="180" w:type="dxa"/>
            <w:vAlign w:val="bottom"/>
          </w:tcPr>
          <w:p>
            <w:pPr>
              <w:spacing w:after="0"/>
              <w:rPr>
                <w:sz w:val="14"/>
                <w:szCs w:val="14"/>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8"/>
              </w:rPr>
              <w:t>Oil Gas &amp;</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4"/>
              </w:rPr>
              <w:t>Storage</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Pr>
          <w:p>
            <w:pPr>
              <w:spacing w:after="0"/>
              <w:rPr>
                <w:sz w:val="14"/>
                <w:szCs w:val="14"/>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6"/>
              </w:rPr>
              <w:t>Chemical</w:t>
            </w:r>
          </w:p>
        </w:tc>
        <w:tc>
          <w:tcPr>
            <w:tcW w:w="180" w:type="dxa"/>
            <w:vAlign w:val="bottom"/>
          </w:tcPr>
          <w:p>
            <w:pPr>
              <w:spacing w:after="0"/>
              <w:rPr>
                <w:sz w:val="14"/>
                <w:szCs w:val="14"/>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0"/>
              </w:rPr>
              <w:t>Solutions</w:t>
            </w: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Industrial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2012</w:t>
            </w:r>
          </w:p>
        </w:tc>
        <w:tc>
          <w:tcPr>
            <w:tcW w:w="1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Consolidated revenues</w:t>
            </w:r>
          </w:p>
        </w:tc>
        <w:tc>
          <w:tcPr>
            <w:tcW w:w="1740" w:type="dxa"/>
            <w:vAlign w:val="bottom"/>
            <w:gridSpan w:val="2"/>
          </w:tcPr>
          <w:p>
            <w:pPr>
              <w:ind w:left="16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135,086</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205,823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378,154</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19,983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739,046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9,067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11,936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2,080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31,635</w:t>
            </w:r>
          </w:p>
        </w:tc>
        <w:tc>
          <w:tcPr>
            <w:tcW w:w="0" w:type="dxa"/>
            <w:vAlign w:val="bottom"/>
          </w:tcPr>
          <w:p>
            <w:pPr>
              <w:spacing w:after="0"/>
              <w:rPr>
                <w:sz w:val="1"/>
                <w:szCs w:val="1"/>
                <w:color w:val="auto"/>
              </w:rPr>
            </w:pPr>
          </w:p>
        </w:tc>
      </w:tr>
      <w:tr>
        <w:trPr>
          <w:trHeight w:val="322"/>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Fiscal Year 2011</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Consolidated revenues</w:t>
            </w:r>
          </w:p>
        </w:tc>
        <w:tc>
          <w:tcPr>
            <w:tcW w:w="174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151,058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143,354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298,706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33,934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627,052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Gross profit</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13,647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38,779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4,151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74,914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Operating income</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3,105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16,612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2,072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30,900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2010</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Consolidated revenues</w:t>
            </w:r>
          </w:p>
        </w:tc>
        <w:tc>
          <w:tcPr>
            <w:tcW w:w="1740" w:type="dxa"/>
            <w:vAlign w:val="bottom"/>
            <w:gridSpan w:val="2"/>
          </w:tcPr>
          <w:p>
            <w:pPr>
              <w:ind w:left="16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102,994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148,884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271,314</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27,622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550,814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9,788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9,970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3,788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7,753</w:t>
            </w:r>
          </w:p>
        </w:tc>
        <w:tc>
          <w:tcPr>
            <w:tcW w:w="0" w:type="dxa"/>
            <w:vAlign w:val="bottom"/>
          </w:tcPr>
          <w:p>
            <w:pPr>
              <w:spacing w:after="0"/>
              <w:rPr>
                <w:sz w:val="1"/>
                <w:szCs w:val="1"/>
                <w:color w:val="auto"/>
              </w:rPr>
            </w:pPr>
          </w:p>
        </w:tc>
      </w:tr>
      <w:tr>
        <w:trPr>
          <w:trHeight w:val="322"/>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Variances Fiscal Year 2012 to Fiscal Year 2011</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Consolidated revenues</w:t>
            </w:r>
          </w:p>
        </w:tc>
        <w:tc>
          <w:tcPr>
            <w:tcW w:w="174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62,469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(13,951)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111,994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Gross profit</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(1,661)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6,423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3,614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(3,672)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(2,733)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Operating income</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(1,502)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5,029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(3,673)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Variances Fiscal Year 2011 to Fiscal Year 2010</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Consolidated revenues</w:t>
            </w:r>
          </w:p>
        </w:tc>
        <w:tc>
          <w:tcPr>
            <w:tcW w:w="1740" w:type="dxa"/>
            <w:vAlign w:val="bottom"/>
            <w:gridSpan w:val="2"/>
          </w:tcPr>
          <w:p>
            <w:pPr>
              <w:ind w:left="16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48,064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(5,530)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27,392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6,312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1,709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23,147</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620" w:type="dxa"/>
            <w:vAlign w:val="bottom"/>
          </w:tcPr>
          <w:p>
            <w:pPr>
              <w:jc w:val="right"/>
              <w:ind w:right="132"/>
              <w:spacing w:after="0"/>
              <w:rPr>
                <w:sz w:val="20"/>
                <w:szCs w:val="20"/>
                <w:color w:val="auto"/>
              </w:rPr>
            </w:pPr>
            <w:r>
              <w:rPr>
                <w:rFonts w:ascii="Arial" w:cs="Arial" w:eastAsia="Arial" w:hAnsi="Arial"/>
                <w:sz w:val="18"/>
                <w:szCs w:val="18"/>
                <w:color w:val="auto"/>
              </w:rPr>
              <w:t>- 23 -</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2012 Versus Fiscal 2011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w:t>
      </w:r>
    </w:p>
    <w:p>
      <w:pPr>
        <w:spacing w:after="0" w:line="9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Consolidated revenues were $739.0 million in fiscal 2012, an increase of $111.9 million, or 17.8%, from consolidated revenues of $627.1 million in fiscal 2011. The increase in consolidated revenues was a result of increases in Storage Solutions and Oil Gas &amp; Chemical revenues, which increased $79.4 million and $62.5 million, respectively. These increases in revenues were partially offset by lower Electrical Infrastructure and Industrial revenues, which decreased $16.0 million and $14.0 million, respectively.</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Consolidated gross profit increased from $74.9 million in fiscal 2011 to $79.6 million in fiscal 2012. The increase of $4.7 million was primarily due to higher revenues, partially offset by a decrease in gross margins from 11.9% in fiscal 2011 to 10.8% in fiscal 2012.</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Consolidated SG&amp;A expenses were $48.0 million in fiscal 2012 compared to $44.0 million in fiscal 2011. The increase of $4.0 million, or 9.1%, was primarily due to higher operating costs in fiscal 2012 related to increased business volumes, costs related to our investment in high growth areas of the business and related investment in support functions such as safety, marketing, corporate development, systems and training, and a non-routine stock compensation charge, partially offset by lower legal costs. SG&amp;A expense as a percentage of revenue decreased to 6.5% in fiscal 2012 compared to 7.0% in fiscal 2011.</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was $0.8 million in fiscal 2012 and $0.7 million in fiscal 2011.</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Other expense in fiscal 2012 was $0.4 million and related primarily to foreign currency transaction losses. Fiscal 2011 had other income of $0.4 million, which related primarily to foreign currency transaction gains.</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effective tax rates for fiscal 2012 and fiscal 2011 were 43.6% and 38.0%, respectively. The fiscal 2012 effective tax rate was higher than the statutory rate due to cumulative non-deductible expenses totaling $3.1 million related to deductibility limitations applying to certain items that had previously been fully deducted, of which $2.1 million was related to prior fiscal years (fiscal 2009 to fiscal 2011) and $1.0 million was for the current fiscal year. The fiscal 2012 effective tax rate was positively impacted by the release of a valuation allowance on foreign tax credit carryovers of $0.5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Revenues for the Electrical Infrastructure segment decreased from $151.1 million in fiscal 2011 to $135.1 million in fiscal 2012. The decrease of $16.0 million, or 10.6%, was primarily due to the completion of a cogeneration project in the prior year and unfavorable conditions in our east coast operations related to a decline in spending by electric utilities due to warm winter weather, the impact of low natural gas prices, as well as timing delays of various project start dates and contract awards. Gross margins were 12.3% in fiscal 2012 compared to 12.1% in fiscal 2011.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Revenues for the Oil Gas &amp; Chemical segment increased to $205.8 million in fiscal 2012 compared to $143.4 million in fiscal 2011. The increase of $62.4 million, or 43.5%, was due to a significantly higher volume of turnaround work and a higher level of capital construction projects. Gross margins were 9.8% in fiscal 2012 compared to 9.5% in fiscal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Revenues for the Storage Solutions segment increased to $378.2 million in fiscal 2012 compared to $298.7 million in fiscal 2011. The increase of $79.5 million, or 26.6%, was due to higher levels of work both domestically outside of Cushing and in Canada in our core aboveground storage tank business and an increase in domestic tank farm and terminal balance of plant work. Gross margins decreased from 13.0% in fiscal 2011 to 11.2% in fiscal 2012. The lower margins in fiscal 2012 were primarily due to geographic expansion, costs associated with unexpected warranty work, and isolated margin fades.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Revenues for the Industrial segment decreased from $33.9 million in fiscal 2011 to $20.0 million in fiscal 2012. The decrease of $13.9 million, or 41.0%, was largely due to the timing of revenues on a single project in 2011. This project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accounted for $10.8 million of revenues in fiscal 2011 and $2.4 million in fiscal 2012. Gross margins decreased from 12.2% in fiscal 2011 to 2.4% in the current year. Gross margins in fiscal 2012 were negatively impacted by startup costs related to our entry into the bulk material handling and mining and minerals markets.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2011 Versus Fiscal 2010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fiscal 2010 results were affected by the following items: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Non-routine Charges</w:t>
      </w:r>
    </w:p>
    <w:p>
      <w:pPr>
        <w:spacing w:after="0" w:line="9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California Pay Practices class action lawsuits – We recorded a pretax charge of $5.1 million in fiscal 2010 related to this matter. The charge was recorded as an increase to cost of revenues with $4.0 million allocated to the Storage Solutions Segment and $1.1 million to the Oil Gas &amp; Chemical Segment. The charge is more fully discussed in Note 8—Contingencies of the Notes to Consolidated Financial Statements included in Part II, Item 8 of this report. This charge is referred to as the “charge on a legal matter” throughout our discussion of financial results in this Item 7.</w:t>
      </w:r>
    </w:p>
    <w:p>
      <w:pPr>
        <w:spacing w:after="0" w:line="11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Claims receivable write-down – We recorded pretax charges totaling $2.9 million in fiscal 2010 caused by a write-down of the value of claim receivables acquired in the February 2009 acquisition of S.M. Electric Company, Inc. (“SME”). Of the charge, $2.5 million was the result of the recorded value of a claim exceeding the arbitration award. The remaining $0.4 million charge related to a separate claim receivable and was recorded in conjunction with our on-going assessment of the recoverability of the recorded value of the claim receivables. These charges are collectively referred to as the “claims receivable write-off” in our discussion of financial results in this Item 7 and were recorded as an increase to selling, general and administrative expenses. This charge is more fully discussed in Note 4—Customer Contracts of the Notes to Consolidated Financial Statements included in Part II, Item 8 of this report.</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Claims receivable collection costs – Costs incurred to collect the claims acquired in the SME acquisition were higher than estimated and resulted in a pretax charge of $1.9 million in fiscal 2010 and $0.3 million in fiscal 2011. These charges are referred to as the “claims receivable excess collection costs” in our discussion of financial results in this Item 7 and were recorded as an increase to SG&amp;A expense. These charges are more fully discussed in Note 4—Customer Contracts of the Notes to Consolidated Financial Statements included in Part II, Item 8 of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Loss on Projects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At June 30, 2010, estimated costs on a series of projects at a large complex in the Gulf Coast were in excess of previous estimates resulting in a pretax charge of $5.4 million in fiscal 2010. The increased costs were primarily due to difficult working conditions at the site and poorly defined scopes of work, which led to inefficiencies, rework and cost overruns. This charge was recorded as a reduction in gross profit in the Oil Gas &amp; Chemical Segment. The charge is referred to as the loss on the “projects at a Gulf Coast site” throughout our discussion of financial results in this Item 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Consolidated revenues were $627.1 million in fiscal 2011, an increase of $76.3 million, or 13.9%, from consolidated revenues of $550.8 million in fiscal 2010. The increase in consolidated revenues was a result of increases in Electrical Infrastructure, Storage Solutions and Industrial revenues, which had increases of $48.1 million, $27.4 million and $6.3 million, respectively. These increases in revenues were partially offset by lower Oil Gas &amp; Chemical revenues which decreased $5.5 million.</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Consolidated gross profit increased from $52.9 million in fiscal 2010 to $74.9 million in fiscal 2011. The increase of $22.0 million was largely due to the effect of higher revenues combined with higher gross margins, which increased from 9.6% in fiscal 2010 to 11.9% in fiscal 2011.</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Consolidated SG&amp;A expenses were $44.0 million in fiscal 2011 compared to $45.2 million in fiscal 2010. The net decrease of $1.2 million was primarily due to non-routine charges incurred in fiscal 2010 including the claims receivable write-off of $2.9 million and higher claims receivable excess collection costs in fiscal 2010, offset by higher legal and facility costs as well as higher incentive costs in fiscal 2011 resulting from better operating performance. SG&amp;A expense as a percentage of revenue decreased to 7.0% in fiscal 2011 compared to 8.2% in fiscal 2010.</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was $0.7 million in fiscal 2011 and $0.6 million in fiscal 2010.</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income in fiscal 2011 and fiscal 2010 was $0.4 million and $0.3 million, respectively, and related primarily to foreign currency transaction gains.</w:t>
      </w:r>
    </w:p>
    <w:p>
      <w:pPr>
        <w:spacing w:after="0" w:line="19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effective tax rates for fiscal 2011 and fiscal 2010 were 38.0% and 34.2%, respectively. The fiscal 2010 effective tax rate was lower than the statutory rate due to the benefit of state tax credits and a federal tax deduction for qualifying domestic construction activities.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Revenues for the Electrical Infrastructure segment increased to $151.1 million in fiscal 2011 compared to $103.0 million in fiscal 2010. The increase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$48.1 million, or 46.7%, was primarily due to higher maintenance work from utilities in the Northeastern United States. Gross margins were 12.1% in fiscal 2011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to 12.9% a year earlier. Fiscal 2010 had higher direct gross margins primarily due to higher margins on a single project that was completed in fiscal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2010. Despite the absence of this high margin job in fiscal 2011, we were able to maintain our gross margins by improving recovery of overhead costs due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higher business volume in fiscal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Revenues for the Oil Gas &amp; Chemical segment decreased from $148.9 million in fiscal 2010 to $143.4 million in fiscal 2011. The decrease of $5.5 million, or 3.7%, was primarily due to a lower level of capital construction projects. Gross margins increased from 6.1% in fiscal 2010 to 9.5% in fiscal 2011. Fiscal 2010 gross margins were negatively affected by a loss of $5.4 million on projects at a Gulf Coast site and a non-routine charge on a legal matter of $1.1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Storage Solutions revenues increased to $298.7 million in fiscal 2011 compared to $271.3 million in fiscal 2010. The increase of $27.4 million, or 10.1%, was primarily due to an increase in domestic tank farm and balance of plant work. Gross margins increased from 10.2% in fiscal 2010 to 13.0% in fiscal 2011. Fiscal 2010 gross margins were negatively affected by a non-routine charge on a legal matter of $4.0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Industrial segment revenues increased to $33.9 million in fiscal 2011 compared to $27.6 million in fiscal 2010. The increase of $6.3 million, or 22.8%, was primarily due to an increase in revenues related to material handling and thermal vacuum chamber work. Gross margins increased from 9.8% in fiscal 2010 to</w:t>
      </w:r>
    </w:p>
    <w:p>
      <w:pPr>
        <w:ind w:right="40"/>
        <w:spacing w:after="0" w:line="261" w:lineRule="auto"/>
        <w:rPr>
          <w:sz w:val="20"/>
          <w:szCs w:val="20"/>
          <w:color w:val="auto"/>
        </w:rPr>
      </w:pPr>
      <w:r>
        <w:rPr>
          <w:rFonts w:ascii="Arial" w:cs="Arial" w:eastAsia="Arial" w:hAnsi="Arial"/>
          <w:sz w:val="18"/>
          <w:szCs w:val="18"/>
          <w:color w:val="auto"/>
        </w:rPr>
        <w:t>12.2% in fiscal 2011. The improvement in gross margins in fiscal 2011 is primarily due to the favorable effect of the improved recovery of overhead costs caused by a higher business volume in fiscal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EBITDA is a supplemental, non-GAAP financial measure. EBITDA is defined as earnings before interest, taxes, depreciation and amortization. We have presented EBITDA because it is used by the financial community as a method of measuring our performance and of evaluating the market value of companies considered to be in similar businesses. We believe that the line item on our Consolidated Statements of Income entitled “Net income” is the most directly comparable GAAP measure to EBITDA. Since EBITDA is not a measure of performance calculated in accordance with GAAP, it should not be considered in isolation of, or as a substitute for, net earnings as an indicator of operating performance. EBITDA, as we calculate it, may not be comparable to similarly titled measures employed by other companies. In addition, this measure is not necessarily a measure of our ability to fund our cash needs. As EBITDA excludes certain financial information compared with net income, the most directly comparable GAAP financial measure, users of this financial information should consider the type of events and transactions, which are excluded. Our non-GAAP performance measure, EBITDA, has certain material limitations as follows:</w:t>
      </w:r>
    </w:p>
    <w:p>
      <w:pPr>
        <w:spacing w:after="0" w:line="37" w:lineRule="exact"/>
        <w:rPr>
          <w:sz w:val="20"/>
          <w:szCs w:val="20"/>
          <w:color w:val="auto"/>
        </w:rPr>
      </w:pPr>
    </w:p>
    <w:p>
      <w:pPr>
        <w:ind w:left="900" w:right="80" w:hanging="325"/>
        <w:spacing w:after="0" w:line="306"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It does not include interest expense. Because we have borrowed money to finance our operations,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25"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2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3280" w:type="dxa"/>
            <w:vAlign w:val="bottom"/>
            <w:gridSpan w:val="9"/>
          </w:tcPr>
          <w:p>
            <w:pPr>
              <w:jc w:val="center"/>
              <w:ind w:right="80"/>
              <w:spacing w:after="0"/>
              <w:rPr>
                <w:sz w:val="20"/>
                <w:szCs w:val="20"/>
                <w:color w:val="auto"/>
              </w:rPr>
            </w:pPr>
            <w:r>
              <w:rPr>
                <w:rFonts w:ascii="Arial" w:cs="Arial" w:eastAsia="Arial" w:hAnsi="Arial"/>
                <w:sz w:val="14"/>
                <w:szCs w:val="14"/>
                <w:b w:val="1"/>
                <w:bCs w:val="1"/>
                <w:color w:val="auto"/>
                <w:w w:val="88"/>
              </w:rPr>
              <w:t>Reconciliation of EBITDA to Net Income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8"/>
              </w:rPr>
              <w:t>Twelve Months Ended</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120" w:type="dxa"/>
            <w:vAlign w:val="bottom"/>
          </w:tcPr>
          <w:p>
            <w:pPr>
              <w:spacing w:after="0"/>
              <w:rPr>
                <w:sz w:val="11"/>
                <w:szCs w:val="11"/>
                <w:color w:val="auto"/>
              </w:rPr>
            </w:pPr>
          </w:p>
        </w:tc>
        <w:tc>
          <w:tcPr>
            <w:tcW w:w="78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2"/>
              </w:rPr>
              <w:t>June 30,</w:t>
            </w:r>
          </w:p>
        </w:tc>
        <w:tc>
          <w:tcPr>
            <w:tcW w:w="480" w:type="dxa"/>
            <w:vAlign w:val="bottom"/>
          </w:tcPr>
          <w:p>
            <w:pPr>
              <w:spacing w:after="0"/>
              <w:rPr>
                <w:sz w:val="11"/>
                <w:szCs w:val="11"/>
                <w:color w:val="auto"/>
              </w:rPr>
            </w:pPr>
          </w:p>
        </w:tc>
        <w:tc>
          <w:tcPr>
            <w:tcW w:w="112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June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600" w:type="dxa"/>
            <w:vAlign w:val="bottom"/>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110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8"/>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$ 17,188</w:t>
            </w: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$ 18,982</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Interest expense</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814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795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13,302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11,634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11,485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11,067</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2"/>
              </w:rPr>
              <w:t>$ 42,789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$ 42,478</w:t>
            </w:r>
          </w:p>
        </w:tc>
        <w:tc>
          <w:tcPr>
            <w:tcW w:w="5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define liquidity as the ability to pay our liabilities as they become due, fund business operations and meet all monetary contractual obligations. Our primary sources of liquidity in fiscal 2012 were cash on hand at the beginning of the year, capacity under our senior revolving credit facility, and cash generated from operations. Cash on hand at June 30, 2012 totaled $39.7 million and availability under the senior revolving credit facility totaled $106.8 million, resulting in total liquidity of $146.5 million. We expect to fund our operations for the next twelve months through the use of cash generated from operations, existing cash balances and borrowings under our credit facility.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Factors that routinely impact our short-term liquidity and that may impact our long-term liquidity include, but are not limited to:</w:t>
      </w:r>
    </w:p>
    <w:p>
      <w:pPr>
        <w:spacing w:after="0" w:line="90" w:lineRule="exact"/>
        <w:rPr>
          <w:sz w:val="20"/>
          <w:szCs w:val="20"/>
          <w:color w:val="auto"/>
        </w:rPr>
      </w:pPr>
    </w:p>
    <w:p>
      <w:pPr>
        <w:ind w:left="900" w:right="1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50" w:lineRule="exact"/>
        <w:rPr>
          <w:rFonts w:ascii="Arial" w:cs="Arial" w:eastAsia="Arial" w:hAnsi="Arial"/>
          <w:sz w:val="18"/>
          <w:szCs w:val="18"/>
          <w:color w:val="auto"/>
        </w:rPr>
      </w:pPr>
    </w:p>
    <w:p>
      <w:pPr>
        <w:ind w:left="1480" w:right="380" w:hanging="446"/>
        <w:spacing w:after="0" w:line="268"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50" w:lineRule="exact"/>
        <w:rPr>
          <w:rFonts w:ascii="Arial" w:cs="Arial" w:eastAsia="Arial" w:hAnsi="Arial"/>
          <w:sz w:val="18"/>
          <w:szCs w:val="18"/>
          <w:color w:val="auto"/>
        </w:rPr>
      </w:pPr>
    </w:p>
    <w:p>
      <w:pPr>
        <w:ind w:left="1480" w:right="220" w:hanging="446"/>
        <w:spacing w:after="0" w:line="268"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significant retentions or security in the form of letters of credit.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9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Acquisitions of new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Contract disputes or collection issues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Capacity constraints under our senior revolving credit facility and remaining in compliance with all covenants contained in the credit agreement</w:t>
      </w:r>
    </w:p>
    <w:p>
      <w:pPr>
        <w:spacing w:after="0" w:line="19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an effective shelf registration statement on file with the SEC under which we may issue, from time to time, up to $400 million of senior debt securities, subordinated debt securities, common stock, preferred stock and warrants. This shelf gives us additional flexibility, when capital market conditions are favorable, to grow our business, finance acquisitions or to optimize our balance sheet in order to improve or maintain our financial flexibility. We may also elect to issue term debt or increase the amount of our revolving credit facility. We will continue to evaluate our working capital requirements and other factors to maintain sufficient liquidity.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Cash flows provided by operating activities for the twelve months ended June 30, 2012 totaled $2.9 million. Major components of cash flows from operating activities for the year ending June 30, 2012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6760" w:type="dxa"/>
            <w:vAlign w:val="bottom"/>
            <w:gridSpan w:val="2"/>
          </w:tcPr>
          <w:p>
            <w:pPr>
              <w:jc w:val="right"/>
              <w:ind w:right="3412"/>
              <w:spacing w:after="0"/>
              <w:rPr>
                <w:sz w:val="20"/>
                <w:szCs w:val="20"/>
                <w:color w:val="auto"/>
              </w:rPr>
            </w:pPr>
            <w:r>
              <w:rPr>
                <w:rFonts w:ascii="Arial" w:cs="Arial" w:eastAsia="Arial" w:hAnsi="Arial"/>
                <w:sz w:val="18"/>
                <w:szCs w:val="18"/>
                <w:b w:val="1"/>
                <w:bCs w:val="1"/>
                <w:color w:val="auto"/>
                <w:w w:val="89"/>
              </w:rPr>
              <w:t>Net Cash Provided by Operating Activities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6760" w:type="dxa"/>
            <w:vAlign w:val="bottom"/>
            <w:gridSpan w:val="2"/>
          </w:tcPr>
          <w:p>
            <w:pPr>
              <w:jc w:val="right"/>
              <w:ind w:right="4592"/>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398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Non-cash expenses</w:t>
            </w:r>
          </w:p>
        </w:tc>
        <w:tc>
          <w:tcPr>
            <w:tcW w:w="6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w:t>
            </w:r>
          </w:p>
        </w:tc>
        <w:tc>
          <w:tcPr>
            <w:tcW w:w="6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88"/>
              </w:rPr>
              <w:t>Cash effect of changes in operating assets and liabilities</w:t>
            </w:r>
          </w:p>
        </w:tc>
        <w:tc>
          <w:tcPr>
            <w:tcW w:w="6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(28,850)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4"/>
              </w:rPr>
              <w:t>Loss on disposition of property, plant and equipment</w:t>
            </w:r>
          </w:p>
        </w:tc>
        <w:tc>
          <w:tcPr>
            <w:tcW w:w="6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Other</w:t>
            </w:r>
          </w:p>
        </w:tc>
        <w:tc>
          <w:tcPr>
            <w:tcW w:w="6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6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cash effect of significant changes in operating assets and liabilities include the following:</w:t>
      </w:r>
    </w:p>
    <w:p>
      <w:pPr>
        <w:spacing w:after="0" w:line="90" w:lineRule="exact"/>
        <w:rPr>
          <w:sz w:val="20"/>
          <w:szCs w:val="20"/>
          <w:color w:val="auto"/>
        </w:rPr>
      </w:pPr>
    </w:p>
    <w:p>
      <w:pPr>
        <w:ind w:left="900" w:right="60" w:hanging="325"/>
        <w:spacing w:after="0" w:line="298"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net change in the combined balances of costs and estimated earnings in excess of billings on uncompleted contracts and billings on uncompleted contracts in excess of costs and estimated earnings caused an increase in operating assets and liabilities and a decrease to cash of $33.7 million in the twelve months ended June 30, 2012. This change was primarily attributable to our contracts requiring us to fund more work in fiscal 2012 while the fiscal 2011 project portfolio permitted a higher degree of advance billing.</w:t>
      </w:r>
    </w:p>
    <w:p>
      <w:pPr>
        <w:spacing w:after="0" w:line="31" w:lineRule="exact"/>
        <w:rPr>
          <w:rFonts w:ascii="Arial" w:cs="Arial" w:eastAsia="Arial" w:hAnsi="Arial"/>
          <w:sz w:val="16"/>
          <w:szCs w:val="16"/>
          <w:color w:val="auto"/>
        </w:rPr>
      </w:pPr>
    </w:p>
    <w:p>
      <w:pPr>
        <w:ind w:left="900" w:right="8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Accounts receivable increased by $4.6 million. The accounts receivable increase is due to a higher level of business. The rate of cash collections and the overall aging of our accounts receivable remained within historical norms.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Accounts payable increased by $12.9 million. The increase was primarily due to the increase in business activity in the fourth quarter of fiscal 2012.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9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Investing activities used $12.7 million of cash in the twelve months ended June 30, 2012 due to capital expenditures of $13.5 million, partially offset by proceeds from asset dispositions of $0.6 million and an acquisition related adjustment of $0.2 million as discussed in Note 5 – Goodwill and Other Intangible Assets of the Notes to Consolidated Financial Statements included in Part II, Item 8 of this report. Capital expenditures were higher in fiscal 2012 due to investments related to the Company’s growth strategy and included $6.6 million for the purchase of construction equipment, $3.5 million for transportation equipment, $2.4 million for office equipment and software and $1.0 million for land and buildings.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Financing activities used $9.4 million of cash in the twelve months ended June 30, 2012 primarily due to the purchase of 886,503 shares of common stock under the Company’s stock buyback program in the amount of $8.1 million, the $0.6 million payment of fees related to the expansion of our credit facility and $0.5 million related to other treasury share purchases.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Revolving Credit Facility</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On November 7, 2011, the Company entered into the Third Amended and Restated Credit Agreement (the “Credit Agreement”), by and among the Company, JPMorgan Chase Bank, N.A., as Administrative Agent, Lender and Issuing Bank, and the other Lenders party thereto, which replaces the Second Amended and Restated Credit Agreement dated as of November 30, 2006, as previously amended. The Credit Agreement provides for a five-year senior secured revolving credit facility of $125.0 million, which replaces the $75.0 million senior secured revolving credit facility under the prior credit agreement. The Credit Agreement may be used for working capital, issuance of letters of credit and other lawful corporate purposes.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9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required to maintain a Senior Leverage Ratio, as defined in the agreement, of less than 2.50 to 1.00.</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will be required to maintain a Fixed Charge Coverage Ratio, as defined in the agreement, greater than or equal to 1.25 to 1.00.</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$15.0 million per 12-month period.</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Amounts borrowed under the Credit Facility bear interest at LIBOR or an Alternate Base Rate, plus in each case, an additional margin based on the Senior Leverage Ratio. The Credit Agreement includes additional margin ranges on Alternate Base Rate loans between 0.75% and 1.5% and between 1.75% and 2.5% on LIBOR-based loans.</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Credit Agreement also permits us to borrow in Canadian dollars with a sublimit of U.S. $15.0 million. Amounts borrowed in Canadian dollars will bear interest either at the CDOR Rate, plus an additional margin based on the Senior Leverage Ratio ranging from 1.75% to 2.5%, or at the Canadian Prime Rate, plus an additional margin based on the Senior Leverage Ratio ranging from 2.25% to 3.0%.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Unused Revolving Credit Facility Fee is between 0.30% and 0.45% based on the Senior Leverage Ratio.</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Credit Agreement includes a Senior Leverage Ratio covenant which provides that Consolidated Funded Indebtedness may not exceed 2.5 times Consolidated EBITDA, as defined in the Credit Agreement, over the previous four quarters. For the four quarters ended June 30, 2012, Consolidated EBITDA, as defined in the Credit Agreement, was $46.1 million. Accordingly, at June 30, 2012, Consolidated Funded Indebtedness in excess of $115.3 million would have violated the Senior Leverage Ratio covenant.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relevant factors.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February 4, 2009, our Board of Directors authorized a stock buyback program that allows the Company to purchase up to 3,000,000 shares of common stock provided that such purchases do not exceed $25.0 million in any calendar year commencing in calendar year 2009 and continuing through calendar year 2012. In fiscal 2012, the Company purchased 886,503 shares under this program at an average price of $9.17. These shares were returned to treasury. We may purchase an additional 2,113,497 shares through the end of calendar 2012 if such purchases do not exceed $25.0 million for the 2012 calendar year, and if sufficient liquidity exists and the Company believes that it is in the best interest of the stockholders.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to any stock buyback program that may be in effect, the Company may withhold shares of common stock to satisfy the tax withholding obligations upon vesting of an employee’s deferred shares. Matrix withheld 52,992 shares in fiscal 2012 to satisfy these obligations. These shares were returned to the Company’s pool of treasury shares.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has 2,141,990 treasury shares as of June 30, 2012 and intends to utilize these treasury shares solely in connection with equity awards under the Company’s stock incentive plans.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2012, the following commitments and off-balance sheet arrangements were in place to support our ordinary course obligations: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88"/>
              </w:rPr>
              <w:t>Commitments by Expiration Period</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Less than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2"/>
              </w:rPr>
              <w:t>More than</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80"/>
              <w:spacing w:after="0" w:line="149" w:lineRule="exact"/>
              <w:rPr>
                <w:sz w:val="20"/>
                <w:szCs w:val="20"/>
                <w:color w:val="auto"/>
              </w:rPr>
            </w:pPr>
            <w:r>
              <w:rPr>
                <w:rFonts w:ascii="Arial" w:cs="Arial" w:eastAsia="Arial" w:hAnsi="Arial"/>
                <w:sz w:val="14"/>
                <w:szCs w:val="14"/>
                <w:b w:val="1"/>
                <w:bCs w:val="1"/>
                <w:color w:val="auto"/>
              </w:rPr>
              <w:t>1</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5</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80"/>
              <w:spacing w:after="0"/>
              <w:rPr>
                <w:sz w:val="20"/>
                <w:szCs w:val="20"/>
                <w:color w:val="auto"/>
              </w:rPr>
            </w:pPr>
            <w:r>
              <w:rPr>
                <w:rFonts w:ascii="Arial" w:cs="Arial" w:eastAsia="Arial" w:hAnsi="Arial"/>
                <w:sz w:val="14"/>
                <w:szCs w:val="14"/>
                <w:b w:val="1"/>
                <w:bCs w:val="1"/>
                <w:color w:val="auto"/>
              </w:rPr>
              <w:t>Year</w:t>
            </w:r>
          </w:p>
        </w:tc>
        <w:tc>
          <w:tcPr>
            <w:tcW w:w="5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1–3 Years</w:t>
            </w:r>
          </w:p>
        </w:tc>
        <w:tc>
          <w:tcPr>
            <w:tcW w:w="30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4"/>
                <w:szCs w:val="14"/>
                <w:color w:val="auto"/>
              </w:rPr>
            </w:pPr>
          </w:p>
        </w:tc>
        <w:tc>
          <w:tcPr>
            <w:tcW w:w="520" w:type="dxa"/>
            <w:vAlign w:val="bottom"/>
          </w:tcPr>
          <w:p>
            <w:pPr>
              <w:jc w:val="center"/>
              <w:ind w:right="40"/>
              <w:spacing w:after="0"/>
              <w:rPr>
                <w:sz w:val="20"/>
                <w:szCs w:val="20"/>
                <w:color w:val="auto"/>
              </w:rPr>
            </w:pPr>
            <w:r>
              <w:rPr>
                <w:rFonts w:ascii="Arial" w:cs="Arial" w:eastAsia="Arial" w:hAnsi="Arial"/>
                <w:sz w:val="14"/>
                <w:szCs w:val="14"/>
                <w:b w:val="1"/>
                <w:bCs w:val="1"/>
                <w:color w:val="auto"/>
                <w:w w:val="83"/>
              </w:rPr>
              <w:t>Years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center"/>
              <w:ind w:right="14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Letters of credit (1)</w:t>
            </w:r>
          </w:p>
        </w:tc>
        <w:tc>
          <w:tcPr>
            <w:tcW w:w="258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726</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7,548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Surety bonds</w:t>
            </w:r>
          </w:p>
        </w:tc>
        <w:tc>
          <w:tcPr>
            <w:tcW w:w="2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48,345</w:t>
            </w: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48,358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8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48,570</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738</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7,549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56,857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347"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All letters of credit issued under our Credit Facility are in support of our workers’ compensation insurance programs or certain construction contracts. The letters of credit that support our workers’ compensation programs are expected to renew annually through the term of the Credit Facility; therefore, they are reported in the same period that the Credit Facility expires. The letters of credit that support construction contracts will expire when the related work is completed and the warranty period has passed; therefore, these letters of credit are reported in the period that we expect the warranty period to end. Contractual obligations at June 30, 2012 are summarized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2"/>
              </w:rPr>
              <w:t>Contractual Obligations by Expiration Period</w:t>
            </w: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Less than 1</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4"/>
              </w:rPr>
              <w:t>More than 5</w:t>
            </w: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36"/>
              <w:spacing w:after="0"/>
              <w:rPr>
                <w:sz w:val="20"/>
                <w:szCs w:val="20"/>
                <w:color w:val="auto"/>
              </w:rPr>
            </w:pPr>
            <w:r>
              <w:rPr>
                <w:rFonts w:ascii="Arial" w:cs="Arial" w:eastAsia="Arial" w:hAnsi="Arial"/>
                <w:sz w:val="14"/>
                <w:szCs w:val="14"/>
                <w:b w:val="1"/>
                <w:bCs w:val="1"/>
                <w:color w:val="auto"/>
                <w:w w:val="98"/>
              </w:rPr>
              <w:t>Year</w:t>
            </w:r>
          </w:p>
        </w:tc>
        <w:tc>
          <w:tcPr>
            <w:tcW w:w="46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1-3 Years</w:t>
            </w:r>
          </w:p>
        </w:tc>
        <w:tc>
          <w:tcPr>
            <w:tcW w:w="28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4"/>
                <w:szCs w:val="14"/>
                <w:b w:val="1"/>
                <w:bCs w:val="1"/>
                <w:color w:val="auto"/>
              </w:rPr>
              <w:t>Years</w:t>
            </w:r>
          </w:p>
        </w:tc>
        <w:tc>
          <w:tcPr>
            <w:tcW w:w="46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30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2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$ 6,050</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$ 1,190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Acquisition payable (1)</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400</w:t>
            </w:r>
          </w:p>
        </w:tc>
        <w:tc>
          <w:tcPr>
            <w:tcW w:w="46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Purchase obligations (2)</w:t>
            </w:r>
          </w:p>
        </w:tc>
        <w:tc>
          <w:tcPr>
            <w:tcW w:w="2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30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12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$ 6,050</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$ 1,190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11,787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0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jc w:val="both"/>
        <w:ind w:left="460" w:right="280" w:hanging="452"/>
        <w:spacing w:after="0" w:line="253"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acquisition of EDC, Inc. included an asset purchase agreement that requires an additional earnout payment as soon as practical after a measurement period if certain financial targets are achieved. For additional information, see Note 3—Acquisitions of the Notes to Consolidated Financial Statements included in Part II, Item 8.</w:t>
      </w:r>
    </w:p>
    <w:p>
      <w:pPr>
        <w:ind w:left="460" w:right="40" w:hanging="452"/>
        <w:spacing w:after="0" w:line="302"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enter into purchase commitments in the ordinary course of business to satisfy our requirements for materials and supplies under contracts that we have been awarded. The commitments, which are generally recoverable from our clients, are short-term and are generally settled in less than one year. We do not enter into long-term purchase obligations on a speculative basis for fixed or minimum quantities.</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interest rate risk results primarily from our variable rate indebtedness under our senior credit facility, which is influenced by movements in short-term rates. Borrowings under our $125.0 million revolving credit facility are based on an Alternate Base Rate, LIBOR, CDOR or Canadian Prime Rate as elected by the Company plus an additional margin based on our Senior Leverage Ratio. Although there were no amounts outstanding under the facility at June 30, 2012, we sometimes borrow against our revolving credit line to fund short-term working capital needs, and we may borrow in the future.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instruments with interest rate risk at June 30, 2012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Maturity by Fiscal Year</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Fair Value as</w:t>
            </w:r>
          </w:p>
        </w:tc>
        <w:tc>
          <w:tcPr>
            <w:tcW w:w="0" w:type="dxa"/>
            <w:vAlign w:val="bottom"/>
          </w:tcPr>
          <w:p>
            <w:pPr>
              <w:spacing w:after="0"/>
              <w:rPr>
                <w:sz w:val="1"/>
                <w:szCs w:val="1"/>
                <w:color w:val="auto"/>
              </w:rPr>
            </w:pPr>
          </w:p>
        </w:tc>
      </w:tr>
      <w:tr>
        <w:trPr>
          <w:trHeight w:val="67"/>
        </w:trPr>
        <w:tc>
          <w:tcPr>
            <w:tcW w:w="660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gridSpan w:val="2"/>
            <w:vMerge w:val="continue"/>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of June 30,</w:t>
            </w:r>
          </w:p>
        </w:tc>
        <w:tc>
          <w:tcPr>
            <w:tcW w:w="0" w:type="dxa"/>
            <w:vAlign w:val="bottom"/>
          </w:tcPr>
          <w:p>
            <w:pPr>
              <w:spacing w:after="0"/>
              <w:rPr>
                <w:sz w:val="1"/>
                <w:szCs w:val="1"/>
                <w:color w:val="auto"/>
              </w:rPr>
            </w:pPr>
          </w:p>
        </w:tc>
      </w:tr>
      <w:tr>
        <w:trPr>
          <w:trHeight w:val="62"/>
        </w:trPr>
        <w:tc>
          <w:tcPr>
            <w:tcW w:w="6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6600" w:type="dxa"/>
            <w:vAlign w:val="bottom"/>
          </w:tcPr>
          <w:p>
            <w:pPr>
              <w:spacing w:after="0"/>
              <w:rPr>
                <w:sz w:val="14"/>
                <w:szCs w:val="14"/>
                <w:color w:val="auto"/>
              </w:rPr>
            </w:pPr>
          </w:p>
        </w:tc>
        <w:tc>
          <w:tcPr>
            <w:tcW w:w="4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6"/>
              </w:rPr>
              <w:t>2013</w:t>
            </w: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00" w:type="dxa"/>
            <w:vAlign w:val="bottom"/>
          </w:tcPr>
          <w:p>
            <w:pPr>
              <w:spacing w:after="0"/>
              <w:rPr>
                <w:sz w:val="20"/>
                <w:szCs w:val="20"/>
                <w:color w:val="auto"/>
              </w:rPr>
            </w:pPr>
            <w:r>
              <w:rPr>
                <w:rFonts w:ascii="Arial" w:cs="Arial" w:eastAsia="Arial" w:hAnsi="Arial"/>
                <w:sz w:val="18"/>
                <w:szCs w:val="18"/>
                <w:color w:val="auto"/>
              </w:rPr>
              <w:t>Variable rate debt (1)</w:t>
            </w:r>
          </w:p>
        </w:tc>
        <w:tc>
          <w:tcPr>
            <w:tcW w:w="480" w:type="dxa"/>
            <w:vAlign w:val="bottom"/>
          </w:tcPr>
          <w:p>
            <w:pPr>
              <w:jc w:val="right"/>
              <w:ind w:right="122"/>
              <w:spacing w:after="0"/>
              <w:rPr>
                <w:sz w:val="20"/>
                <w:szCs w:val="20"/>
                <w:color w:val="auto"/>
              </w:rPr>
            </w:pPr>
            <w:r>
              <w:rPr>
                <w:rFonts w:ascii="Arial" w:cs="Arial" w:eastAsia="Arial" w:hAnsi="Arial"/>
                <w:sz w:val="18"/>
                <w:szCs w:val="18"/>
                <w:color w:val="auto"/>
                <w:w w:val="92"/>
              </w:rPr>
              <w:t>$—</w:t>
            </w:r>
          </w:p>
        </w:tc>
        <w:tc>
          <w:tcPr>
            <w:tcW w:w="58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47"/>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42"/>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42"/>
              <w:spacing w:after="0"/>
              <w:rPr>
                <w:sz w:val="20"/>
                <w:szCs w:val="20"/>
                <w:color w:val="auto"/>
              </w:rPr>
            </w:pPr>
            <w:r>
              <w:rPr>
                <w:rFonts w:ascii="Arial" w:cs="Arial" w:eastAsia="Arial" w:hAnsi="Arial"/>
                <w:sz w:val="18"/>
                <w:szCs w:val="18"/>
                <w:color w:val="auto"/>
              </w:rPr>
              <w:t>$—</w:t>
            </w:r>
          </w:p>
        </w:tc>
        <w:tc>
          <w:tcPr>
            <w:tcW w:w="540" w:type="dxa"/>
            <w:vAlign w:val="bottom"/>
          </w:tcPr>
          <w:p>
            <w:pPr>
              <w:ind w:left="1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460" w:right="20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were no outstanding borrowings under our senior credit facility at June 30, 2012. At the Company’s option, amounts borrowed under the revolving credit facility in U.S. dollars will bear interest at LIBOR or an Alternate Base</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91" w:lineRule="auto"/>
        <w:rPr>
          <w:sz w:val="20"/>
          <w:szCs w:val="20"/>
          <w:color w:val="auto"/>
        </w:rPr>
      </w:pPr>
      <w:r>
        <w:rPr>
          <w:rFonts w:ascii="Arial" w:cs="Arial" w:eastAsia="Arial" w:hAnsi="Arial"/>
          <w:sz w:val="16"/>
          <w:szCs w:val="16"/>
          <w:color w:val="auto"/>
        </w:rPr>
        <w:t>Rate, plus in each case, an additional margin based on the Senior Leverage Ratio. We may also borrow up to $15.0 million in Canadian dollars at the CDOR rate or the Canadian Prime Rate plus an additional margin based on the Senior Leverage Ratio. The Alternate Base Rate is the greater of the Prime Rate, the Federal Funds Effective Rate plus 0.5% or LIBOR plus 1.00%. The additional margin ranges from 0.75% to 1.5% on Alternate Base Rate borrowings, from 1.75% to 2.5% on LIBOR and CDOR-based borrowings and from 2.25% to 3.0% on Canadian Prime Rate borrowings. The Senior Leverage Ratio at June 30, 2012 placed the Company in the lowest interest rate tier, resulting in LIBOR, CDOR, Canadian Prime Rate and Alternate Base Rate margins of 1.75%, 1.75%, 2.25% and 0.75%, respectively.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instruments with interest rate risk at June 30, 2011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Maturity by Fiscal Year</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Fair Value as</w:t>
            </w:r>
          </w:p>
        </w:tc>
        <w:tc>
          <w:tcPr>
            <w:tcW w:w="0" w:type="dxa"/>
            <w:vAlign w:val="bottom"/>
          </w:tcPr>
          <w:p>
            <w:pPr>
              <w:spacing w:after="0"/>
              <w:rPr>
                <w:sz w:val="1"/>
                <w:szCs w:val="1"/>
                <w:color w:val="auto"/>
              </w:rPr>
            </w:pPr>
          </w:p>
        </w:tc>
      </w:tr>
      <w:tr>
        <w:trPr>
          <w:trHeight w:val="67"/>
        </w:trPr>
        <w:tc>
          <w:tcPr>
            <w:tcW w:w="660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gridSpan w:val="2"/>
            <w:vMerge w:val="continue"/>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of June 30,</w:t>
            </w:r>
          </w:p>
        </w:tc>
        <w:tc>
          <w:tcPr>
            <w:tcW w:w="0" w:type="dxa"/>
            <w:vAlign w:val="bottom"/>
          </w:tcPr>
          <w:p>
            <w:pPr>
              <w:spacing w:after="0"/>
              <w:rPr>
                <w:sz w:val="1"/>
                <w:szCs w:val="1"/>
                <w:color w:val="auto"/>
              </w:rPr>
            </w:pPr>
          </w:p>
        </w:tc>
      </w:tr>
      <w:tr>
        <w:trPr>
          <w:trHeight w:val="62"/>
        </w:trPr>
        <w:tc>
          <w:tcPr>
            <w:tcW w:w="6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6600" w:type="dxa"/>
            <w:vAlign w:val="bottom"/>
          </w:tcPr>
          <w:p>
            <w:pPr>
              <w:spacing w:after="0"/>
              <w:rPr>
                <w:sz w:val="14"/>
                <w:szCs w:val="14"/>
                <w:color w:val="auto"/>
              </w:rPr>
            </w:pPr>
          </w:p>
        </w:tc>
        <w:tc>
          <w:tcPr>
            <w:tcW w:w="4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6"/>
              </w:rPr>
              <w:t>2012</w:t>
            </w: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2013</w:t>
            </w:r>
          </w:p>
        </w:tc>
        <w:tc>
          <w:tcPr>
            <w:tcW w:w="76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00" w:type="dxa"/>
            <w:vAlign w:val="bottom"/>
          </w:tcPr>
          <w:p>
            <w:pPr>
              <w:spacing w:after="0"/>
              <w:rPr>
                <w:sz w:val="20"/>
                <w:szCs w:val="20"/>
                <w:color w:val="auto"/>
              </w:rPr>
            </w:pPr>
            <w:r>
              <w:rPr>
                <w:rFonts w:ascii="Arial" w:cs="Arial" w:eastAsia="Arial" w:hAnsi="Arial"/>
                <w:sz w:val="18"/>
                <w:szCs w:val="18"/>
                <w:color w:val="auto"/>
              </w:rPr>
              <w:t>Variable rate debt</w:t>
            </w:r>
          </w:p>
        </w:tc>
        <w:tc>
          <w:tcPr>
            <w:tcW w:w="480" w:type="dxa"/>
            <w:vAlign w:val="bottom"/>
          </w:tcPr>
          <w:p>
            <w:pPr>
              <w:jc w:val="right"/>
              <w:ind w:right="122"/>
              <w:spacing w:after="0"/>
              <w:rPr>
                <w:sz w:val="20"/>
                <w:szCs w:val="20"/>
                <w:color w:val="auto"/>
              </w:rPr>
            </w:pPr>
            <w:r>
              <w:rPr>
                <w:rFonts w:ascii="Arial" w:cs="Arial" w:eastAsia="Arial" w:hAnsi="Arial"/>
                <w:sz w:val="18"/>
                <w:szCs w:val="18"/>
                <w:color w:val="auto"/>
                <w:w w:val="92"/>
              </w:rPr>
              <w:t>$—</w:t>
            </w:r>
          </w:p>
        </w:tc>
        <w:tc>
          <w:tcPr>
            <w:tcW w:w="58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47"/>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42"/>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42"/>
              <w:spacing w:after="0"/>
              <w:rPr>
                <w:sz w:val="20"/>
                <w:szCs w:val="20"/>
                <w:color w:val="auto"/>
              </w:rPr>
            </w:pPr>
            <w:r>
              <w:rPr>
                <w:rFonts w:ascii="Arial" w:cs="Arial" w:eastAsia="Arial" w:hAnsi="Arial"/>
                <w:sz w:val="18"/>
                <w:szCs w:val="18"/>
                <w:color w:val="auto"/>
              </w:rPr>
              <w:t>$—</w:t>
            </w:r>
          </w:p>
        </w:tc>
        <w:tc>
          <w:tcPr>
            <w:tcW w:w="540" w:type="dxa"/>
            <w:vAlign w:val="bottom"/>
          </w:tcPr>
          <w:p>
            <w:pPr>
              <w:ind w:left="1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60" w:hanging="452"/>
        <w:spacing w:after="0" w:line="294"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There were no outstanding borrowings under our senior credit facility at June 30, 2011. At the Company’s option, amounts borrowed under the revolving credit facility will bear interest at LIBOR or an Alternate Base Rate, plus in each case, an additional margin based on the Senior Leverage Ratio. The Alternate Base Rate is the greater of the Prime Rate, the Federal Funds Effective Rate plus 0.5% or LIBOR plus 1.00%. The additional margin ranges from 1.00% to 1.75% on Alternate Base Rate borrowings and from 2.00% to 2.75% on LIBOR-based borrowings. The Senior Leverage Ratio at June 30, 2011 placed the Company in the lowest interest rate tier, resulting in LIBOR and Alternate Base Rate margins of 2.00% and 1.00%,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Matrix Service Company has subsidiaries with operations in Canada with the Canadian dollar as their functional currency. Historically, movements in the foreign currency exchange rate have not significantly impacted results. However, growth in our Canadian operations or expansions to other countries and fluctuations in currency exchange rates could impact the Company’s financial results in the future. Management has not entered into derivative instruments to hedge foreign currency risk, but periodically evaluates the materiality of our foreign currency exposure. To mitigate any risk, we do on occasion borrow against our credit facility to periodically settle all account balances that create foreign currency exchange rate risk. A 10% unfavorable change in the Canadian dollar against the U. S. dollar would not have had a material impact on the financial results of the Company for the fiscal year ended June 30, 2012.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has no direct commodity exposure, but we do have exposure to raw materials derived from certain commodities including steel plate and steel pipe, which are our primary raw materials. Supplies of these materials are available throughout the United States and worldwide. We anticipate that adequate amounts of these materials will be available in the foreseeable future. However, the price, quantity, and delivery schedules of these materials could change rapidly due to various factors, including producer capacity, the level of foreign imports, worldwide demand, the imposition or removal of tariffs on imported steel and other market conditions. We mitigate these risks primarily by procuring raw materials upon contract execution to ensure that our purchase price approximates the costs included in the project estimate.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740" w:type="dxa"/>
            <w:vAlign w:val="bottom"/>
            <w:gridSpan w:val="11"/>
          </w:tcPr>
          <w:p>
            <w:pPr>
              <w:ind w:left="160"/>
              <w:spacing w:after="0"/>
              <w:rPr>
                <w:sz w:val="20"/>
                <w:szCs w:val="20"/>
                <w:color w:val="auto"/>
              </w:rPr>
            </w:pPr>
            <w:r>
              <w:rPr>
                <w:rFonts w:ascii="Arial" w:cs="Arial" w:eastAsia="Arial" w:hAnsi="Arial"/>
                <w:sz w:val="18"/>
                <w:szCs w:val="18"/>
                <w:b w:val="1"/>
                <w:bCs w:val="1"/>
                <w:color w:val="auto"/>
              </w:rPr>
              <w:t>Financial Statements and Supplementary Data</w:t>
            </w:r>
          </w:p>
        </w:tc>
        <w:tc>
          <w:tcPr>
            <w:tcW w:w="700" w:type="dxa"/>
            <w:vAlign w:val="bottom"/>
          </w:tcPr>
          <w:p>
            <w:pPr>
              <w:spacing w:after="0"/>
              <w:rPr>
                <w:sz w:val="19"/>
                <w:szCs w:val="19"/>
                <w:color w:val="auto"/>
              </w:rPr>
            </w:pPr>
          </w:p>
        </w:tc>
      </w:tr>
      <w:tr>
        <w:trPr>
          <w:trHeight w:val="419"/>
        </w:trPr>
        <w:tc>
          <w:tcPr>
            <w:tcW w:w="10620" w:type="dxa"/>
            <w:vAlign w:val="bottom"/>
            <w:gridSpan w:val="13"/>
          </w:tcPr>
          <w:p>
            <w:pPr>
              <w:spacing w:after="0"/>
              <w:rPr>
                <w:sz w:val="20"/>
                <w:szCs w:val="20"/>
                <w:color w:val="auto"/>
              </w:rPr>
            </w:pPr>
            <w:r>
              <w:rPr>
                <w:rFonts w:ascii="Arial" w:cs="Arial" w:eastAsia="Arial" w:hAnsi="Arial"/>
                <w:sz w:val="18"/>
                <w:szCs w:val="18"/>
                <w:color w:val="auto"/>
              </w:rPr>
              <w:t>Financial Statements of the Company</w:t>
            </w:r>
          </w:p>
        </w:tc>
        <w:tc>
          <w:tcPr>
            <w:tcW w:w="70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10180" w:type="dxa"/>
            <w:vAlign w:val="bottom"/>
            <w:gridSpan w:val="1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Management’s Report on Internal Control Over Financial Reporting</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Reports of Independent Registered Public Accounting Firm</w:t>
              </w:r>
            </w:hyperlink>
          </w:p>
        </w:tc>
        <w:tc>
          <w:tcPr>
            <w:tcW w:w="5400" w:type="dxa"/>
            <w:vAlign w:val="bottom"/>
            <w:gridSpan w:val="6"/>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40" w:type="dxa"/>
            <w:vAlign w:val="bottom"/>
            <w:gridSpan w:val="1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Consolidated Statements of Income for the Years Ended June 30, 2012, June 30, 2011, and June 30, 2010</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40" w:type="dxa"/>
            <w:vAlign w:val="bottom"/>
            <w:gridSpan w:val="11"/>
          </w:tcPr>
          <w:p>
            <w:pPr>
              <w:spacing w:after="0"/>
              <w:rPr>
                <w:rFonts w:ascii="Arial" w:cs="Arial" w:eastAsia="Arial" w:hAnsi="Arial"/>
                <w:sz w:val="18"/>
                <w:szCs w:val="18"/>
                <w:color w:val="0000EE"/>
                <w:w w:val="98"/>
              </w:rPr>
            </w:pPr>
            <w:hyperlink w:anchor="page38">
              <w:r>
                <w:rPr>
                  <w:rFonts w:ascii="Arial" w:cs="Arial" w:eastAsia="Arial" w:hAnsi="Arial"/>
                  <w:sz w:val="18"/>
                  <w:szCs w:val="18"/>
                  <w:color w:val="0000EE"/>
                  <w:w w:val="98"/>
                </w:rPr>
                <w:t>Consolidated Statements of Comprehensive Income for the Years Ended June 30, 2012, June 30, 2011, and June 30, 2010</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560" w:type="dxa"/>
            <w:vAlign w:val="bottom"/>
            <w:tcBorders>
              <w:top w:val="single" w:sz="8" w:color="0000EE"/>
            </w:tcBorders>
            <w:gridSpan w:val="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Consolidated Balance Sheets as of June 30, 2012 and June 30, 2011</w:t>
              </w:r>
            </w:hyperlink>
          </w:p>
        </w:tc>
        <w:tc>
          <w:tcPr>
            <w:tcW w:w="1180" w:type="dxa"/>
            <w:vAlign w:val="bottom"/>
            <w:gridSpan w:val="2"/>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40" w:type="dxa"/>
            <w:vAlign w:val="bottom"/>
            <w:gridSpan w:val="11"/>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Consolidated Statements of Cash Flows for the Years Ended June 30, 2012, June 30, 2011, and June 30, 2010</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60" w:type="dxa"/>
            <w:vAlign w:val="bottom"/>
            <w:gridSpan w:val="5"/>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2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43">
              <w:r>
                <w:rPr>
                  <w:rFonts w:ascii="Arial" w:cs="Arial" w:eastAsia="Arial" w:hAnsi="Arial"/>
                  <w:sz w:val="18"/>
                  <w:szCs w:val="18"/>
                  <w:color w:val="0000EE"/>
                  <w:w w:val="87"/>
                </w:rPr>
                <w:t>Consolidated Statements of Changes in Stockholders’ Equity for the Years Ended June 30, 2012, June 30, 2011, and June 30, 2010</w:t>
              </w:r>
            </w:hyperlink>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40" w:type="dxa"/>
            <w:vAlign w:val="bottom"/>
            <w:gridSpan w:val="11"/>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Notes to Consolidated Financial Statements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880" w:type="dxa"/>
            <w:vAlign w:val="bottom"/>
            <w:gridSpan w:val="2"/>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8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4"/>
        </w:trPr>
        <w:tc>
          <w:tcPr>
            <w:tcW w:w="10620" w:type="dxa"/>
            <w:vAlign w:val="bottom"/>
            <w:gridSpan w:val="13"/>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Quarterly Financial Data (Unaudited)</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2640" w:type="dxa"/>
            <w:vAlign w:val="bottom"/>
            <w:gridSpan w:val="3"/>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14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4"/>
        </w:trPr>
        <w:tc>
          <w:tcPr>
            <w:tcW w:w="34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Schedule II—Valuation and Qualifying Accounts</w:t>
              </w:r>
            </w:hyperlink>
          </w:p>
        </w:tc>
        <w:tc>
          <w:tcPr>
            <w:tcW w:w="7140" w:type="dxa"/>
            <w:vAlign w:val="bottom"/>
            <w:gridSpan w:val="9"/>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financial statement schedule is filed as a part of this report under Schedule II – Valuation and Qualifying Accounts for the three fiscal years ended June 30, 2012, June 30, 2011 and June 30, 2010 immediately following Quarterly Financial Data (Unaudited). All other schedules are omitted because they are not applicable or the required information is shown in the financial statements, or notes thereto, included herein.</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320"/>
          </w:cols>
          <w:pgMar w:left="24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management of Matrix Service Company (the “Company”) and its wholly-owned subsidiaries are responsible for establishing and maintaining adequate internal control over financial reporting. The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Internal control over financial reporting includes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internal control systems, no matter how well designed, have inherent limitations and cannot provide absolute assurance that all objectives will be met. Internal control over financial reporting is a process that involves diligence and is subject to lapses in judgment and human error. Internal control over financial reporting can also be circumvented by collusion or management override of controls. Because of these limitations, there is a risk that material misstatements may not be prevented or detected on a timely basis.</w:t>
      </w:r>
    </w:p>
    <w:p>
      <w:pPr>
        <w:spacing w:after="0" w:line="14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June 30, 2012. In making this assessment, the Company’s management used the criteria set forth by the Committee of Sponsoring Organizations of the Treadway Commission (“COSO”) in Internal Control-Integrated Framework.</w:t>
      </w:r>
    </w:p>
    <w:p>
      <w:pPr>
        <w:spacing w:after="0" w:line="14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Management’s assessment included an evaluation of such elements as the design and operating effectiveness of key financial reporting controls, process documentation, accounting policies, overall control environment and information systems control environment. Based on this assessment, the Company’s management has concluded that the Company’s internal control over financial reporting as of June 30, 2012 was effective.</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Deloitte &amp; Touche LLP, an independent registered public accounting firm, has issued an attestation report on the effectiveness of the Company’s internal control over financial reporting as of June 30, 2012. Deloitte &amp; Touche LLP’s report on the Company’s internal control over financial reporting is included herein.</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John R. Hewitt</w:t>
            </w:r>
          </w:p>
        </w:tc>
        <w:tc>
          <w:tcPr>
            <w:tcW w:w="2280" w:type="dxa"/>
            <w:vAlign w:val="bottom"/>
          </w:tcPr>
          <w:p>
            <w:pPr>
              <w:spacing w:after="0"/>
              <w:rPr>
                <w:sz w:val="19"/>
                <w:szCs w:val="19"/>
                <w:color w:val="auto"/>
              </w:rPr>
            </w:pPr>
          </w:p>
        </w:tc>
        <w:tc>
          <w:tcPr>
            <w:tcW w:w="4680" w:type="dxa"/>
            <w:vAlign w:val="bottom"/>
            <w:tcBorders>
              <w:bottom w:val="single" w:sz="8" w:color="auto"/>
            </w:tcBorders>
          </w:tcPr>
          <w:p>
            <w:pPr>
              <w:jc w:val="center"/>
              <w:ind w:left="46"/>
              <w:spacing w:after="0"/>
              <w:rPr>
                <w:sz w:val="20"/>
                <w:szCs w:val="20"/>
                <w:color w:val="auto"/>
              </w:rPr>
            </w:pPr>
            <w:r>
              <w:rPr>
                <w:rFonts w:ascii="Arial" w:cs="Arial" w:eastAsia="Arial" w:hAnsi="Arial"/>
                <w:sz w:val="18"/>
                <w:szCs w:val="18"/>
                <w:color w:val="auto"/>
                <w:w w:val="88"/>
              </w:rPr>
              <w:t>/S/ Kevin S. Cavanah</w:t>
            </w:r>
          </w:p>
        </w:tc>
      </w:tr>
      <w:tr>
        <w:trPr>
          <w:trHeight w:val="130"/>
        </w:trPr>
        <w:tc>
          <w:tcPr>
            <w:tcW w:w="20" w:type="dxa"/>
            <w:vAlign w:val="bottom"/>
          </w:tcPr>
          <w:p>
            <w:pPr>
              <w:spacing w:after="0"/>
              <w:rPr>
                <w:sz w:val="11"/>
                <w:szCs w:val="11"/>
                <w:color w:val="auto"/>
              </w:rPr>
            </w:pPr>
          </w:p>
        </w:tc>
        <w:tc>
          <w:tcPr>
            <w:tcW w:w="444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0"/>
              </w:rPr>
              <w:t>John R. Hewitt</w:t>
            </w:r>
          </w:p>
        </w:tc>
        <w:tc>
          <w:tcPr>
            <w:tcW w:w="2280" w:type="dxa"/>
            <w:vAlign w:val="bottom"/>
          </w:tcPr>
          <w:p>
            <w:pPr>
              <w:spacing w:after="0"/>
              <w:rPr>
                <w:sz w:val="11"/>
                <w:szCs w:val="11"/>
                <w:color w:val="auto"/>
              </w:rPr>
            </w:pPr>
          </w:p>
        </w:tc>
        <w:tc>
          <w:tcPr>
            <w:tcW w:w="4680" w:type="dxa"/>
            <w:vAlign w:val="bottom"/>
          </w:tcPr>
          <w:p>
            <w:pPr>
              <w:jc w:val="center"/>
              <w:ind w:left="46"/>
              <w:spacing w:after="0" w:line="131" w:lineRule="exact"/>
              <w:rPr>
                <w:sz w:val="20"/>
                <w:szCs w:val="20"/>
                <w:color w:val="auto"/>
              </w:rPr>
            </w:pPr>
            <w:r>
              <w:rPr>
                <w:rFonts w:ascii="Arial" w:cs="Arial" w:eastAsia="Arial" w:hAnsi="Arial"/>
                <w:sz w:val="14"/>
                <w:szCs w:val="14"/>
                <w:b w:val="1"/>
                <w:bCs w:val="1"/>
                <w:color w:val="auto"/>
                <w:w w:val="88"/>
              </w:rPr>
              <w:t>Kevin S. Cavanah</w:t>
            </w:r>
          </w:p>
        </w:tc>
      </w:tr>
      <w:tr>
        <w:trPr>
          <w:trHeight w:val="174"/>
        </w:trPr>
        <w:tc>
          <w:tcPr>
            <w:tcW w:w="20" w:type="dxa"/>
            <w:vAlign w:val="bottom"/>
          </w:tcPr>
          <w:p>
            <w:pPr>
              <w:spacing w:after="0"/>
              <w:rPr>
                <w:sz w:val="15"/>
                <w:szCs w:val="15"/>
                <w:color w:val="auto"/>
              </w:rPr>
            </w:pPr>
          </w:p>
        </w:tc>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88"/>
              </w:rPr>
              <w:t>President and Chief Executive Officer</w:t>
            </w:r>
          </w:p>
        </w:tc>
        <w:tc>
          <w:tcPr>
            <w:tcW w:w="2280" w:type="dxa"/>
            <w:vAlign w:val="bottom"/>
          </w:tcPr>
          <w:p>
            <w:pPr>
              <w:spacing w:after="0"/>
              <w:rPr>
                <w:sz w:val="15"/>
                <w:szCs w:val="15"/>
                <w:color w:val="auto"/>
              </w:rPr>
            </w:pPr>
          </w:p>
        </w:tc>
        <w:tc>
          <w:tcPr>
            <w:tcW w:w="4680" w:type="dxa"/>
            <w:vAlign w:val="bottom"/>
          </w:tcPr>
          <w:p>
            <w:pPr>
              <w:jc w:val="center"/>
              <w:ind w:left="46"/>
              <w:spacing w:after="0"/>
              <w:rPr>
                <w:sz w:val="20"/>
                <w:szCs w:val="20"/>
                <w:color w:val="auto"/>
              </w:rPr>
            </w:pPr>
            <w:r>
              <w:rPr>
                <w:rFonts w:ascii="Arial" w:cs="Arial" w:eastAsia="Arial" w:hAnsi="Arial"/>
                <w:sz w:val="14"/>
                <w:szCs w:val="14"/>
                <w:b w:val="1"/>
                <w:bCs w:val="1"/>
                <w:color w:val="auto"/>
                <w:w w:val="87"/>
              </w:rPr>
              <w:t>Vice President and Chief Financial Officer</w:t>
            </w:r>
          </w:p>
        </w:tc>
      </w:tr>
      <w:tr>
        <w:trPr>
          <w:trHeight w:val="363"/>
        </w:trPr>
        <w:tc>
          <w:tcPr>
            <w:tcW w:w="4460" w:type="dxa"/>
            <w:vAlign w:val="bottom"/>
            <w:gridSpan w:val="2"/>
          </w:tcPr>
          <w:p>
            <w:pPr>
              <w:spacing w:after="0"/>
              <w:rPr>
                <w:sz w:val="20"/>
                <w:szCs w:val="20"/>
                <w:color w:val="auto"/>
              </w:rPr>
            </w:pPr>
            <w:r>
              <w:rPr>
                <w:rFonts w:ascii="Arial" w:cs="Arial" w:eastAsia="Arial" w:hAnsi="Arial"/>
                <w:sz w:val="18"/>
                <w:szCs w:val="18"/>
                <w:color w:val="auto"/>
              </w:rPr>
              <w:t>September 6, 2012</w:t>
            </w:r>
          </w:p>
        </w:tc>
        <w:tc>
          <w:tcPr>
            <w:tcW w:w="228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jc w:val="right"/>
              <w:ind w:right="752"/>
              <w:spacing w:after="0"/>
              <w:rPr>
                <w:sz w:val="20"/>
                <w:szCs w:val="20"/>
                <w:color w:val="auto"/>
              </w:rPr>
            </w:pPr>
            <w:r>
              <w:rPr>
                <w:rFonts w:ascii="Arial" w:cs="Arial" w:eastAsia="Arial" w:hAnsi="Arial"/>
                <w:sz w:val="18"/>
                <w:szCs w:val="18"/>
                <w:color w:val="auto"/>
              </w:rPr>
              <w:t>- 33 -</w:t>
            </w:r>
          </w:p>
        </w:tc>
        <w:tc>
          <w:tcPr>
            <w:tcW w:w="4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Company:</w:t>
      </w:r>
    </w:p>
    <w:p>
      <w:pPr>
        <w:spacing w:after="0" w:line="84"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Matrix Service Company and subsidiaries (“the Company”) as of June 30, 2012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3"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June 30, 2012,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85"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June 30, 2012 of the Company and our report dated September 6, 2012 expressed an unqualified opinion on those financial statements and financial statement schedule.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DELOITTE &amp; TOUCHE LLP</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Tulsa, Oklahoma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6,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Company:</w:t>
      </w:r>
    </w:p>
    <w:p>
      <w:pPr>
        <w:spacing w:after="0" w:line="8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audited the accompanying consolidated balance sheets of Matrix Service Company and subsidiaries (the “Company”) as of June 30, 2012 and June 30, 2011, and the related consolidated statements of income, comprehensive income, changes in stockholders’ equity, and cash flows for each of the three years ended June 30, 2012. Our audits also included the financial statement schedule listed in the Index at Item 15. These financial statements and financial statement schedule are the responsibility of the Company’s management. Our responsibility is to express an opinion on the financial statements and the financial statement schedule based on our audits.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300" w:firstLine="456"/>
        <w:spacing w:after="0" w:line="323" w:lineRule="auto"/>
        <w:rPr>
          <w:sz w:val="20"/>
          <w:szCs w:val="20"/>
          <w:color w:val="auto"/>
        </w:rPr>
      </w:pPr>
      <w:r>
        <w:rPr>
          <w:rFonts w:ascii="Arial" w:cs="Arial" w:eastAsia="Arial" w:hAnsi="Arial"/>
          <w:sz w:val="15"/>
          <w:szCs w:val="15"/>
          <w:color w:val="auto"/>
        </w:rPr>
        <w:t>In our opinion, such consolidated financial statements present fairly, in all material respects, the financial position of Matrix Service Company and subsidiaries as of June 30, 2012 and June 30, 2011, and the results of their operations and their cash flows for each of the three years ended June 30, 2012,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98"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June 30, 2012,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September 6, 2012 expressed an unqualified opinion on the Company’s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DELOITTE &amp; TOUCHE LLP</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Tulsa, Oklahoma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6, 2012</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Twelve Months Ended</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12"/>
              <w:spacing w:after="0" w:line="129" w:lineRule="exact"/>
              <w:rPr>
                <w:sz w:val="20"/>
                <w:szCs w:val="20"/>
                <w:color w:val="auto"/>
              </w:rPr>
            </w:pPr>
            <w:r>
              <w:rPr>
                <w:rFonts w:ascii="Arial" w:cs="Arial" w:eastAsia="Arial" w:hAnsi="Arial"/>
                <w:sz w:val="14"/>
                <w:szCs w:val="14"/>
                <w:b w:val="1"/>
                <w:bCs w:val="1"/>
                <w:color w:val="auto"/>
                <w:w w:val="82"/>
              </w:rPr>
              <w:t>June 30,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5"/>
              <w:spacing w:after="0" w:line="129"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4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2011</w:t>
            </w: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739,046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627,052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550,814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Cost of revenues</w:t>
            </w:r>
          </w:p>
        </w:tc>
        <w:tc>
          <w:tcPr>
            <w:tcW w:w="2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659,428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552,138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497,892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79,618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74,914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44,014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31,635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30,900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Other income (expense):</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(814)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12"/>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1"/>
        </w:trPr>
        <w:tc>
          <w:tcPr>
            <w:tcW w:w="6160" w:type="dxa"/>
            <w:vAlign w:val="bottom"/>
            <w:gridSpan w:val="2"/>
          </w:tcPr>
          <w:p>
            <w:pPr>
              <w:spacing w:after="0"/>
              <w:rPr>
                <w:sz w:val="20"/>
                <w:szCs w:val="20"/>
                <w:color w:val="auto"/>
              </w:rPr>
            </w:pPr>
            <w:r>
              <w:rPr>
                <w:rFonts w:ascii="Arial" w:cs="Arial" w:eastAsia="Arial" w:hAnsi="Arial"/>
                <w:sz w:val="18"/>
                <w:szCs w:val="18"/>
                <w:color w:val="auto"/>
              </w:rPr>
              <w:t>Income before income tax expense</w:t>
            </w:r>
          </w:p>
        </w:tc>
        <w:tc>
          <w:tcPr>
            <w:tcW w:w="2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30,490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30,616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federal, state and foreign income taxes</w:t>
            </w:r>
          </w:p>
        </w:tc>
        <w:tc>
          <w:tcPr>
            <w:tcW w:w="2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11,634</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12"/>
              <w:spacing w:after="0"/>
              <w:rPr>
                <w:sz w:val="20"/>
                <w:szCs w:val="20"/>
                <w:color w:val="auto"/>
              </w:rPr>
            </w:pPr>
            <w:r>
              <w:rPr>
                <w:rFonts w:ascii="Arial" w:cs="Arial" w:eastAsia="Arial" w:hAnsi="Arial"/>
                <w:sz w:val="18"/>
                <w:szCs w:val="18"/>
                <w:color w:val="auto"/>
              </w:rPr>
              <w:t>17,188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18,982</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60" w:type="dxa"/>
            <w:vAlign w:val="bottom"/>
            <w:gridSpan w:val="2"/>
            <w:vMerge w:val="continue"/>
          </w:tcPr>
          <w:p>
            <w:pPr>
              <w:spacing w:after="0"/>
              <w:rPr>
                <w:sz w:val="18"/>
                <w:szCs w:val="18"/>
                <w:color w:val="auto"/>
              </w:rPr>
            </w:pP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12"/>
              <w:spacing w:after="0"/>
              <w:rPr>
                <w:sz w:val="20"/>
                <w:szCs w:val="20"/>
                <w:color w:val="auto"/>
              </w:rPr>
            </w:pPr>
            <w:r>
              <w:rPr>
                <w:rFonts w:ascii="Arial" w:cs="Arial" w:eastAsia="Arial" w:hAnsi="Arial"/>
                <w:sz w:val="18"/>
                <w:szCs w:val="18"/>
                <w:color w:val="auto"/>
              </w:rPr>
              <w:t>0.65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0.71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Basic</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12"/>
              <w:spacing w:after="0"/>
              <w:rPr>
                <w:sz w:val="20"/>
                <w:szCs w:val="20"/>
                <w:color w:val="auto"/>
              </w:rPr>
            </w:pPr>
            <w:r>
              <w:rPr>
                <w:rFonts w:ascii="Arial" w:cs="Arial" w:eastAsia="Arial" w:hAnsi="Arial"/>
                <w:sz w:val="18"/>
                <w:szCs w:val="18"/>
                <w:color w:val="auto"/>
              </w:rPr>
              <w:t>25,921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26,406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26,298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26,686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80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85"/>
              </w:rPr>
              <w:t>Twelve Months Ended</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020" w:type="dxa"/>
            <w:vAlign w:val="bottom"/>
          </w:tcPr>
          <w:p>
            <w:pPr>
              <w:spacing w:after="0"/>
              <w:rPr>
                <w:sz w:val="11"/>
                <w:szCs w:val="11"/>
                <w:color w:val="auto"/>
              </w:rPr>
            </w:pPr>
          </w:p>
        </w:tc>
        <w:tc>
          <w:tcPr>
            <w:tcW w:w="92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2"/>
              </w:rPr>
              <w:t>June 30,</w:t>
            </w:r>
          </w:p>
        </w:tc>
        <w:tc>
          <w:tcPr>
            <w:tcW w:w="8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June 30,</w:t>
            </w: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1"/>
                <w:szCs w:val="11"/>
                <w:color w:val="auto"/>
              </w:rPr>
            </w:pPr>
          </w:p>
        </w:tc>
      </w:tr>
      <w:tr>
        <w:trPr>
          <w:trHeight w:val="161"/>
        </w:trPr>
        <w:tc>
          <w:tcPr>
            <w:tcW w:w="90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$17,188</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$18,982</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$4,876</w:t>
            </w: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(665)</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8"/>
                <w:szCs w:val="18"/>
                <w:color w:val="auto"/>
              </w:rPr>
            </w:pPr>
          </w:p>
        </w:tc>
      </w:tr>
      <w:tr>
        <w:trPr>
          <w:trHeight w:val="222"/>
        </w:trPr>
        <w:tc>
          <w:tcPr>
            <w:tcW w:w="9020" w:type="dxa"/>
            <w:vAlign w:val="bottom"/>
          </w:tcPr>
          <w:p>
            <w:pPr>
              <w:spacing w:after="0"/>
              <w:rPr>
                <w:sz w:val="20"/>
                <w:szCs w:val="20"/>
                <w:color w:val="auto"/>
              </w:rPr>
            </w:pPr>
            <w:r>
              <w:rPr>
                <w:rFonts w:ascii="Arial" w:cs="Arial" w:eastAsia="Arial" w:hAnsi="Arial"/>
                <w:sz w:val="18"/>
                <w:szCs w:val="18"/>
                <w:color w:val="auto"/>
              </w:rPr>
              <w:t>Comprehensive income</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16,523</w:t>
            </w:r>
          </w:p>
        </w:tc>
        <w:tc>
          <w:tcPr>
            <w:tcW w:w="3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19,923</w:t>
            </w: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5,590</w:t>
            </w:r>
          </w:p>
        </w:tc>
        <w:tc>
          <w:tcPr>
            <w:tcW w:w="10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June 30,</w:t>
            </w:r>
          </w:p>
        </w:tc>
      </w:tr>
      <w:tr>
        <w:trPr>
          <w:trHeight w:val="161"/>
        </w:trPr>
        <w:tc>
          <w:tcPr>
            <w:tcW w:w="20" w:type="dxa"/>
            <w:vAlign w:val="bottom"/>
          </w:tcPr>
          <w:p>
            <w:pPr>
              <w:spacing w:after="0"/>
              <w:rPr>
                <w:sz w:val="14"/>
                <w:szCs w:val="14"/>
                <w:color w:val="auto"/>
              </w:rPr>
            </w:pPr>
          </w:p>
        </w:tc>
        <w:tc>
          <w:tcPr>
            <w:tcW w:w="768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680" w:type="dxa"/>
            <w:vAlign w:val="bottom"/>
            <w:shd w:val="clear" w:color="auto" w:fill="CCEEFF"/>
          </w:tcPr>
          <w:p>
            <w:pPr>
              <w:ind w:left="4460"/>
              <w:spacing w:after="0" w:line="196" w:lineRule="exact"/>
              <w:rPr>
                <w:sz w:val="20"/>
                <w:szCs w:val="20"/>
                <w:color w:val="auto"/>
              </w:rPr>
            </w:pPr>
            <w:r>
              <w:rPr>
                <w:rFonts w:ascii="Arial" w:cs="Arial" w:eastAsia="Arial" w:hAnsi="Arial"/>
                <w:sz w:val="18"/>
                <w:szCs w:val="18"/>
                <w:b w:val="1"/>
                <w:bCs w:val="1"/>
                <w:color w:val="auto"/>
              </w:rPr>
              <w:t>Assets</w:t>
            </w:r>
          </w:p>
        </w:tc>
        <w:tc>
          <w:tcPr>
            <w:tcW w:w="1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Current assets: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39,726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59,357</w:t>
            </w: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Accounts receivable, less allowances (2012—$1,201; 2011—$1,428)</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108,034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103,483</w:t>
            </w: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68,562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40,056</w:t>
            </w: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2,482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2,249</w:t>
            </w: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receivable</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5,607</w:t>
            </w: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100" w:type="dxa"/>
            <w:vAlign w:val="bottom"/>
            <w:shd w:val="clear" w:color="auto" w:fill="CCEEFF"/>
          </w:tcPr>
          <w:p>
            <w:pPr>
              <w:spacing w:after="0"/>
              <w:rPr>
                <w:sz w:val="18"/>
                <w:szCs w:val="18"/>
                <w:color w:val="auto"/>
              </w:rPr>
            </w:pPr>
          </w:p>
        </w:tc>
      </w:tr>
      <w:tr>
        <w:trPr>
          <w:trHeight w:val="221"/>
        </w:trPr>
        <w:tc>
          <w:tcPr>
            <w:tcW w:w="77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230,516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215,550</w:t>
            </w:r>
          </w:p>
        </w:tc>
      </w:tr>
      <w:tr>
        <w:trPr>
          <w:trHeight w:val="218"/>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Land and buildings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28,846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28,287</w:t>
            </w: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Construction equipment</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59,176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55,272</w:t>
            </w: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Transportation equipment</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25,865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21,690</w:t>
            </w: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Office equipment and software</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15,442</w:t>
            </w:r>
          </w:p>
        </w:tc>
      </w:tr>
      <w:tr>
        <w:trPr>
          <w:trHeight w:val="223"/>
        </w:trPr>
        <w:tc>
          <w:tcPr>
            <w:tcW w:w="20" w:type="dxa"/>
            <w:vAlign w:val="bottom"/>
          </w:tcPr>
          <w:p>
            <w:pPr>
              <w:spacing w:after="0"/>
              <w:rPr>
                <w:sz w:val="19"/>
                <w:szCs w:val="19"/>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Construction in progress</w:t>
            </w:r>
          </w:p>
        </w:tc>
        <w:tc>
          <w:tcPr>
            <w:tcW w:w="1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133,689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123,156</w:t>
            </w:r>
          </w:p>
        </w:tc>
      </w:tr>
      <w:tr>
        <w:trPr>
          <w:trHeight w:val="223"/>
        </w:trPr>
        <w:tc>
          <w:tcPr>
            <w:tcW w:w="20" w:type="dxa"/>
            <w:vAlign w:val="bottom"/>
          </w:tcPr>
          <w:p>
            <w:pPr>
              <w:spacing w:after="0"/>
              <w:rPr>
                <w:sz w:val="19"/>
                <w:szCs w:val="19"/>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Accumulated depreciation</w:t>
            </w: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(78,814)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(69,845)</w:t>
            </w: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53,311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Goodwill</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28,675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29,058</w:t>
            </w: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6,953</w:t>
            </w: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Other assets</w:t>
            </w:r>
          </w:p>
        </w:tc>
        <w:tc>
          <w:tcPr>
            <w:tcW w:w="1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323,135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306,436</w:t>
            </w: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June 30,</w:t>
            </w:r>
          </w:p>
        </w:tc>
      </w:tr>
      <w:tr>
        <w:trPr>
          <w:trHeight w:val="161"/>
        </w:trPr>
        <w:tc>
          <w:tcPr>
            <w:tcW w:w="20" w:type="dxa"/>
            <w:vAlign w:val="bottom"/>
          </w:tcPr>
          <w:p>
            <w:pPr>
              <w:spacing w:after="0"/>
              <w:rPr>
                <w:sz w:val="14"/>
                <w:szCs w:val="14"/>
                <w:color w:val="auto"/>
              </w:rPr>
            </w:pPr>
          </w:p>
        </w:tc>
        <w:tc>
          <w:tcPr>
            <w:tcW w:w="96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620" w:type="dxa"/>
            <w:vAlign w:val="bottom"/>
            <w:shd w:val="clear" w:color="auto" w:fill="CCEEFF"/>
          </w:tcPr>
          <w:p>
            <w:pPr>
              <w:ind w:left="338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36,377</w:t>
            </w: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30,293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35,485</w:t>
            </w: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wages and benefits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18,099</w:t>
            </w: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Accrued insurance</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7,514</w:t>
            </w: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Acquisition payable</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00" w:type="dxa"/>
            <w:vAlign w:val="bottom"/>
            <w:shd w:val="clear" w:color="auto" w:fill="CCEEFF"/>
          </w:tcPr>
          <w:p>
            <w:pPr>
              <w:spacing w:after="0"/>
              <w:rPr>
                <w:sz w:val="18"/>
                <w:szCs w:val="18"/>
                <w:color w:val="auto"/>
              </w:rPr>
            </w:pPr>
          </w:p>
        </w:tc>
      </w:tr>
      <w:tr>
        <w:trPr>
          <w:trHeight w:val="221"/>
        </w:trPr>
        <w:tc>
          <w:tcPr>
            <w:tcW w:w="96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105,963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100,176</w:t>
            </w:r>
          </w:p>
        </w:tc>
      </w:tr>
      <w:tr>
        <w:trPr>
          <w:trHeight w:val="218"/>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5,789</w:t>
            </w: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Acquisition payable</w:t>
            </w: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Common stock—$.01 par value; 60,000,000 shares authorized; 27,888,217 shares issued as of June 30, 2012 and June 30, 2011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116,693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113,686</w:t>
            </w: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117,419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100,231</w:t>
            </w:r>
          </w:p>
        </w:tc>
      </w:tr>
      <w:tr>
        <w:trPr>
          <w:trHeight w:val="223"/>
        </w:trPr>
        <w:tc>
          <w:tcPr>
            <w:tcW w:w="20" w:type="dxa"/>
            <w:vAlign w:val="bottom"/>
          </w:tcPr>
          <w:p>
            <w:pPr>
              <w:spacing w:after="0"/>
              <w:rPr>
                <w:sz w:val="19"/>
                <w:szCs w:val="19"/>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235,162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215,632</w:t>
            </w:r>
          </w:p>
        </w:tc>
      </w:tr>
      <w:tr>
        <w:trPr>
          <w:trHeight w:val="223"/>
        </w:trPr>
        <w:tc>
          <w:tcPr>
            <w:tcW w:w="2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Less treasury stock, at cost—2,141,990 and 1,417,539 shares as of June 30, 2012 and June 30, 2011</w:t>
            </w:r>
          </w:p>
        </w:tc>
        <w:tc>
          <w:tcPr>
            <w:tcW w:w="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(24,065)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(15,961)</w:t>
            </w: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211,097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199,671</w:t>
            </w:r>
          </w:p>
        </w:tc>
        <w:tc>
          <w:tcPr>
            <w:tcW w:w="100" w:type="dxa"/>
            <w:vAlign w:val="bottom"/>
            <w:shd w:val="clear" w:color="auto" w:fill="CCEEFF"/>
          </w:tcPr>
          <w:p>
            <w:pPr>
              <w:spacing w:after="0"/>
              <w:rPr>
                <w:sz w:val="18"/>
                <w:szCs w:val="18"/>
                <w:color w:val="auto"/>
              </w:rPr>
            </w:pPr>
          </w:p>
        </w:tc>
      </w:tr>
      <w:tr>
        <w:trPr>
          <w:trHeight w:val="222"/>
        </w:trPr>
        <w:tc>
          <w:tcPr>
            <w:tcW w:w="96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323,135</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306,436</w:t>
            </w: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8"/>
              </w:rPr>
              <w:t>Twelve Months Ended</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96"/>
              </w:rPr>
              <w:t>June 30,</w:t>
            </w:r>
          </w:p>
        </w:tc>
        <w:tc>
          <w:tcPr>
            <w:tcW w:w="340" w:type="dxa"/>
            <w:vAlign w:val="bottom"/>
          </w:tcPr>
          <w:p>
            <w:pPr>
              <w:spacing w:after="0"/>
              <w:rPr>
                <w:sz w:val="11"/>
                <w:szCs w:val="11"/>
                <w:color w:val="auto"/>
              </w:rPr>
            </w:pPr>
          </w:p>
        </w:tc>
        <w:tc>
          <w:tcPr>
            <w:tcW w:w="102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June 30,</w:t>
            </w:r>
          </w:p>
        </w:tc>
        <w:tc>
          <w:tcPr>
            <w:tcW w:w="60" w:type="dxa"/>
            <w:vAlign w:val="bottom"/>
          </w:tcPr>
          <w:p>
            <w:pPr>
              <w:spacing w:after="0"/>
              <w:rPr>
                <w:sz w:val="11"/>
                <w:szCs w:val="11"/>
                <w:color w:val="auto"/>
              </w:rPr>
            </w:pPr>
          </w:p>
        </w:tc>
        <w:tc>
          <w:tcPr>
            <w:tcW w:w="660" w:type="dxa"/>
            <w:vAlign w:val="bottom"/>
            <w:gridSpan w:val="2"/>
          </w:tcPr>
          <w:p>
            <w:pPr>
              <w:jc w:val="right"/>
              <w:ind w:right="13"/>
              <w:spacing w:after="0" w:line="129" w:lineRule="exact"/>
              <w:rPr>
                <w:sz w:val="20"/>
                <w:szCs w:val="20"/>
                <w:color w:val="auto"/>
              </w:rPr>
            </w:pPr>
            <w:r>
              <w:rPr>
                <w:rFonts w:ascii="Arial" w:cs="Arial" w:eastAsia="Arial" w:hAnsi="Arial"/>
                <w:sz w:val="14"/>
                <w:szCs w:val="14"/>
                <w:b w:val="1"/>
                <w:bCs w:val="1"/>
                <w:color w:val="auto"/>
                <w:w w:val="96"/>
              </w:rPr>
              <w:t>June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02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1000" w:type="dxa"/>
            <w:vAlign w:val="bottom"/>
            <w:gridSpan w:val="2"/>
          </w:tcPr>
          <w:p>
            <w:pPr>
              <w:jc w:val="center"/>
              <w:ind w:left="254"/>
              <w:spacing w:after="0"/>
              <w:rPr>
                <w:sz w:val="20"/>
                <w:szCs w:val="20"/>
                <w:color w:val="auto"/>
              </w:rPr>
            </w:pPr>
            <w:r>
              <w:rPr>
                <w:rFonts w:ascii="Arial" w:cs="Arial" w:eastAsia="Arial" w:hAnsi="Arial"/>
                <w:sz w:val="14"/>
                <w:szCs w:val="14"/>
                <w:b w:val="1"/>
                <w:bCs w:val="1"/>
                <w:color w:val="auto"/>
                <w:w w:val="83"/>
              </w:rPr>
              <w:t>2011</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$ 17,188</w:t>
            </w: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$ 18,982</w:t>
            </w:r>
          </w:p>
        </w:tc>
        <w:tc>
          <w:tcPr>
            <w:tcW w:w="3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w w:val="92"/>
              </w:rPr>
              <w:t>Adjustments to reconcile net income to net cash provided by operating activities, net of effects of acquisitions:</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11,485</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11,067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loss on sale of property, plant and equipment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Allowance for uncollectible accounts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447</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Adjustment of acquisition payable</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(400)</w:t>
            </w:r>
          </w:p>
        </w:tc>
        <w:tc>
          <w:tcPr>
            <w:tcW w:w="3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3,743</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Tax benefit deficiency from the vesting of deferred shares</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w w:val="97"/>
              </w:rPr>
              <w:t>Changes in operating assets and liabilities increasing (decreasing) cash, net of effects from acquisitions:</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(4,575)</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(16,499)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(28,506)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890</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(1,888)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2,028</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12,862</w:t>
            </w: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(9,326)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(5,192)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6,608</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21"/>
        </w:trPr>
        <w:tc>
          <w:tcPr>
            <w:tcW w:w="81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22,749</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Acquisition of property, plant and equipment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(13,534)</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(10,416)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asset sales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Acquisitions, net of cash acquired</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(3,800)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by investing activities</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2"/>
              </w:rPr>
              <w:t>$ (12,695)</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(14,066)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Twelve Months Ended</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40" w:type="dxa"/>
            <w:vAlign w:val="bottom"/>
          </w:tcPr>
          <w:p>
            <w:pPr>
              <w:spacing w:after="0"/>
              <w:rPr>
                <w:sz w:val="11"/>
                <w:szCs w:val="11"/>
                <w:color w:val="auto"/>
              </w:rPr>
            </w:pPr>
          </w:p>
        </w:tc>
        <w:tc>
          <w:tcPr>
            <w:tcW w:w="960" w:type="dxa"/>
            <w:vAlign w:val="bottom"/>
            <w:gridSpan w:val="3"/>
          </w:tcPr>
          <w:p>
            <w:pPr>
              <w:jc w:val="right"/>
              <w:ind w:right="400"/>
              <w:spacing w:after="0" w:line="129" w:lineRule="exact"/>
              <w:rPr>
                <w:sz w:val="20"/>
                <w:szCs w:val="20"/>
                <w:color w:val="auto"/>
              </w:rPr>
            </w:pPr>
            <w:r>
              <w:rPr>
                <w:rFonts w:ascii="Arial" w:cs="Arial" w:eastAsia="Arial" w:hAnsi="Arial"/>
                <w:sz w:val="14"/>
                <w:szCs w:val="14"/>
                <w:b w:val="1"/>
                <w:bCs w:val="1"/>
                <w:color w:val="auto"/>
                <w:w w:val="96"/>
              </w:rPr>
              <w:t>June 30,</w:t>
            </w:r>
          </w:p>
        </w:tc>
        <w:tc>
          <w:tcPr>
            <w:tcW w:w="920" w:type="dxa"/>
            <w:vAlign w:val="bottom"/>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w w:val="92"/>
              </w:rPr>
              <w:t>June 30,</w:t>
            </w: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2011</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167</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166</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payments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Excess tax benefit of exercised stock options and vesting of deferred shares</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Advances under credit agreement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Repayments of advances under credit agreement</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(9,105)</w:t>
            </w: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Payment of debt amendment fees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Treasury shares sold to Employee Stock Purchase Plan</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Open market purchase of treasury shares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(8,126)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Other treasury share purchases</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by financing activities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(9,350)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(1,020)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(19,631)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(1,577)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59,357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50,899</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52,476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39,726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59,357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50,899</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Arial" w:cs="Arial" w:eastAsia="Arial" w:hAnsi="Arial"/>
                <w:sz w:val="18"/>
                <w:szCs w:val="18"/>
                <w:color w:val="auto"/>
              </w:rPr>
              <w:t>Other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during the period for: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60"/>
              <w:spacing w:after="0"/>
              <w:rPr>
                <w:sz w:val="20"/>
                <w:szCs w:val="20"/>
                <w:color w:val="auto"/>
              </w:rPr>
            </w:pPr>
            <w:r>
              <w:rPr>
                <w:rFonts w:ascii="Arial" w:cs="Arial" w:eastAsia="Arial" w:hAnsi="Arial"/>
                <w:sz w:val="18"/>
                <w:szCs w:val="18"/>
                <w:color w:val="auto"/>
              </w:rPr>
              <w:t>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12,016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6,251</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8,641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plant and equipment on account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96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8"/>
              </w:rPr>
              <w:t>Retained</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Treasury</w:t>
            </w:r>
          </w:p>
        </w:tc>
        <w:tc>
          <w:tcPr>
            <w:tcW w:w="12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Paid-In Capital</w:t>
            </w:r>
          </w:p>
        </w:tc>
        <w:tc>
          <w:tcPr>
            <w:tcW w:w="9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Earnings</w:t>
            </w: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Income(Loss)</w:t>
            </w: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Balances, June 30, 2009</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279</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110,496</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76,387</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(16,146)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$170,797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7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4,876</w:t>
            </w:r>
          </w:p>
        </w:tc>
        <w:tc>
          <w:tcPr>
            <w:tcW w:w="2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4,876</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comprehensive income</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714</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714</w:t>
            </w: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Exercise of stock options (31,900 shares)</w:t>
            </w:r>
          </w:p>
        </w:tc>
        <w:tc>
          <w:tcPr>
            <w:tcW w:w="100" w:type="dxa"/>
            <w:vAlign w:val="bottom"/>
          </w:tcPr>
          <w:p>
            <w:pPr>
              <w:spacing w:after="0"/>
              <w:rPr>
                <w:sz w:val="18"/>
                <w:szCs w:val="18"/>
                <w:color w:val="auto"/>
              </w:rPr>
            </w:pPr>
          </w:p>
        </w:tc>
        <w:tc>
          <w:tcPr>
            <w:tcW w:w="7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115</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Tax effect of exercised stock options and vesting of deferred shares</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(496)</w:t>
            </w: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Issuance of deferred shares (165,291 shares)</w:t>
            </w:r>
          </w:p>
        </w:tc>
        <w:tc>
          <w:tcPr>
            <w:tcW w:w="100" w:type="dxa"/>
            <w:vAlign w:val="bottom"/>
          </w:tcPr>
          <w:p>
            <w:pPr>
              <w:spacing w:after="0"/>
              <w:rPr>
                <w:sz w:val="18"/>
                <w:szCs w:val="18"/>
                <w:color w:val="auto"/>
              </w:rPr>
            </w:pPr>
          </w:p>
        </w:tc>
        <w:tc>
          <w:tcPr>
            <w:tcW w:w="7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treasury share purchases (49,138 shares)</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(473)</w:t>
            </w:r>
          </w:p>
        </w:tc>
      </w:tr>
      <w:tr>
        <w:trPr>
          <w:trHeight w:val="223"/>
        </w:trPr>
        <w:tc>
          <w:tcPr>
            <w:tcW w:w="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Balances, June 30, 2010</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6"/>
              </w:rPr>
              <w:t>279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81,252</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495</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177,585</w:t>
            </w: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7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18,982</w:t>
            </w:r>
          </w:p>
        </w:tc>
        <w:tc>
          <w:tcPr>
            <w:tcW w:w="2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18,982</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comprehensive income</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941</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941</w:t>
            </w: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Exercise of stock options (32,000 shares)</w:t>
            </w:r>
          </w:p>
        </w:tc>
        <w:tc>
          <w:tcPr>
            <w:tcW w:w="100" w:type="dxa"/>
            <w:vAlign w:val="bottom"/>
          </w:tcPr>
          <w:p>
            <w:pPr>
              <w:spacing w:after="0"/>
              <w:rPr>
                <w:sz w:val="18"/>
                <w:szCs w:val="18"/>
                <w:color w:val="auto"/>
              </w:rPr>
            </w:pPr>
          </w:p>
        </w:tc>
        <w:tc>
          <w:tcPr>
            <w:tcW w:w="7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166</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Tax effect of exercised stock options and vesting of deferred shares</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Issuance of deferred shares (126,428 shares)</w:t>
            </w:r>
          </w:p>
        </w:tc>
        <w:tc>
          <w:tcPr>
            <w:tcW w:w="100" w:type="dxa"/>
            <w:vAlign w:val="bottom"/>
          </w:tcPr>
          <w:p>
            <w:pPr>
              <w:spacing w:after="0"/>
              <w:rPr>
                <w:sz w:val="18"/>
                <w:szCs w:val="18"/>
                <w:color w:val="auto"/>
              </w:rPr>
            </w:pPr>
          </w:p>
        </w:tc>
        <w:tc>
          <w:tcPr>
            <w:tcW w:w="7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Stock Purchase Plan (699 shares) (Note 13)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Other treasury share purchases (30,154 shares)</w:t>
            </w:r>
          </w:p>
        </w:tc>
        <w:tc>
          <w:tcPr>
            <w:tcW w:w="100" w:type="dxa"/>
            <w:vAlign w:val="bottom"/>
          </w:tcPr>
          <w:p>
            <w:pPr>
              <w:spacing w:after="0"/>
              <w:rPr>
                <w:sz w:val="18"/>
                <w:szCs w:val="18"/>
                <w:color w:val="auto"/>
              </w:rPr>
            </w:pPr>
          </w:p>
        </w:tc>
        <w:tc>
          <w:tcPr>
            <w:tcW w:w="7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(299)</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00" w:type="dxa"/>
            <w:vAlign w:val="bottom"/>
            <w:shd w:val="clear" w:color="auto" w:fill="CCEEFF"/>
          </w:tcPr>
          <w:p>
            <w:pPr>
              <w:spacing w:after="0"/>
              <w:rPr>
                <w:sz w:val="18"/>
                <w:szCs w:val="18"/>
                <w:color w:val="auto"/>
              </w:rPr>
            </w:pP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Balances, June 30, 2011</w:t>
            </w:r>
          </w:p>
        </w:tc>
        <w:tc>
          <w:tcPr>
            <w:tcW w:w="100" w:type="dxa"/>
            <w:vAlign w:val="bottom"/>
          </w:tcPr>
          <w:p>
            <w:pPr>
              <w:spacing w:after="0"/>
              <w:rPr>
                <w:sz w:val="19"/>
                <w:szCs w:val="19"/>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color w:val="auto"/>
                <w:w w:val="86"/>
              </w:rPr>
              <w:t>279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113,686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100,231</w:t>
            </w:r>
          </w:p>
        </w:tc>
        <w:tc>
          <w:tcPr>
            <w:tcW w:w="2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(15,961)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1,436</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199,671</w:t>
            </w: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17,188</w:t>
            </w: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Other comprehensive loss</w:t>
            </w:r>
          </w:p>
        </w:tc>
        <w:tc>
          <w:tcPr>
            <w:tcW w:w="100" w:type="dxa"/>
            <w:vAlign w:val="bottom"/>
          </w:tcPr>
          <w:p>
            <w:pPr>
              <w:spacing w:after="0"/>
              <w:rPr>
                <w:sz w:val="18"/>
                <w:szCs w:val="18"/>
                <w:color w:val="auto"/>
              </w:rPr>
            </w:pPr>
          </w:p>
        </w:tc>
        <w:tc>
          <w:tcPr>
            <w:tcW w:w="7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(665)</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(665)</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 (26,500 shares)</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w w:val="92"/>
              </w:rPr>
              <w:t>Tax effect of exercised stock options and vesting of deferred shares</w:t>
            </w:r>
          </w:p>
        </w:tc>
        <w:tc>
          <w:tcPr>
            <w:tcW w:w="100" w:type="dxa"/>
            <w:vAlign w:val="bottom"/>
          </w:tcPr>
          <w:p>
            <w:pPr>
              <w:spacing w:after="0"/>
              <w:rPr>
                <w:sz w:val="18"/>
                <w:szCs w:val="18"/>
                <w:color w:val="auto"/>
              </w:rPr>
            </w:pPr>
          </w:p>
        </w:tc>
        <w:tc>
          <w:tcPr>
            <w:tcW w:w="7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(152)</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deferred shares (184,149 shares)</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Employee Stock Purchase Plan (4,395 shares) (Note 13)</w:t>
            </w:r>
          </w:p>
        </w:tc>
        <w:tc>
          <w:tcPr>
            <w:tcW w:w="100" w:type="dxa"/>
            <w:vAlign w:val="bottom"/>
          </w:tcPr>
          <w:p>
            <w:pPr>
              <w:spacing w:after="0"/>
              <w:rPr>
                <w:sz w:val="18"/>
                <w:szCs w:val="18"/>
                <w:color w:val="auto"/>
              </w:rPr>
            </w:pPr>
          </w:p>
        </w:tc>
        <w:tc>
          <w:tcPr>
            <w:tcW w:w="7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Open market purchase of treasury shares (886,503 shares)</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(8,126)</w:t>
            </w: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Other treasury share purchases (52,992 shares)</w:t>
            </w:r>
          </w:p>
        </w:tc>
        <w:tc>
          <w:tcPr>
            <w:tcW w:w="100" w:type="dxa"/>
            <w:vAlign w:val="bottom"/>
          </w:tcPr>
          <w:p>
            <w:pPr>
              <w:spacing w:after="0"/>
              <w:rPr>
                <w:sz w:val="18"/>
                <w:szCs w:val="18"/>
                <w:color w:val="auto"/>
              </w:rPr>
            </w:pPr>
          </w:p>
        </w:tc>
        <w:tc>
          <w:tcPr>
            <w:tcW w:w="7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(537)</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100" w:type="dxa"/>
            <w:vAlign w:val="bottom"/>
            <w:shd w:val="clear" w:color="auto" w:fill="CCEEFF"/>
          </w:tcPr>
          <w:p>
            <w:pPr>
              <w:spacing w:after="0"/>
              <w:rPr>
                <w:sz w:val="18"/>
                <w:szCs w:val="18"/>
                <w:color w:val="auto"/>
              </w:rPr>
            </w:pP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Balances, June 30, 2012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w w:val="86"/>
              </w:rPr>
              <w:t>279</w:t>
            </w:r>
          </w:p>
        </w:tc>
        <w:tc>
          <w:tcPr>
            <w:tcW w:w="2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116,693</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117,419</w:t>
            </w:r>
          </w:p>
        </w:tc>
        <w:tc>
          <w:tcPr>
            <w:tcW w:w="2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(24,065)</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771</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$ 211,097</w:t>
            </w: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1—Summary of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Basis of Presentation</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Matrix Service Company (“Matrix” or the “Company”) and its subsidiaries, all of which are wholly owned. Intercompany transactions and balances have been eliminated in consolidation.</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operates primarily in the United States and Canada. The Company’s reportable segments are Electrical Infrastructure, Oil Gas &amp; Chemical, Storage Solutions and Industrial.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We believe the most significant estimates and judgments are associated with revenue recognition, the recoverability tests that must be periodically performed with respect to our goodwill and other intangible assets, valuation reserves on our accounts receivable and deferred tax assets, and the estimation of loss contingencies, including liabilities associated with litigation and with the self insured retentions on our insurance programs. Actual results could materially differ from those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Matrix records profits on fixed-price contracts on a percentage-of-completion basis, primarily based on costs incurred to date compared to the total estimated contract cost. The Company records revenue on reimbursable and time and material contracts on a proportional performance basis as costs are incurred. Contracts in process are valued at cost plus accrued profits less billings on uncompleted contracts. Contracts are generally considered substantially complete when field construction is completed. The elapsed time from award of a contract to completion of performance may be in excess of one year. Matrix includes pass-through revenue and costs on cost-plus contracts, which are customer-reimbursable materials, equipment and subcontractor costs, when Matrix determines that it is responsible for the procurement and management of such cost components.</w:t>
      </w:r>
    </w:p>
    <w:p>
      <w:pPr>
        <w:spacing w:after="0" w:line="120"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color w:val="auto"/>
        </w:rPr>
        <w:t>Matrix has numerous contracts that are in various stages of completion which require estimates to determine the appropriate cost and revenue recognition. The Company has a history of making reasonably dependable estimates of the extent of progress towards completion, contract revenues and contract costs, and accordingly, does not believe significant fluctuations are likely to materialize. However, current estimates may be revised as additional information becomes available. If estimates of costs to complete fixed-price contracts indicate a loss, provision is made through a contract write-down for the total loss anticipated. A number of our contracts contain various cost and performance incentives and penalties that impact the earnings we realize from our contracts, and adjustments related to these incentives and penalties are recorded in the period, on a percentage-of-completion basis, when estimable and probable.</w:t>
      </w:r>
    </w:p>
    <w:p>
      <w:pPr>
        <w:spacing w:after="0" w:line="10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Indirect costs, such as salaries and benefits, supplies and tools, equipment costs and insurance costs, are charged to projects based upon direct labor hours and overhead allocation rates per direct labor hour. Warranty costs are normally incurred prior to project completion and are charged to project costs as they are incurred. Warranty costs incurred subsequent to project completion were not material for the periods presented. Overhead allocation rates are established annually during the budgeting process.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Precontract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Precontract costs are charged to earnings as incurred.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Recognition</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Claims are amounts in excess of the agreed contract price that we seek to collect from customers or others for delays, errors in specifications and designs, contract terminations, change orders in dispute or unapproved as to both scope and price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or other causes of anticipated additional costs incurred by us. Recognition of amounts as additional contract revenue related to claims is appropriate only if it is probable that the claims will result in additional contract revenue and if the amount can be reliably estimated. If all of the following requirements are met, revenue from a claim is recorded only to the extent that we have incurred costs relating to the claim. We must determine if:</w:t>
      </w:r>
    </w:p>
    <w:p>
      <w:pPr>
        <w:spacing w:after="0" w:line="26"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is a legal basis for the claim;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additional costs were caused by circumstances that were unforeseen by the Company and are not the result of deficiencies in our performance;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are identifiable or determinable and are reasonable in view of the work performed;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evidence supporting the claim is objective and verifiable.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Unapproved change orders and claims are more fully discussed in Note 8—Contingencies.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9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Company includes as cash equivalents all investments with original maturities of three months or less which are readily convertible into cash. The Company had approximately $0.4 million of restricted cash at June 30, 2012 and $0.5 million of restricted cash at June 30,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Accounts receivable are carried on a gross basis, less the allowance for uncollectible accounts. The Company’s customers consist primarily of major integrated oil companies, independent refiners and marketers, power companies, petrochemical companies, pipeline companies, mining companies, contractors and engineering firms. The Company is exposed to the risk of individual customer defaults or depressed cycles in our customers’ industries. To mitigate this risk many of our contracts require payment as projects progress or advance payment in some circumstances. In addition, in most cases the Company can place liens against the property, plant or equipment constructed or terminate the contract if a material contract default occurs. Management estimates the allowance for uncollectible accounts based on existing economic conditions, the financial condition of its customers and the amount and age of past due accounts. Accounts are written off against the allowance for uncollectible accounts only after all collection attempts have been exhausted.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Retentions</w:t>
      </w:r>
    </w:p>
    <w:p>
      <w:pPr>
        <w:spacing w:after="0" w:line="25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Accounts receivable at June 30, 2012 and June 30, 2011 included retentions to be collected within one year of $22.3 million and $13.9 million, respectively. Contract retentions collectible beyond one year are included in Other Assets on the Consolidated Balance Sheets and totaled $1.2 million at June 30, 2012 and $0.9 million at June 30, 2011. Accounts payable included retentions of $1.5 million at June 30, 2012 and $0.3 million at June 30,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Various legal actions, claims and other contingencies arise in the normal course of our business. Contingencies are recorded in the consolidated financial statements, or are otherwise disclosed, in accordance with ASC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Legal costs are expensed as incurred.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Inventories consist primarily of raw materials and are stated at the lower of cost or net realizable value. Cost is determined primarily using the average cost method.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90" w:lineRule="exact"/>
        <w:rPr>
          <w:sz w:val="20"/>
          <w:szCs w:val="20"/>
          <w:color w:val="auto"/>
        </w:rPr>
      </w:pPr>
    </w:p>
    <w:p>
      <w:pPr>
        <w:jc w:val="both"/>
        <w:ind w:right="700" w:firstLine="456"/>
        <w:spacing w:after="0" w:line="306" w:lineRule="auto"/>
        <w:rPr>
          <w:sz w:val="20"/>
          <w:szCs w:val="20"/>
          <w:color w:val="auto"/>
        </w:rPr>
      </w:pPr>
      <w:r>
        <w:rPr>
          <w:rFonts w:ascii="Arial" w:cs="Arial" w:eastAsia="Arial" w:hAnsi="Arial"/>
          <w:sz w:val="16"/>
          <w:szCs w:val="16"/>
          <w:color w:val="auto"/>
        </w:rPr>
        <w:t>Depreciation is computed using the straight-line method over the estimated useful lives of the depreciable assets. Depreciable lives are as follows: buildings—40 years, construction equipment—3 to 15 years, transportation equipment—3 to 5 years, and office equipment and software—3 to 10 years. Leasehold improvements are amortized over the shorter of the useful life of the asset or the lease term.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evaluates long-lived assets for impairment when events or changes in circumstances indicate, in management’s judgment, that the carrying value of such assets used in operations may not be recoverable. The determination of whether an impairment has occurred is based on management’s estimate of undiscounted future cash flows attributable to the assets as compared to the carrying value of the assets. If an impairment has occurred, the amount of the impairment recognized is determined by estimating the fair value of the assets and, to the extent the carrying value exceeds the fair value of the assets, recording a loss provision.</w:t>
      </w:r>
    </w:p>
    <w:p>
      <w:pPr>
        <w:spacing w:after="0" w:line="143"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For assets identified to be disposed of in the future, the carrying value of the assets are compared to the estimated fair value less the cost of disposal to determine if an impairment has occurred. Until the assets are disposed of, an estimate of the fair value is redetermined when related events or circumstances change.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Goodwill represents the excess of the purchase price of acquisitions over the acquisition date fair value of the net identifiable tangible and intangible assets acquired. In accordance with current accounting guidance, goodwill is not amortized and is tested at least annually for impairment at the reporting unit level.</w:t>
      </w:r>
    </w:p>
    <w:p>
      <w:pPr>
        <w:spacing w:after="0" w:line="6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perform our annual analysis during the fourth quarter of each fiscal year and in any other period in which indicators of impairment warrant additional analysis. Goodwill is evaluated for impairment by first comparing management’s estimate of the fair value of a reporting unit with its carrying value, including goodwill. If the carrying value of a reporting unit exceeds its fair value, a computation of the implied fair value of goodwill is compared with its related carrying value. If the carrying value of the reporting unit goodwill exceeds the implied fair value of that goodwill, an impairment loss is recognized in the amount of the excess.</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Management utilizes a discounted cash flow analysis to determine the estimated fair value of our reporting units. Significant judgments and assumptions including the discount rate, anticipated revenue growth rate and gross margins, estimated operating and interest expense, and capital expenditures are inherent in these fair value estimates, which are based on our operating and capital budgets as well as strategic plans. As a result of these uncertainties, we utilize multiple scenarios and assign probabilities to each of the scenarios in the discounted cash flow analysis.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Intangible assets that have finite useful lives are amortized by the straight-line method over their useful lives ranging from 1 to 15 years. Intangible assets that have indefinite useful lives are not amortized but are tested at least annually for impairment. Each reporting period, we evaluate the remaining useful lives of intangible assets not being amortized to determine whether facts and circumstances continue to support an indefinite useful life. Intangible assets are considered impaired if the fair value of the intangible asset is less than its net book value. If quoted market prices are not available, the fair values of the intangible assets are determined based on present values of expected future cash flows using discount rates commensurate with the risks involved.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maintain insurance coverage for various aspects of our operations. However, we retain exposure to potential losses through the use of deductibles, coverage limits and self-insured retentions. We establish reserves for claims using a combination of actuarially determined estimates and case-by-case evaluations of the underlying claim data and update our evaluations as further information becomes known. Judgments and assumptions are inherent in our reserve accruals; as a result, changes in assumptions or claims experience could result in changes to these estimates in the future. If actual results of claim settlements are different than the amounts estimated we may be exposed to future gains and losses that could be material.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fair value of stock-based awards is calculated at grant date. The fair value of performance and time-based nonvested deferred shares is generally the value of the Company’s common stock at the grant date. The fair value of market-based nonvested deferred shares is based on several factors, including the probability that the market condition specified in the grant will be achieved. The fair value of stock options is determined based on the Black-Scholes option pricing model. The detailed assumptions used in the model are included in Note 11—Stock Based Compensation.</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For all stock-based awards, expense is recognized over the requisite service period, net of estimated forfeitures. The expense related to performance based shares is recognized only if management believes it is probable that the performance targets specified in the awards will be achieved.</w:t>
      </w:r>
    </w:p>
    <w:p>
      <w:pPr>
        <w:spacing w:after="0" w:line="85"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color w:val="auto"/>
        </w:rPr>
        <w:t>A portion of the performance-based awards can settle in cash. For these awards, the expense is recognized over the requisite service period, and the estimated liability is marked to market each reporting period with changes to the liability recorded as compensation expense if the payout of the award is considered probable.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right="200" w:firstLine="456"/>
        <w:spacing w:after="0" w:line="335" w:lineRule="auto"/>
        <w:rPr>
          <w:sz w:val="20"/>
          <w:szCs w:val="20"/>
          <w:color w:val="auto"/>
        </w:rPr>
      </w:pPr>
      <w:r>
        <w:rPr>
          <w:rFonts w:ascii="Arial" w:cs="Arial" w:eastAsia="Arial" w:hAnsi="Arial"/>
          <w:sz w:val="15"/>
          <w:szCs w:val="15"/>
          <w:color w:val="auto"/>
        </w:rPr>
        <w:t>The Company complies with ASC 740, “Income Taxes”. Deferred income taxes are computed using the liability method whereby deferred tax assets and liabilities are recognized based on temporary differences between the financial statement and tax basis of assets and liabilities using presently enacted tax rates. Valuation allowances are established against deferred tax assets to the extent management believes that it is not probable that the assets will be recovered.</w:t>
      </w:r>
    </w:p>
    <w:p>
      <w:pPr>
        <w:spacing w:after="0" w:line="88"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The Company provides for income taxes regardless of whether it has received a tax assessment. Taxes are provided when we consider it probable that additional taxes will be due in excess of the amounts included in our tax returns. We continually review our exposure to additional income taxes due, and as further information is known or events occur, adjustments may be recorded.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functional currency of the Company’s operations in Canada is the Canadian dollar. The assets and liabilities are translated at the year end exchange rate and the income statement accounts are translated at average exchange rates throughout the year. Translation gains and losses are reported in Accumulated Other Comprehensive Income (Loss) in the Statement of Changes in Stockholders’ Equity and in the Statement of Comprehensive Income. Transaction gains and losses are reported as a component of Other income (expense) in the Statement of Income.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Standards Update 2011-04, Amendments to Achieve Common Fair Value Measurement and Disclosure Requirements in U.S. GAAP and IFRSs</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May 2011, the FASB issued Accounting Standards Update No. 2011-04, “Amendments to Achieve Common Fair Value Measurement and Disclosure Requirements in U.S. GAAP and IFRSs” (“ASU 2011-04”). ASU 2011-04 amends ASC 820, providing a consistent definition and measurement of fair value, as well as similar disclosure requirements between U.S. GAAP and International Financial Reporting Standards. ASU 2011-04 changes certain fair value measurement principles, clarifies the application of existing fair value measurement and expands the ASC 820 disclosure requirements, particularly for Level 3 fair value measurements. ASU 2011-04 is effective for interim and annual periods beginning after December 15, 2011. The Company’s adoption of ASU 2011-04 did not have a material effect on the Company’s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2011-05, Comprehensive Income: Presentation of Comprehensive Income</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Effective March 31, 2012, we adopted Accounting Standards Update No. 2011-05, “Comprehensive Income: Presentation of Comprehensive Income” (“ASU 2011-05”). ASU 2011-05 eliminated the option of presenting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components of other comprehensive income as part of the statement of stockholders’ equity. ASU 2011-05 requires that comprehensive income be reported in either a single contiguous statement of comprehensive income which contains two sections, net income and other comprehensive income, or in two separate but consecutive statements. We elected to present comprehensive income in two statements. The adoption of ASU 2011-05 did not impact the Company’s financial position or results of operations, as it only required a change in the format of the current presentation.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2011-09, Disclosures about an Employer’s Participation in a Multiemployer Plan</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Effective June 30, 2012, we adopted Accounting Standards Update No. 2011-09, “Disclosures about an Employer’s Participation in a Multiemployer Plan” (“ASU 2011-09”). ASU 2011-09 requires employers to make additional separate disclosures for multiemployer pension and other postretirement benefit plans. Additional disclosures include, but are not limited to:</w:t>
      </w:r>
    </w:p>
    <w:p>
      <w:pPr>
        <w:spacing w:after="0" w:line="59"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plans in which an employer participates;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participation, including the plans to which the employer is a significant contributor;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financial health of significant plans;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nature of the employer’s commitment to the plans.</w:t>
      </w:r>
    </w:p>
    <w:p>
      <w:pPr>
        <w:spacing w:after="0" w:line="17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ASU 2011-09 does not change the current recognition and measurement guidance that requires an employer to recognize its required contribution as a pension or other postretirement benefit cost for the period and to recognize a liability for any contributions due at the reporting date. ASU 2011-09 also does not change the recognition, measurement or disclosure requirements for obligations related to an actual or potential withdrawal from a multiemployer plan. These obligations continue to be accounted for under ASC 450, “Contingencies”. Under ASC 450, if an obligation due to withdrawal from a multiemployer plan is probable and reasonably estimable, the recognition of a liability and disclosure of the contingency is required. If an obligation due to withdrawal from a multiemployer plan is reasonably possible, disclosure of the contingency is required.</w:t>
      </w:r>
    </w:p>
    <w:p>
      <w:pPr>
        <w:spacing w:after="0" w:line="12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See Note 13—Employee Benefit Plans for specific disclosures relating to the multiemployer pension plans that we consider material. The adoption of ASU 2011-09 did not impact the Company’s financial position or results of operations, as it only required additional disclosures regarding the Company’s participation in multiemployer plans.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2—Segment Change</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completed an update of its long-term business strategy in fiscal 2012. This strategy update along with certain changes in our organizational structure led to a reassessment of our operating segments. As a result of these events, we have revised our reportable segments to better align with the current management of the business. Accordingly, the segment information for all prior periods presented has been restated. See Note 14—Segment Information for additional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3—Acquisitions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EDC, Inc.</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On May 3, 2011, the Company purchased substantially all of the assets of EDC, Inc. (“EDC”). EDC, located in Mahwah, New Jersey, provides consulting, engineering, design and supply services for bulk material handling systems. EDC’s results are included in the Industrial segment.</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asset purchase agreement provided for a $3.8 million cash payment at closing, as well as an additional incentive payment of up to $0.8 million if certain financial targets are achieved over a two-year period ending April 30, 2013. Based on initial projections, the Company believed the operating performance of EDC would exceed what is required to earn the maximum payout. Therefore, the Company recorded the EDC asset purchase at $4.6 million, which represented the cash payment plus the estimated fair value of the incentive payment.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purchase price was allocated to the major categories of assets and liabilities based on their estimated fair values at the acquisition date. The following table summarizes the purchase price allocation.</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$1,316</w:t>
            </w: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Tax deductible goodwill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00" w:type="dxa"/>
            <w:vAlign w:val="bottom"/>
            <w:shd w:val="clear" w:color="auto" w:fill="CCEEFF"/>
          </w:tcPr>
          <w:p>
            <w:pPr>
              <w:spacing w:after="0"/>
              <w:rPr>
                <w:sz w:val="18"/>
                <w:szCs w:val="18"/>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w:t>
            </w:r>
          </w:p>
        </w:tc>
        <w:tc>
          <w:tcPr>
            <w:tcW w:w="10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5,987</w:t>
            </w:r>
          </w:p>
        </w:tc>
        <w:tc>
          <w:tcPr>
            <w:tcW w:w="100" w:type="dxa"/>
            <w:vAlign w:val="bottom"/>
            <w:shd w:val="clear" w:color="auto" w:fill="CCEEFF"/>
          </w:tcPr>
          <w:p>
            <w:pPr>
              <w:spacing w:after="0"/>
              <w:rPr>
                <w:sz w:val="18"/>
                <w:szCs w:val="18"/>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Current liabilities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100" w:type="dxa"/>
            <w:vAlign w:val="bottom"/>
            <w:shd w:val="clear" w:color="auto" w:fill="CCEEFF"/>
          </w:tcPr>
          <w:p>
            <w:pPr>
              <w:spacing w:after="0"/>
              <w:rPr>
                <w:sz w:val="18"/>
                <w:szCs w:val="18"/>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Cash acquired</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purchase price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4,600</w:t>
            </w:r>
          </w:p>
        </w:tc>
        <w:tc>
          <w:tcPr>
            <w:tcW w:w="100" w:type="dxa"/>
            <w:vAlign w:val="bottom"/>
            <w:shd w:val="clear" w:color="auto" w:fill="CCEEFF"/>
          </w:tcPr>
          <w:p>
            <w:pPr>
              <w:spacing w:after="0"/>
              <w:rPr>
                <w:sz w:val="18"/>
                <w:szCs w:val="18"/>
                <w:color w:val="auto"/>
              </w:rPr>
            </w:pPr>
          </w:p>
        </w:tc>
      </w:tr>
      <w:tr>
        <w:trPr>
          <w:trHeight w:val="20"/>
        </w:trPr>
        <w:tc>
          <w:tcPr>
            <w:tcW w:w="89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operating and proforma data related to the EDC acquisition was not material. The acquisition was funded with cash on hand.</w:t>
      </w:r>
    </w:p>
    <w:p>
      <w:pPr>
        <w:spacing w:after="0" w:line="171"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As a part of its ongoing assessment of the carrying value of the acquisition payable, the Company subsequently determined that the likely payment will approximate $0.4 million. Accordingly, as required under ASC 805—“Business Combinations”, the Company recorded an adjustment of $0.4 million, which reduced the carrying value of the acquisition payable and selling, general and administrative costs in fiscal 2012.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4—Customer Contracts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Contract terms of the Company’s construction contracts generally provide for progress billings based on project milestones. The excess of costs incurred and estimated earnings over amounts billed on uncompleted contracts is reported as a current asset. The excess of amounts billed over costs incurred and estimated earnings on uncompleted contracts is reported as a current liability. Gross and net amounts on uncompleted contracts are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1"/>
        </w:trPr>
        <w:tc>
          <w:tcPr>
            <w:tcW w:w="8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4"/>
          </w:tcPr>
          <w:p>
            <w:pPr>
              <w:jc w:val="right"/>
              <w:ind w:right="417"/>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Costs incurred and estimated earnings recognized on uncompleted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774,749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583,334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Billings on uncompleted contracts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736,480</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578,763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38,269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8"/>
                <w:szCs w:val="18"/>
                <w:color w:val="auto"/>
              </w:rPr>
              <w:t>Shown on balance sheet as: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68,562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30,293</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38,269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SME Claim Receivables</w:t>
      </w:r>
    </w:p>
    <w:p>
      <w:pPr>
        <w:spacing w:after="0" w:line="9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Included in the SME acquisition in fiscal 2009 were certain claim receivables which were recorded at their net realizable values, which included an allowance for estimated collection costs. In fiscal 2010, the cumulative collection costs exceeded the original estimate of the allowance for collection costs resulting in pretax SG&amp;A charges of $1.9 million in fiscal 2010 and $0.3 million in fiscal 2011.</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1280"/>
          </w:cols>
          <w:pgMar w:left="240" w:top="459" w:right="3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Additionally, in fiscal 2010 the Company was awarded $0.5 million through arbitration on one of the claims. The award was less than the claim’s recorded value and resulted in a pretax SG&amp;A charge of $2.5 million. As a part of the Company’s ongoing assessment of the recoverability of the remaining uncollected balances, the Company recorded a pretax SG&amp;A charge of $0.4 million in fiscal 2010. In September 2011, the Company received $1.5 million as settlement for a portion of these claims. The settlement amount approximated the book value of the receivable; therefore, no gain or loss was recognized. The recorded amount of these outstanding claims was $0.7 million at June 30, 2012 and $2.3 million at June 30, 2011.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5—Goodwill and Other 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carrying amount of goodwill by segment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Electrical</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Oil Gas &amp;</w:t>
            </w:r>
          </w:p>
        </w:tc>
        <w:tc>
          <w:tcPr>
            <w:tcW w:w="300" w:type="dxa"/>
            <w:vAlign w:val="bottom"/>
          </w:tcPr>
          <w:p>
            <w:pPr>
              <w:spacing w:after="0"/>
              <w:rPr>
                <w:sz w:val="14"/>
                <w:szCs w:val="1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1"/>
              </w:rPr>
              <w:t>Storage</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Infrastructure</w:t>
            </w: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Chemical</w:t>
            </w:r>
          </w:p>
        </w:tc>
        <w:tc>
          <w:tcPr>
            <w:tcW w:w="3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1"/>
              </w:rPr>
              <w:t>Solutions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Industrial</w:t>
            </w:r>
          </w:p>
        </w:tc>
        <w:tc>
          <w:tcPr>
            <w:tcW w:w="16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204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29,666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5,755</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$ 52,216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Cumulative impairment loss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(17,653)</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(3,000)</w:t>
            </w: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(3,425)</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2010</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12,013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2,330</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Purchase of EDC (Note 3)</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1,583</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adjustment</w:t>
            </w:r>
          </w:p>
        </w:tc>
        <w:tc>
          <w:tcPr>
            <w:tcW w:w="1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20" w:type="dxa"/>
            <w:vAlign w:val="bottom"/>
            <w:gridSpan w:val="2"/>
          </w:tcPr>
          <w:p>
            <w:pPr>
              <w:spacing w:after="0"/>
              <w:rPr>
                <w:sz w:val="20"/>
                <w:szCs w:val="20"/>
                <w:color w:val="auto"/>
              </w:rPr>
            </w:pPr>
            <w:r>
              <w:rPr>
                <w:rFonts w:ascii="Arial" w:cs="Arial" w:eastAsia="Arial" w:hAnsi="Arial"/>
                <w:sz w:val="18"/>
                <w:szCs w:val="18"/>
                <w:color w:val="auto"/>
              </w:rPr>
              <w:t>Balance at June 30, 2011</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12,013</w:t>
            </w:r>
          </w:p>
        </w:tc>
        <w:tc>
          <w:tcPr>
            <w:tcW w:w="10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2,841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10,291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3,913</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29,058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related adjustment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Translation adjustment</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balance at June 30, 2012</w:t>
            </w:r>
          </w:p>
        </w:tc>
        <w:tc>
          <w:tcPr>
            <w:tcW w:w="204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12,013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3,672</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$ 28,675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translation adjustments relate to goodwill recorded as a part of a prior Canadian acquisition. The acquisition related adjustment represents the final working capital settlement related to the purchase of assets of EDC, which was acquired in May 2011 and is described in Note 3—Acquisitions.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At June 30, 2012</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6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5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Net Carrying</w:t>
            </w:r>
          </w:p>
        </w:tc>
        <w:tc>
          <w:tcPr>
            <w:tcW w:w="0" w:type="dxa"/>
            <w:vAlign w:val="bottom"/>
          </w:tcPr>
          <w:p>
            <w:pPr>
              <w:spacing w:after="0"/>
              <w:rPr>
                <w:sz w:val="1"/>
                <w:szCs w:val="1"/>
                <w:color w:val="auto"/>
              </w:rPr>
            </w:pPr>
          </w:p>
        </w:tc>
      </w:tr>
      <w:tr>
        <w:trPr>
          <w:trHeight w:val="161"/>
        </w:trPr>
        <w:tc>
          <w:tcPr>
            <w:tcW w:w="37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Useful Life</w:t>
            </w:r>
          </w:p>
        </w:tc>
        <w:tc>
          <w:tcPr>
            <w:tcW w:w="2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5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4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3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 to 12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$ 2,460</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(586)</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Customer based</w:t>
            </w:r>
          </w:p>
        </w:tc>
        <w:tc>
          <w:tcPr>
            <w:tcW w:w="32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 to 15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2,657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 to 5</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8"/>
                <w:szCs w:val="18"/>
                <w:color w:val="auto"/>
              </w:rPr>
              <w:t>Total amortizing intangibles</w:t>
            </w:r>
          </w:p>
        </w:tc>
        <w:tc>
          <w:tcPr>
            <w:tcW w:w="3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60" w:type="dxa"/>
            <w:vAlign w:val="bottom"/>
            <w:vMerge w:val="continue"/>
          </w:tcPr>
          <w:p>
            <w:pPr>
              <w:spacing w:after="0"/>
              <w:rPr>
                <w:sz w:val="19"/>
                <w:szCs w:val="19"/>
                <w:color w:val="auto"/>
              </w:rPr>
            </w:pPr>
          </w:p>
        </w:tc>
        <w:tc>
          <w:tcPr>
            <w:tcW w:w="3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5,664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3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Indefinite</w:t>
            </w:r>
          </w:p>
        </w:tc>
        <w:tc>
          <w:tcPr>
            <w:tcW w:w="2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6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3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$ 7,534</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(1,030)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220" w:type="dxa"/>
            <w:vAlign w:val="bottom"/>
            <w:vMerge w:val="restart"/>
          </w:tcPr>
          <w:p>
            <w:pPr>
              <w:jc w:val="right"/>
              <w:ind w:right="992"/>
              <w:spacing w:after="0"/>
              <w:rPr>
                <w:sz w:val="20"/>
                <w:szCs w:val="20"/>
                <w:color w:val="auto"/>
              </w:rPr>
            </w:pPr>
            <w:r>
              <w:rPr>
                <w:rFonts w:ascii="Arial" w:cs="Arial" w:eastAsia="Arial" w:hAnsi="Arial"/>
                <w:sz w:val="18"/>
                <w:szCs w:val="18"/>
                <w:color w:val="auto"/>
              </w:rPr>
              <w:t>- 49 -</w:t>
            </w: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6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7"/>
              </w:rPr>
              <w:t>At June 30, 2011</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50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Net Carrying</w:t>
            </w:r>
          </w:p>
        </w:tc>
        <w:tc>
          <w:tcPr>
            <w:tcW w:w="0" w:type="dxa"/>
            <w:vAlign w:val="bottom"/>
          </w:tcPr>
          <w:p>
            <w:pPr>
              <w:spacing w:after="0"/>
              <w:rPr>
                <w:sz w:val="1"/>
                <w:szCs w:val="1"/>
                <w:color w:val="auto"/>
              </w:rPr>
            </w:pPr>
          </w:p>
        </w:tc>
      </w:tr>
      <w:tr>
        <w:trPr>
          <w:trHeight w:val="161"/>
        </w:trPr>
        <w:tc>
          <w:tcPr>
            <w:tcW w:w="700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Useful Life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5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7000" w:type="dxa"/>
            <w:vAlign w:val="bottom"/>
          </w:tcPr>
          <w:p>
            <w:pPr>
              <w:spacing w:after="0"/>
              <w:rPr>
                <w:sz w:val="12"/>
                <w:szCs w:val="12"/>
                <w:color w:val="auto"/>
              </w:rPr>
            </w:pPr>
          </w:p>
        </w:tc>
        <w:tc>
          <w:tcPr>
            <w:tcW w:w="74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(Years)</w:t>
            </w:r>
          </w:p>
        </w:tc>
        <w:tc>
          <w:tcPr>
            <w:tcW w:w="5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 to 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$ 2,460</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(418)</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Customer based</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 to 15</w:t>
            </w:r>
          </w:p>
        </w:tc>
        <w:tc>
          <w:tcPr>
            <w:tcW w:w="540" w:type="dxa"/>
            <w:vAlign w:val="bottom"/>
          </w:tcPr>
          <w:p>
            <w:pPr>
              <w:jc w:val="right"/>
              <w:spacing w:after="0"/>
              <w:rPr>
                <w:sz w:val="20"/>
                <w:szCs w:val="20"/>
                <w:color w:val="auto"/>
              </w:rPr>
            </w:pPr>
            <w:r>
              <w:rPr>
                <w:rFonts w:ascii="Arial" w:cs="Arial" w:eastAsia="Arial" w:hAnsi="Arial"/>
                <w:sz w:val="18"/>
                <w:szCs w:val="18"/>
                <w:color w:val="auto"/>
              </w:rPr>
              <w:t>2,657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 to 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Total amortizing intangibles</w:t>
            </w: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0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5,664</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Indefinite</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$ 7,534</w:t>
            </w:r>
          </w:p>
        </w:tc>
        <w:tc>
          <w:tcPr>
            <w:tcW w:w="580" w:type="dxa"/>
            <w:vAlign w:val="bottom"/>
            <w:gridSpan w:val="2"/>
          </w:tcPr>
          <w:p>
            <w:pPr>
              <w:ind w:left="50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(581)</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Amortization expense totaled $0.5 million and $0.2 million in fiscal 2012 and fiscal 2011. Amortization expense is expected to be $0.4 million annually in fiscal 2013 to 2016 and $0.3 million in fiscal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6—Debt</w:t>
      </w:r>
    </w:p>
    <w:p>
      <w:pPr>
        <w:spacing w:after="0" w:line="9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On November 7, 2011, the Company entered into the Third Amended and Restated Credit Agreement (the “Credit Agreement”), by and among the Company, JPMorgan Chase Bank, N.A., as Administrative Agent, Swingline Lender and Issuing Bank, and the other Lenders party thereto, which replaces the Second Amended and Restated Credit Agreement dated as of November 30, 2006, as amended. The Credit Agreement provides for a five-year senior secured revolving credit facility of $125.0 million, which may be used for working capital, issuance of letters of credit and other lawful corporate purposes.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90"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are required to maintain a Senior Leverage Ratio, as defined in the agreement, of less than 2.50 to 1.00.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as defined in the agreement, greater than or equal to 1.25 to 1.00.</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$15.0 million per 12-month period.</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Amounts borrowed under the credit facility bear interest at LIBOR or an Alternate Base Rate, plus in each case, an additional margin based on the Senior Leverage Ratio. The Credit Agreement includes additional margin ranges on Alternate Base Rate loans between 0.75% and 1.5% and between 1.75% and 2.5% on LIBOR-based loans.</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Credit Agreement also permits us to borrow in Canadian dollars with a sublimit of U.S. $15.0 million. Amounts borrowed in Canadian dollars will bear interest either at the CDOR Rate, plus an additional margin based on the Senior Leverage Ratio ranging from 1.75% to 2.5%, or at the Canadian Prime Rate, plus an additional margin based on the Senior Leverage Ratio ranging from 2.25% to 3.0%.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Unused Credit Facility Fee is between 0.30% and 0.45% based on the Senior Leverage Ratio.</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Credit Agreement includes a Senior Leverage Ratio covenant which provides that Consolidated Funded Indebtedness may not exceed 2.5 times Consolidated EBITDA, as defined in the Credit Agreement, over the previous four quarters. For the four quarters ended June 30, 2012, Consolidated EBITDA, as defined in the Credit Agreement, was $46.1 million. Accordingly, at June 30, 2012, Consolidated Funded Indebtedness in excess of $115.3 million would have violated the Senior Leverage Ratio covenant.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Availability under the senior credit facility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14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4"/>
                <w:szCs w:val="14"/>
                <w:color w:val="auto"/>
              </w:rPr>
            </w:pPr>
          </w:p>
        </w:tc>
        <w:tc>
          <w:tcPr>
            <w:tcW w:w="580" w:type="dxa"/>
            <w:vAlign w:val="bottom"/>
          </w:tcPr>
          <w:p>
            <w:pPr>
              <w:jc w:val="right"/>
              <w:ind w:right="7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760" w:type="dxa"/>
            <w:vAlign w:val="bottom"/>
            <w:tcBorders>
              <w:top w:val="single" w:sz="8" w:color="auto"/>
            </w:tcBorders>
            <w:gridSpan w:val="3"/>
          </w:tcPr>
          <w:p>
            <w:pPr>
              <w:jc w:val="right"/>
              <w:ind w:right="378"/>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Senior credit facility</w:t>
            </w:r>
          </w:p>
        </w:tc>
        <w:tc>
          <w:tcPr>
            <w:tcW w:w="36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$125,000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Capacity constraint due to the Senior Leverage Ratio</w:t>
            </w:r>
          </w:p>
        </w:tc>
        <w:tc>
          <w:tcPr>
            <w:tcW w:w="24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9,662</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Capacity under the credit facility</w:t>
            </w:r>
          </w:p>
        </w:tc>
        <w:tc>
          <w:tcPr>
            <w:tcW w:w="36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115,338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Letters of credit issued</w:t>
            </w:r>
          </w:p>
        </w:tc>
        <w:tc>
          <w:tcPr>
            <w:tcW w:w="24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8,499</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Availability under the senior credit facility</w:t>
            </w:r>
          </w:p>
        </w:tc>
        <w:tc>
          <w:tcPr>
            <w:tcW w:w="36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106,839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67,516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Company is in compliance with all affirmative, negative, and financial covenants under the credit agreement and is at the lowest margin tier for the LIBOR, CDOR, Alternate Base Rate and Canadian Prime Rate loans and the lowest tier for the Unused Revolving Credit Facility Fee.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sources of pretax income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00" w:type="dxa"/>
            <w:vAlign w:val="bottom"/>
            <w:gridSpan w:val="10"/>
          </w:tcPr>
          <w:p>
            <w:pPr>
              <w:jc w:val="center"/>
              <w:ind w:right="580"/>
              <w:spacing w:after="0"/>
              <w:rPr>
                <w:sz w:val="20"/>
                <w:szCs w:val="20"/>
                <w:color w:val="auto"/>
              </w:rPr>
            </w:pPr>
            <w:r>
              <w:rPr>
                <w:rFonts w:ascii="Arial" w:cs="Arial" w:eastAsia="Arial" w:hAnsi="Arial"/>
                <w:sz w:val="14"/>
                <w:szCs w:val="14"/>
                <w:b w:val="1"/>
                <w:bCs w:val="1"/>
                <w:color w:val="auto"/>
                <w:w w:val="87"/>
              </w:rPr>
              <w:t>Twelve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gridSpan w:val="3"/>
          </w:tcPr>
          <w:p>
            <w:pPr>
              <w:jc w:val="right"/>
              <w:ind w:right="80"/>
              <w:spacing w:after="0" w:line="129"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June 30,</w:t>
            </w: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42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43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$27,346</w:t>
            </w:r>
          </w:p>
        </w:tc>
        <w:tc>
          <w:tcPr>
            <w:tcW w:w="10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$29,939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Foreign</w:t>
            </w:r>
          </w:p>
        </w:tc>
        <w:tc>
          <w:tcPr>
            <w:tcW w:w="3740" w:type="dxa"/>
            <w:vAlign w:val="bottom"/>
            <w:gridSpan w:val="2"/>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3,144</w:t>
            </w:r>
          </w:p>
        </w:tc>
        <w:tc>
          <w:tcPr>
            <w:tcW w:w="1020" w:type="dxa"/>
            <w:vAlign w:val="bottom"/>
            <w:gridSpan w:val="5"/>
          </w:tcPr>
          <w:p>
            <w:pPr>
              <w:jc w:val="right"/>
              <w:ind w:right="160"/>
              <w:spacing w:after="0"/>
              <w:rPr>
                <w:sz w:val="20"/>
                <w:szCs w:val="20"/>
                <w:color w:val="auto"/>
              </w:rPr>
            </w:pPr>
            <w:r>
              <w:rPr>
                <w:rFonts w:ascii="Arial" w:cs="Arial" w:eastAsia="Arial" w:hAnsi="Arial"/>
                <w:sz w:val="18"/>
                <w:szCs w:val="18"/>
                <w:color w:val="auto"/>
              </w:rPr>
              <w:t>677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40" w:type="dxa"/>
            <w:vAlign w:val="bottom"/>
            <w:gridSpan w:val="2"/>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30,490</w:t>
            </w:r>
          </w:p>
        </w:tc>
        <w:tc>
          <w:tcPr>
            <w:tcW w:w="10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30,616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7,410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vMerge w:val="restart"/>
          </w:tcPr>
          <w:p>
            <w:pPr>
              <w:ind w:left="440"/>
              <w:spacing w:after="0"/>
              <w:rPr>
                <w:sz w:val="20"/>
                <w:szCs w:val="20"/>
                <w:color w:val="auto"/>
              </w:rPr>
            </w:pPr>
            <w:r>
              <w:rPr>
                <w:rFonts w:ascii="Arial" w:cs="Arial" w:eastAsia="Arial" w:hAnsi="Arial"/>
                <w:sz w:val="18"/>
                <w:szCs w:val="18"/>
                <w:color w:val="auto"/>
                <w:w w:val="93"/>
              </w:rPr>
              <w:t>The components of the provision for income taxes are as follows:</w:t>
            </w: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5280" w:type="dxa"/>
            <w:vAlign w:val="bottom"/>
            <w:vMerge w:val="continue"/>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11"/>
          </w:tcPr>
          <w:p>
            <w:pPr>
              <w:jc w:val="center"/>
              <w:ind w:right="200"/>
              <w:spacing w:after="0"/>
              <w:rPr>
                <w:sz w:val="20"/>
                <w:szCs w:val="20"/>
                <w:color w:val="auto"/>
              </w:rPr>
            </w:pPr>
            <w:r>
              <w:rPr>
                <w:rFonts w:ascii="Arial" w:cs="Arial" w:eastAsia="Arial" w:hAnsi="Arial"/>
                <w:sz w:val="14"/>
                <w:szCs w:val="14"/>
                <w:b w:val="1"/>
                <w:bCs w:val="1"/>
                <w:color w:val="auto"/>
                <w:w w:val="88"/>
              </w:rPr>
              <w:t>Twelve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720" w:type="dxa"/>
            <w:vAlign w:val="bottom"/>
            <w:tcBorders>
              <w:top w:val="single" w:sz="8" w:color="auto"/>
            </w:tcBorders>
            <w:gridSpan w:val="4"/>
          </w:tcPr>
          <w:p>
            <w:pPr>
              <w:jc w:val="right"/>
              <w:ind w:right="180"/>
              <w:spacing w:after="0" w:line="129"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4"/>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June 30,</w:t>
            </w: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78"/>
              </w:rPr>
              <w:t>June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4220" w:type="dxa"/>
            <w:vAlign w:val="bottom"/>
            <w:gridSpan w:val="3"/>
          </w:tcPr>
          <w:p>
            <w:pPr>
              <w:jc w:val="right"/>
              <w:ind w:right="6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tcPr>
          <w:p>
            <w:pPr>
              <w:jc w:val="center"/>
              <w:ind w:left="118"/>
              <w:spacing w:after="0"/>
              <w:rPr>
                <w:sz w:val="20"/>
                <w:szCs w:val="20"/>
                <w:color w:val="auto"/>
              </w:rPr>
            </w:pPr>
            <w:r>
              <w:rPr>
                <w:rFonts w:ascii="Arial" w:cs="Arial" w:eastAsia="Arial" w:hAnsi="Arial"/>
                <w:sz w:val="14"/>
                <w:szCs w:val="14"/>
                <w:b w:val="1"/>
                <w:bCs w:val="1"/>
                <w:color w:val="auto"/>
                <w:w w:val="83"/>
              </w:rPr>
              <w:t>2011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6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5"/>
          </w:tcPr>
          <w:p>
            <w:pPr>
              <w:jc w:val="center"/>
              <w:ind w:right="8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Federal</w:t>
            </w:r>
          </w:p>
        </w:tc>
        <w:tc>
          <w:tcPr>
            <w:tcW w:w="4220" w:type="dxa"/>
            <w:vAlign w:val="bottom"/>
            <w:gridSpan w:val="3"/>
          </w:tcPr>
          <w:p>
            <w:pPr>
              <w:jc w:val="right"/>
              <w:spacing w:after="0"/>
              <w:rPr>
                <w:sz w:val="20"/>
                <w:szCs w:val="20"/>
                <w:color w:val="auto"/>
              </w:rPr>
            </w:pPr>
            <w:r>
              <w:rPr>
                <w:rFonts w:ascii="Arial" w:cs="Arial" w:eastAsia="Arial" w:hAnsi="Arial"/>
                <w:sz w:val="18"/>
                <w:szCs w:val="18"/>
                <w:color w:val="auto"/>
              </w:rPr>
              <w:t>$11,320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$ 6,104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$ 4,129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4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Foreign</w:t>
            </w:r>
          </w:p>
        </w:tc>
        <w:tc>
          <w:tcPr>
            <w:tcW w:w="364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4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13,211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Deferred:</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w:t>
            </w:r>
          </w:p>
        </w:tc>
        <w:tc>
          <w:tcPr>
            <w:tcW w:w="4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State</w:t>
            </w:r>
          </w:p>
        </w:tc>
        <w:tc>
          <w:tcPr>
            <w:tcW w:w="4220" w:type="dxa"/>
            <w:vAlign w:val="bottom"/>
            <w:gridSpan w:val="3"/>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36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3,840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(3,462)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13,302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11,634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$ 2,534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640" w:type="dxa"/>
            <w:vAlign w:val="bottom"/>
            <w:vMerge w:val="restart"/>
          </w:tcPr>
          <w:p>
            <w:pPr>
              <w:jc w:val="right"/>
              <w:ind w:right="2957"/>
              <w:spacing w:after="0"/>
              <w:rPr>
                <w:sz w:val="20"/>
                <w:szCs w:val="20"/>
                <w:color w:val="auto"/>
              </w:rPr>
            </w:pPr>
            <w:r>
              <w:rPr>
                <w:rFonts w:ascii="Arial" w:cs="Arial" w:eastAsia="Arial" w:hAnsi="Arial"/>
                <w:sz w:val="18"/>
                <w:szCs w:val="18"/>
                <w:color w:val="auto"/>
              </w:rPr>
              <w:t>- 51 -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difference between the expected income tax provision applying the domestic federal statutory tax rate and the reported income tax provision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18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Twelve Months Ended</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000" w:type="dxa"/>
            <w:vAlign w:val="bottom"/>
          </w:tcPr>
          <w:p>
            <w:pPr>
              <w:spacing w:after="0"/>
              <w:rPr>
                <w:sz w:val="11"/>
                <w:szCs w:val="11"/>
                <w:color w:val="auto"/>
              </w:rPr>
            </w:pPr>
          </w:p>
        </w:tc>
        <w:tc>
          <w:tcPr>
            <w:tcW w:w="70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1"/>
                <w:szCs w:val="11"/>
                <w:color w:val="auto"/>
              </w:rPr>
            </w:pPr>
          </w:p>
        </w:tc>
        <w:tc>
          <w:tcPr>
            <w:tcW w:w="90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June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000" w:type="dxa"/>
            <w:vAlign w:val="bottom"/>
          </w:tcPr>
          <w:p>
            <w:pPr>
              <w:spacing w:after="0"/>
              <w:rPr>
                <w:sz w:val="14"/>
                <w:szCs w:val="14"/>
                <w:color w:val="auto"/>
              </w:rPr>
            </w:pP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Expected provision for Federal income taxes at the statutory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$10,670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$10,710</w:t>
            </w:r>
          </w:p>
        </w:tc>
        <w:tc>
          <w:tcPr>
            <w:tcW w:w="3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0"/>
              </w:rPr>
              <w:t>$2,519</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580" w:type="dxa"/>
            <w:vAlign w:val="bottom"/>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1,095</w:t>
            </w:r>
          </w:p>
        </w:tc>
        <w:tc>
          <w:tcPr>
            <w:tcW w:w="32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Charges without tax benefit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(544)</w:t>
            </w:r>
          </w:p>
        </w:tc>
        <w:tc>
          <w:tcPr>
            <w:tcW w:w="2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Cumulative non-deductible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IRC S199 deduction</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(687)</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(187)</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00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00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13,302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11,634</w:t>
            </w:r>
          </w:p>
        </w:tc>
        <w:tc>
          <w:tcPr>
            <w:tcW w:w="6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2,534</w:t>
            </w: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cumulative non-deductible expenses totaling $3.1 million related to deductibility limitations applying to certain items that had previously been fully deducted, of which $2.1 million was related to prior fiscal years (fiscal 2009 to fiscal 2011) and $1.0 million was for the current fiscal year. The amounts that apply to fiscal 2012 is included in the charges without tax benefit in the above table.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900" w:type="dxa"/>
            <w:vAlign w:val="bottom"/>
            <w:gridSpan w:val="5"/>
          </w:tcPr>
          <w:p>
            <w:pPr>
              <w:ind w:left="2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2"/>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3060" w:type="dxa"/>
            <w:vAlign w:val="bottom"/>
            <w:gridSpan w:val="4"/>
          </w:tcPr>
          <w:p>
            <w:pPr>
              <w:ind w:left="2680"/>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6"/>
          </w:tcPr>
          <w:p>
            <w:pPr>
              <w:jc w:val="right"/>
              <w:ind w:right="33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Bad debt reserve</w:t>
            </w:r>
          </w:p>
        </w:tc>
        <w:tc>
          <w:tcPr>
            <w:tcW w:w="2660" w:type="dxa"/>
            <w:vAlign w:val="bottom"/>
            <w:gridSpan w:val="2"/>
          </w:tcPr>
          <w:p>
            <w:pPr>
              <w:ind w:left="256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468</w:t>
            </w:r>
          </w:p>
        </w:tc>
        <w:tc>
          <w:tcPr>
            <w:tcW w:w="2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Paid-time-off accrual</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520</w:t>
            </w:r>
          </w:p>
        </w:tc>
        <w:tc>
          <w:tcPr>
            <w:tcW w:w="2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Insurance reserve</w:t>
            </w:r>
          </w:p>
        </w:tc>
        <w:tc>
          <w:tcPr>
            <w:tcW w:w="3220" w:type="dxa"/>
            <w:vAlign w:val="bottom"/>
            <w:gridSpan w:val="5"/>
          </w:tcPr>
          <w:p>
            <w:pPr>
              <w:jc w:val="right"/>
              <w:ind w:right="160"/>
              <w:spacing w:after="0"/>
              <w:rPr>
                <w:sz w:val="20"/>
                <w:szCs w:val="20"/>
                <w:color w:val="auto"/>
              </w:rPr>
            </w:pPr>
            <w:r>
              <w:rPr>
                <w:rFonts w:ascii="Arial" w:cs="Arial" w:eastAsia="Arial" w:hAnsi="Arial"/>
                <w:sz w:val="18"/>
                <w:szCs w:val="18"/>
                <w:color w:val="auto"/>
              </w:rPr>
              <w:t>2,150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Legal reserve</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488</w:t>
            </w:r>
          </w:p>
        </w:tc>
        <w:tc>
          <w:tcPr>
            <w:tcW w:w="2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Net operating loss benefit and credit carryforwards</w:t>
            </w:r>
          </w:p>
        </w:tc>
        <w:tc>
          <w:tcPr>
            <w:tcW w:w="3220" w:type="dxa"/>
            <w:vAlign w:val="bottom"/>
            <w:gridSpan w:val="5"/>
          </w:tcPr>
          <w:p>
            <w:pPr>
              <w:jc w:val="right"/>
              <w:ind w:right="160"/>
              <w:spacing w:after="0"/>
              <w:rPr>
                <w:sz w:val="20"/>
                <w:szCs w:val="20"/>
                <w:color w:val="auto"/>
              </w:rPr>
            </w:pPr>
            <w:r>
              <w:rPr>
                <w:rFonts w:ascii="Arial" w:cs="Arial" w:eastAsia="Arial" w:hAnsi="Arial"/>
                <w:sz w:val="18"/>
                <w:szCs w:val="18"/>
                <w:color w:val="auto"/>
              </w:rPr>
              <w:t>3,788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Valuation allowance</w:t>
            </w:r>
          </w:p>
        </w:tc>
        <w:tc>
          <w:tcPr>
            <w:tcW w:w="32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2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Accrued compensation and pension</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759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compensation expense on nonvested deferred shares</w:t>
            </w:r>
          </w:p>
        </w:tc>
        <w:tc>
          <w:tcPr>
            <w:tcW w:w="32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1,189</w:t>
            </w:r>
          </w:p>
        </w:tc>
        <w:tc>
          <w:tcPr>
            <w:tcW w:w="2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Accrued losses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298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Other—net</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150</w:t>
            </w:r>
          </w:p>
        </w:tc>
        <w:tc>
          <w:tcPr>
            <w:tcW w:w="2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Total deferred tax assets</w:t>
            </w:r>
          </w:p>
        </w:tc>
        <w:tc>
          <w:tcPr>
            <w:tcW w:w="2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100" w:type="dxa"/>
            <w:vAlign w:val="bottom"/>
            <w:gridSpan w:val="2"/>
            <w:vMerge w:val="continue"/>
          </w:tcPr>
          <w:p>
            <w:pPr>
              <w:spacing w:after="0"/>
              <w:rPr>
                <w:sz w:val="19"/>
                <w:szCs w:val="19"/>
                <w:color w:val="auto"/>
              </w:rPr>
            </w:pPr>
          </w:p>
        </w:tc>
        <w:tc>
          <w:tcPr>
            <w:tcW w:w="2560" w:type="dxa"/>
            <w:vAlign w:val="bottom"/>
          </w:tcPr>
          <w:p>
            <w:pPr>
              <w:spacing w:after="0"/>
              <w:rPr>
                <w:sz w:val="19"/>
                <w:szCs w:val="19"/>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8"/>
                <w:szCs w:val="18"/>
                <w:color w:val="auto"/>
              </w:rPr>
              <w:t>9,580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8,875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Tax over book depreciation</w:t>
            </w:r>
          </w:p>
        </w:tc>
        <w:tc>
          <w:tcPr>
            <w:tcW w:w="3220" w:type="dxa"/>
            <w:vAlign w:val="bottom"/>
            <w:gridSpan w:val="5"/>
          </w:tcPr>
          <w:p>
            <w:pPr>
              <w:jc w:val="right"/>
              <w:ind w:right="160"/>
              <w:spacing w:after="0"/>
              <w:rPr>
                <w:sz w:val="20"/>
                <w:szCs w:val="20"/>
                <w:color w:val="auto"/>
              </w:rPr>
            </w:pPr>
            <w:r>
              <w:rPr>
                <w:rFonts w:ascii="Arial" w:cs="Arial" w:eastAsia="Arial" w:hAnsi="Arial"/>
                <w:sz w:val="18"/>
                <w:szCs w:val="18"/>
                <w:color w:val="auto"/>
              </w:rPr>
              <w:t>8,512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7,872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Other—net</w:t>
            </w:r>
          </w:p>
        </w:tc>
        <w:tc>
          <w:tcPr>
            <w:tcW w:w="25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1,119</w:t>
            </w:r>
          </w:p>
        </w:tc>
        <w:tc>
          <w:tcPr>
            <w:tcW w:w="2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1,185</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Total deferred tax liabilities</w:t>
            </w:r>
          </w:p>
        </w:tc>
        <w:tc>
          <w:tcPr>
            <w:tcW w:w="2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00" w:type="dxa"/>
            <w:vAlign w:val="bottom"/>
            <w:gridSpan w:val="2"/>
            <w:vMerge w:val="continue"/>
          </w:tcPr>
          <w:p>
            <w:pPr>
              <w:spacing w:after="0"/>
              <w:rPr>
                <w:sz w:val="19"/>
                <w:szCs w:val="19"/>
                <w:color w:val="auto"/>
              </w:rPr>
            </w:pPr>
          </w:p>
        </w:tc>
        <w:tc>
          <w:tcPr>
            <w:tcW w:w="2560" w:type="dxa"/>
            <w:vAlign w:val="bottom"/>
          </w:tcPr>
          <w:p>
            <w:pPr>
              <w:spacing w:after="0"/>
              <w:rPr>
                <w:sz w:val="19"/>
                <w:szCs w:val="19"/>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8"/>
                <w:szCs w:val="18"/>
                <w:color w:val="auto"/>
              </w:rPr>
              <w:t>9,631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9,057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vMerge w:val="restart"/>
          </w:tcPr>
          <w:p>
            <w:pPr>
              <w:ind w:left="440"/>
              <w:spacing w:after="0"/>
              <w:rPr>
                <w:sz w:val="20"/>
                <w:szCs w:val="20"/>
                <w:color w:val="auto"/>
              </w:rPr>
            </w:pPr>
            <w:r>
              <w:rPr>
                <w:rFonts w:ascii="Arial" w:cs="Arial" w:eastAsia="Arial" w:hAnsi="Arial"/>
                <w:sz w:val="18"/>
                <w:szCs w:val="18"/>
                <w:color w:val="auto"/>
              </w:rPr>
              <w:t>As reported in the consolidated balance sheets:</w:t>
            </w:r>
          </w:p>
        </w:tc>
        <w:tc>
          <w:tcPr>
            <w:tcW w:w="2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7080" w:type="dxa"/>
            <w:vAlign w:val="bottom"/>
            <w:vMerge w:val="continue"/>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4"/>
          </w:tcPr>
          <w:p>
            <w:pPr>
              <w:ind w:left="4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24"/>
                <w:szCs w:val="24"/>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78"/>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6"/>
              </w:rPr>
              <w:t>2012</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76"/>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6"/>
          </w:tcPr>
          <w:p>
            <w:pPr>
              <w:jc w:val="right"/>
              <w:ind w:right="27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 assets</w:t>
            </w:r>
          </w:p>
        </w:tc>
        <w:tc>
          <w:tcPr>
            <w:tcW w:w="3460" w:type="dxa"/>
            <w:vAlign w:val="bottom"/>
            <w:gridSpan w:val="6"/>
            <w:shd w:val="clear" w:color="auto" w:fill="CCEEFF"/>
          </w:tcPr>
          <w:p>
            <w:pPr>
              <w:jc w:val="right"/>
              <w:ind w:right="240"/>
              <w:spacing w:after="0"/>
              <w:rPr>
                <w:sz w:val="20"/>
                <w:szCs w:val="20"/>
                <w:color w:val="auto"/>
              </w:rPr>
            </w:pPr>
            <w:r>
              <w:rPr>
                <w:rFonts w:ascii="Arial" w:cs="Arial" w:eastAsia="Arial" w:hAnsi="Arial"/>
                <w:sz w:val="18"/>
                <w:szCs w:val="18"/>
                <w:color w:val="auto"/>
              </w:rPr>
              <w:t>$ 6,024</w:t>
            </w: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$ 5,607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Non-current deferred tax liabilities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w w:val="87"/>
              </w:rPr>
              <w:t>(6,075)</w:t>
            </w: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2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Company has state operating loss carryforwards, state investment tax credit carryforwards and federal foreign tax credit carryforwards of which a portion relates to an acquisition. The valuation allowance at June 30, 2012 and June 30, 2011 reduces the recognized tax benefit of these carryforwards to an amount that will more likely than not be realized.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carryforwards generally expire between 2017 and 2028. The $0.5 million change between June 30, 2011 and June 30, 2012 is the result of the release of the valuation allowance on foreign tax credit carryovers which have now been determined to be utilizable.</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general, it is the practice and intention of the Company to reinvest the earnings of its Canadian subsidiaries in these operations. Such amounts become subject to United States taxation upon the remittance of dividends and under certain other circumstances. As of June 30, 2012, unremitted earnings of foreign subsidiaries, which have been or are intended to be permanently invested, aggregated to approximately $3.0 million. The amount of deferred tax liability related to investments in these foreign subsidiaries is $0.3 million.</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Company files tax returns in several taxing jurisdictions in the United States and Canada. With few exceptions, the Company is no longer subject to examination by taxing authorities through fiscal 2007. At June 30, 2012, the Company updated its evaluation of its open tax years in all known jurisdictions. Based on this evaluation, the Company did not identify any uncertain tax positions.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coverage limits and self-insured retentions.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Typically our contracts require us to indemnify our customers for injury, damage or loss arising from the performance of our services and provide for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Pay Practice Class Action Lawsuits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On January 20, 2011, the Company received final court approval on the settlement of two class action lawsuits related to claims that we violated certain California state wage and hour laws. The settlement resolved all class member claims. As a result of this litigation, the Company recorded a cumulative charge of $6.1 million, of which $5.1 million was recorded in fiscal 2010 and $1.0 million was recorded in fiscal 2009. All amounts owed under the settlement were paid.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Unapproved Change Orders and Claims</w:t>
      </w:r>
    </w:p>
    <w:p>
      <w:pPr>
        <w:spacing w:after="0" w:line="9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As of June 30, 2012 and June 30, 2011, costs and estimated earnings in excess of billings on uncompleted contracts included revenues for unapproved change orders of $8.5 million and $5.1 million, respectively. There were no claims included in costs and estimated earnings in excess of billings on uncompleted contracts at June 30, 2012 and June 30, 2011. Generally, collection of amounts related to unapproved change orders and claims is expected within twelve months. However, customers may not pay these amounts until final resolution of related claims, and accordingly, collection of these amounts may extend beyond one year.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and its subsidiaries are participants in various other legal actions. It is the opinion of management that none of the known legal actions will have a material impact on the Company’s financial position, results of operations or liquidity.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9—Operating Leases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is the lessee under operating leases covering real estate and office equipment under non-cancelable operating lease agreements that expire at various times. Future minimum lease payments under non-cancelable operating leases that were in effect at June 30, 2012 total $11.4 million and are payable as follows: fiscal 2013—$4.0 million; fiscal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2014—$3.3 million; fiscal 2015—$2.8 million; fiscal 2016—$1.1 million; fiscal 2017—$0.1 million and thereafter—$0.1 million. Operating lease expense was $4.1 million, $3.6 million and $3.3 million for the twelve months ended June 30, 2012, June 30, 2011 and June 30,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10—Stockholders’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5.0 million shares of preferred stock authorized, none of which was issued or outstanding at June 30, 2012 or June 30, 2011.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On February 4, 2009 our Board of Directors authorized a stock buyback program that allows the Company to purchase up to 3,000,000 shares of common stock provided that such purchases do not exceed $25.0 million in any calendar year commencing in calendar year 2009 and continuing through calendar year 2012. The Company purchased 886,503 shares under this program during fiscal 2012 at an average price of $9.17. These shares were returned to the Company’s pool of treasury shares. We may purchase up to an additional 2,113,497 shares through the end of calendar year 2012 if such purchases do not exceed $25.0 million.</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stock buyback program, the Company may withhold shares of common stock to satisfy the tax withholding obligations upon vesting of an employee’s deferred shares. Matrix withheld 52,992 and 30,154 shares of common stock during fiscal 2012 and fiscal 2011, respectively, to satisfy these obligations. These shares were returned to the Company’s pool of treasury shares. The Company has 2,141,990 treasury shares as of June 30, 2012 and intends to utilize these treasury shares solely in connection with equity awards under the Company’s stock incentive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11—Stock-Based Compensation</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Total stock-based compensation expense for the twelve months ended June 30, 2012, June 30, 2011, and June 30, 2010 was $3.5 million, $2.4 million and $2.1 million, respectively. Measured but unrecognized stock-based compensation expense at June 30, 2012 was $7.6 million, of which $6.6 million related to nonvested deferred shares and $1.0 million related to stock options. These amounts are expected to be recognized as expense over a weighted average period of 2.1 years. The recognized tax benefit related to the stock-based compensation expense for the 12 months ended June 30, 2012, June 30, 2011 and June 30, 2010 totaled $1.3 million, $0.9 million and $0.7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Information</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Company’s 2004 Stock Incentive Plan (“2004 Plan”) provides stock-based incentives for officers, other key employees and directors. Stock options, restricted stock units, stock appreciation rights and performance shares can be issued under this plan. Awards totaling 2,300,000 shares have been authorized under this plan, of which approximately 522,000 shares were available for grant at June 30,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Stock options are granted at the market value of the Company’s common stock on the grant date and expire after 10 years. The Company’s policy is to issue shares upon the exercise of stock options from its treasury shares, if available. The Company granted 282,450 shares of stock options in fiscal 2012 under our 2004 Plan. These stock options will cliff vest three years after the grant date. All other previously issued stock options have vested.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and related information for the year ended June 30, 2012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6"/>
              </w:rPr>
              <w:t>Weighted-Average</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34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7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Remaining</w:t>
            </w:r>
          </w:p>
        </w:tc>
        <w:tc>
          <w:tcPr>
            <w:tcW w:w="10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Weighted-Average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Options</w:t>
            </w:r>
          </w:p>
        </w:tc>
        <w:tc>
          <w:tcPr>
            <w:tcW w:w="17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0"/>
              </w:rPr>
              <w:t>Contractual Life</w:t>
            </w:r>
          </w:p>
        </w:tc>
        <w:tc>
          <w:tcPr>
            <w:tcW w:w="100" w:type="dxa"/>
            <w:vAlign w:val="bottom"/>
          </w:tcPr>
          <w:p>
            <w:pPr>
              <w:spacing w:after="0"/>
              <w:rPr>
                <w:sz w:val="14"/>
                <w:szCs w:val="14"/>
                <w:color w:val="auto"/>
              </w:rPr>
            </w:pPr>
          </w:p>
        </w:tc>
        <w:tc>
          <w:tcPr>
            <w:tcW w:w="960" w:type="dxa"/>
            <w:vAlign w:val="bottom"/>
          </w:tcPr>
          <w:p>
            <w:pPr>
              <w:jc w:val="right"/>
              <w:ind w:right="35"/>
              <w:spacing w:after="0"/>
              <w:rPr>
                <w:sz w:val="20"/>
                <w:szCs w:val="20"/>
                <w:color w:val="auto"/>
              </w:rPr>
            </w:pPr>
            <w:r>
              <w:rPr>
                <w:rFonts w:ascii="Arial" w:cs="Arial" w:eastAsia="Arial" w:hAnsi="Arial"/>
                <w:sz w:val="14"/>
                <w:szCs w:val="14"/>
                <w:b w:val="1"/>
                <w:bCs w:val="1"/>
                <w:color w:val="auto"/>
                <w:w w:val="85"/>
              </w:rPr>
              <w:t>Exercise Price</w:t>
            </w:r>
          </w:p>
        </w:tc>
        <w:tc>
          <w:tcPr>
            <w:tcW w:w="7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(Years)</w:t>
            </w:r>
          </w:p>
        </w:tc>
        <w:tc>
          <w:tcPr>
            <w:tcW w:w="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292,180</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282,450</w:t>
            </w: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10.19</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(26,500)</w:t>
            </w: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vMerge w:val="restart"/>
          </w:tcPr>
          <w:p>
            <w:pPr>
              <w:ind w:left="420"/>
              <w:spacing w:after="0"/>
              <w:rPr>
                <w:sz w:val="20"/>
                <w:szCs w:val="20"/>
                <w:color w:val="auto"/>
              </w:rPr>
            </w:pPr>
            <w:r>
              <w:rPr>
                <w:rFonts w:ascii="Arial" w:cs="Arial" w:eastAsia="Arial" w:hAnsi="Arial"/>
                <w:sz w:val="18"/>
                <w:szCs w:val="18"/>
                <w:color w:val="auto"/>
              </w:rPr>
              <w:t>Cancelled</w:t>
            </w:r>
          </w:p>
        </w:tc>
        <w:tc>
          <w:tcPr>
            <w:tcW w:w="1340" w:type="dxa"/>
            <w:vAlign w:val="bottom"/>
            <w:gridSpan w:val="2"/>
            <w:vMerge w:val="restart"/>
          </w:tcPr>
          <w:p>
            <w:pPr>
              <w:jc w:val="right"/>
              <w:ind w:right="640"/>
              <w:spacing w:after="0"/>
              <w:rPr>
                <w:sz w:val="20"/>
                <w:szCs w:val="20"/>
                <w:color w:val="auto"/>
              </w:rPr>
            </w:pPr>
            <w:r>
              <w:rPr>
                <w:rFonts w:ascii="Arial" w:cs="Arial" w:eastAsia="Arial" w:hAnsi="Arial"/>
                <w:sz w:val="18"/>
                <w:szCs w:val="18"/>
                <w:color w:val="auto"/>
              </w:rPr>
              <w:t>(57,090)</w:t>
            </w: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10.27</w:t>
            </w: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2012</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491,040</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Vested or expected to vest at June 30, 2012</w:t>
            </w: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72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9.28</w:t>
            </w: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80" w:type="dxa"/>
            <w:vAlign w:val="bottom"/>
            <w:gridSpan w:val="2"/>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484,484</w:t>
            </w:r>
          </w:p>
        </w:tc>
        <w:tc>
          <w:tcPr>
            <w:tcW w:w="7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June 30, 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265,640</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 uses the Black-Scholes option pricing model to estimate grant date fair value for each stock option granted. Expected volatility is based on the historic volatility of the Company’s stock. The risk-free rate is based on the applicable United States Treasury Note rate. The expected life of the option is based on historical and expected future exercise behavior.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Assumptions used to calculate the fiscal 2012 grant date fair value and the fair value calculated was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8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 date fair value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$ 5.61</w:t>
            </w:r>
          </w:p>
        </w:tc>
        <w:tc>
          <w:tcPr>
            <w:tcW w:w="200" w:type="dxa"/>
            <w:vAlign w:val="bottom"/>
            <w:shd w:val="clear" w:color="auto" w:fill="CCEEFF"/>
          </w:tcPr>
          <w:p>
            <w:pPr>
              <w:spacing w:after="0"/>
              <w:rPr>
                <w:sz w:val="18"/>
                <w:szCs w:val="18"/>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0.88%</w:t>
            </w: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66.19%</w:t>
            </w: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Expected life in years</w:t>
            </w:r>
          </w:p>
        </w:tc>
        <w:tc>
          <w:tcPr>
            <w:tcW w:w="500" w:type="dxa"/>
            <w:vAlign w:val="bottom"/>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8"/>
                <w:szCs w:val="18"/>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total intrinsic value of stock options exercised during fiscal 2012, 2011, and 2010 was $0.1 million, $0.2 million and $0.2 million, respectively.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options at June 30,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Stock Options Outstanding</w:t>
            </w:r>
          </w:p>
        </w:tc>
        <w:tc>
          <w:tcPr>
            <w:tcW w:w="9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w w:val="87"/>
              </w:rPr>
              <w:t>Stock Options Exercisable</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5"/>
              </w:rPr>
              <w:t>Weighted-</w:t>
            </w:r>
          </w:p>
        </w:tc>
        <w:tc>
          <w:tcPr>
            <w:tcW w:w="15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Average</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Weighted-</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4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86"/>
              </w:rPr>
              <w:t>Range of Exercise Price</w:t>
            </w:r>
          </w:p>
        </w:tc>
        <w:tc>
          <w:tcPr>
            <w:tcW w:w="1280" w:type="dxa"/>
            <w:vAlign w:val="bottom"/>
          </w:tcPr>
          <w:p>
            <w:pPr>
              <w:spacing w:after="0"/>
              <w:rPr>
                <w:sz w:val="12"/>
                <w:szCs w:val="12"/>
                <w:color w:val="auto"/>
              </w:rPr>
            </w:pPr>
          </w:p>
        </w:tc>
        <w:tc>
          <w:tcPr>
            <w:tcW w:w="740" w:type="dxa"/>
            <w:vAlign w:val="bottom"/>
          </w:tcPr>
          <w:p>
            <w:pPr>
              <w:jc w:val="right"/>
              <w:ind w:right="62"/>
              <w:spacing w:after="0" w:line="149" w:lineRule="exact"/>
              <w:rPr>
                <w:sz w:val="20"/>
                <w:szCs w:val="20"/>
                <w:color w:val="auto"/>
              </w:rPr>
            </w:pPr>
            <w:r>
              <w:rPr>
                <w:rFonts w:ascii="Arial" w:cs="Arial" w:eastAsia="Arial" w:hAnsi="Arial"/>
                <w:sz w:val="14"/>
                <w:szCs w:val="14"/>
                <w:b w:val="1"/>
                <w:bCs w:val="1"/>
                <w:color w:val="auto"/>
              </w:rPr>
              <w:t>Options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4"/>
              </w:rPr>
              <w:t>Average</w:t>
            </w:r>
          </w:p>
        </w:tc>
        <w:tc>
          <w:tcPr>
            <w:tcW w:w="15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Remaining</w:t>
            </w:r>
          </w:p>
        </w:tc>
        <w:tc>
          <w:tcPr>
            <w:tcW w:w="660" w:type="dxa"/>
            <w:vAlign w:val="bottom"/>
          </w:tcPr>
          <w:p>
            <w:pPr>
              <w:jc w:val="right"/>
              <w:ind w:right="19"/>
              <w:spacing w:after="0" w:line="149" w:lineRule="exact"/>
              <w:rPr>
                <w:sz w:val="20"/>
                <w:szCs w:val="20"/>
                <w:color w:val="auto"/>
              </w:rPr>
            </w:pPr>
            <w:r>
              <w:rPr>
                <w:rFonts w:ascii="Arial" w:cs="Arial" w:eastAsia="Arial" w:hAnsi="Arial"/>
                <w:sz w:val="14"/>
                <w:szCs w:val="14"/>
                <w:b w:val="1"/>
                <w:bCs w:val="1"/>
                <w:color w:val="auto"/>
              </w:rPr>
              <w:t>Options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Average</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1280" w:type="dxa"/>
            <w:vAlign w:val="bottom"/>
          </w:tcPr>
          <w:p>
            <w:pPr>
              <w:spacing w:after="0"/>
              <w:rPr>
                <w:sz w:val="13"/>
                <w:szCs w:val="13"/>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3"/>
                <w:szCs w:val="13"/>
                <w:color w:val="auto"/>
              </w:rPr>
            </w:pPr>
          </w:p>
        </w:tc>
        <w:tc>
          <w:tcPr>
            <w:tcW w:w="13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Exercise Price</w:t>
            </w:r>
          </w:p>
        </w:tc>
        <w:tc>
          <w:tcPr>
            <w:tcW w:w="152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w w:val="88"/>
              </w:rPr>
              <w:t>Contractual Life</w:t>
            </w:r>
          </w:p>
        </w:tc>
        <w:tc>
          <w:tcPr>
            <w:tcW w:w="66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2"/>
              </w:rPr>
              <w:t>Exercisable</w:t>
            </w:r>
          </w:p>
        </w:tc>
        <w:tc>
          <w:tcPr>
            <w:tcW w:w="540" w:type="dxa"/>
            <w:vAlign w:val="bottom"/>
          </w:tcPr>
          <w:p>
            <w:pPr>
              <w:spacing w:after="0"/>
              <w:rPr>
                <w:sz w:val="13"/>
                <w:szCs w:val="13"/>
                <w:color w:val="auto"/>
              </w:rPr>
            </w:pPr>
          </w:p>
        </w:tc>
        <w:tc>
          <w:tcPr>
            <w:tcW w:w="13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Exercise Price</w:t>
            </w:r>
          </w:p>
        </w:tc>
        <w:tc>
          <w:tcPr>
            <w:tcW w:w="106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w w:val="88"/>
              </w:rPr>
              <w:t>Contractual Life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(Years)</w:t>
            </w:r>
          </w:p>
        </w:tc>
        <w:tc>
          <w:tcPr>
            <w:tcW w:w="5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(Years)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 $</w:t>
            </w: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3.70</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3.70</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5.49</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81,900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4.79</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2.5</w:t>
            </w:r>
          </w:p>
        </w:tc>
        <w:tc>
          <w:tcPr>
            <w:tcW w:w="660" w:type="dxa"/>
            <w:vAlign w:val="bottom"/>
          </w:tcPr>
          <w:p>
            <w:pPr>
              <w:jc w:val="right"/>
              <w:spacing w:after="0"/>
              <w:rPr>
                <w:sz w:val="20"/>
                <w:szCs w:val="20"/>
                <w:color w:val="auto"/>
              </w:rPr>
            </w:pPr>
            <w:r>
              <w:rPr>
                <w:rFonts w:ascii="Arial" w:cs="Arial" w:eastAsia="Arial" w:hAnsi="Arial"/>
                <w:sz w:val="18"/>
                <w:szCs w:val="18"/>
                <w:color w:val="auto"/>
              </w:rPr>
              <w:t>81,900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4.79</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4"/>
              </w:rPr>
              <w:t>12.20</w:t>
            </w: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392,540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10.47</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167,140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gridSpan w:val="2"/>
            <w:vMerge w:val="restart"/>
          </w:tcPr>
          <w:p>
            <w:pPr>
              <w:jc w:val="right"/>
              <w:spacing w:after="0"/>
              <w:rPr>
                <w:sz w:val="20"/>
                <w:szCs w:val="20"/>
                <w:color w:val="auto"/>
              </w:rPr>
            </w:pPr>
            <w:r>
              <w:rPr>
                <w:rFonts w:ascii="Arial" w:cs="Arial" w:eastAsia="Arial" w:hAnsi="Arial"/>
                <w:sz w:val="18"/>
                <w:szCs w:val="18"/>
                <w:color w:val="auto"/>
              </w:rPr>
              <w:t>$2.13</w:t>
            </w: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w w:val="79"/>
              </w:rPr>
              <w:t>– $</w:t>
            </w:r>
          </w:p>
        </w:tc>
        <w:tc>
          <w:tcPr>
            <w:tcW w:w="700" w:type="dxa"/>
            <w:vAlign w:val="bottom"/>
            <w:vMerge w:val="restart"/>
          </w:tcPr>
          <w:p>
            <w:pPr>
              <w:jc w:val="right"/>
              <w:ind w:right="212"/>
              <w:spacing w:after="0"/>
              <w:rPr>
                <w:sz w:val="20"/>
                <w:szCs w:val="20"/>
                <w:color w:val="auto"/>
              </w:rPr>
            </w:pPr>
            <w:r>
              <w:rPr>
                <w:rFonts w:ascii="Arial" w:cs="Arial" w:eastAsia="Arial" w:hAnsi="Arial"/>
                <w:sz w:val="18"/>
                <w:szCs w:val="18"/>
                <w:color w:val="auto"/>
                <w:w w:val="84"/>
              </w:rPr>
              <w:t>12.20</w:t>
            </w:r>
          </w:p>
        </w:tc>
        <w:tc>
          <w:tcPr>
            <w:tcW w:w="1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40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491,040</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9.29</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5.5</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265,640</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8.53</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Nonvested Deferred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issued nonvested deferred shares under the following types of arrangements:</w:t>
      </w:r>
    </w:p>
    <w:p>
      <w:pPr>
        <w:spacing w:after="0" w:line="90" w:lineRule="exact"/>
        <w:rPr>
          <w:sz w:val="20"/>
          <w:szCs w:val="20"/>
          <w:color w:val="auto"/>
        </w:rPr>
      </w:pPr>
    </w:p>
    <w:p>
      <w:pPr>
        <w:ind w:left="900" w:right="10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Time based awards—Employee awards generally vest in four or five year equal annual installments beginning one year after the grant date. Director awards cliff vest on the earlier of three years or upon retirement from the Board.</w:t>
      </w:r>
    </w:p>
    <w:p>
      <w:pPr>
        <w:spacing w:after="0" w:line="5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Performance based awards—These awards vest three years after the grant date only if actual performance meets or exceeds established performance criteria. The payout is pro-rated based on actual performance and can range from zero to one hundred percent of the original award. These awards also provide for an additional award of up to 50%</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55 -</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920" w:right="40"/>
        <w:spacing w:after="0" w:line="335" w:lineRule="auto"/>
        <w:rPr>
          <w:sz w:val="20"/>
          <w:szCs w:val="20"/>
          <w:color w:val="auto"/>
        </w:rPr>
      </w:pPr>
      <w:r>
        <w:rPr>
          <w:rFonts w:ascii="Arial" w:cs="Arial" w:eastAsia="Arial" w:hAnsi="Arial"/>
          <w:sz w:val="15"/>
          <w:szCs w:val="15"/>
          <w:color w:val="auto"/>
        </w:rPr>
        <w:t>of the original award in the form of phantom shares. The phantom share awards do not vest unless certain stretch financial targets are achieved and are settled in cash. As of June 30, 2012, there are approximately 43,000 performance based shares that are scheduled to vest in the second quarter of fiscal 2013. However, attainment of the performance criteria is considered remote; therefore, no expense has been recognized on these awards.</w:t>
      </w:r>
    </w:p>
    <w:p>
      <w:pPr>
        <w:spacing w:after="0" w:line="7" w:lineRule="exact"/>
        <w:rPr>
          <w:sz w:val="20"/>
          <w:szCs w:val="20"/>
          <w:color w:val="auto"/>
        </w:rPr>
      </w:pPr>
    </w:p>
    <w:p>
      <w:pPr>
        <w:ind w:left="900" w:right="60" w:hanging="325"/>
        <w:spacing w:after="0" w:line="289"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Market based awards—These awards vest three years after the grant date if total shareholder return on the Company’s common stock achieves certain levels when compared to the total shareholder return of a peer group of companies as selected by the Compensation Committee of the Board of Directors. The payout is pro-rated and can range from zero to one hundred percent of the original award. These awards also provide for an additional award of up to 50% of the original award in the form of phantom shares. The phantom share awards are settled in cash and do not vest unless the total shareholder return on the Company’s common stock is within the top ten percent of the total shareholder return of the peer companies. As of June 30, 2012, there are approximately 43,000 market based shares that are scheduled to vest in the second quarter of fiscal 2013. At the current time, we are recognizing stock compensation expense based on a target payment. The expense will be adjusted when the relative performance of the Company’s common stock is known or if warranted by other factors.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awards vest upon the death or disability of the participant or upon a change of control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Nonvested deferred share activity for the twelve months ended June 30, 2012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Weighted Average Grant</w:t>
            </w: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w w:val="93"/>
              </w:rPr>
              <w:t>Date Fair Value per Share</w:t>
            </w: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Nonvested shares at June 30, 2011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957,008</w:t>
            </w:r>
          </w:p>
        </w:tc>
        <w:tc>
          <w:tcPr>
            <w:tcW w:w="5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Shares 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364,600</w:t>
            </w:r>
          </w:p>
        </w:tc>
        <w:tc>
          <w:tcPr>
            <w:tcW w:w="520" w:type="dxa"/>
            <w:vAlign w:val="bottom"/>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Shares vested and released</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(184,149)</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Shares cancelled</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(166,465)</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Nonvested shares at June 30, 2012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970,994</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There were 405,500 and 516,675 deferred shares granted in fiscal 2011 and 2010 with average grant date fair values of $10.57 and $9.74, respectively. There were 184,149, 126,428 and 165,291 deferred shares that vested and were issued in fiscal 2012, 2011 and 2010 with weighted average fair values of $10.23, $9.52 and $9.70 per share,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12—Earnings per Common Share</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Basic earnings per share (“EPS”) is calculated based on the weighted average shares outstanding during the period. Diluted earnings per share includes the dilutive effect of employee and director stock options and nonvested deferred shares. Stock options are considered dilutive whenever the exercise price is less than the average market price of the stock during the period and antidilutive whenever the exercise price exceeds the average market price of the common stock during the period. Nonvested deferred shares are considered dilutive (antidilutive) whenever the average market value of the shares during the period exceeds (is less than) the sum or the related average unamortized compensation expense during the period plus the related hypothetical estimated excess tax benefit that will be realized when the shares vest. Stock options and nonvested deferred shares are considered antidilutive in the event we report a net loss.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computation of basic and diluted EPS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Twelve Months Ended</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June 30,</w:t>
            </w:r>
          </w:p>
        </w:tc>
        <w:tc>
          <w:tcPr>
            <w:tcW w:w="420" w:type="dxa"/>
            <w:vAlign w:val="bottom"/>
          </w:tcPr>
          <w:p>
            <w:pPr>
              <w:spacing w:after="0"/>
              <w:rPr>
                <w:sz w:val="11"/>
                <w:szCs w:val="11"/>
                <w:color w:val="auto"/>
              </w:rPr>
            </w:pPr>
          </w:p>
        </w:tc>
        <w:tc>
          <w:tcPr>
            <w:tcW w:w="1000" w:type="dxa"/>
            <w:vAlign w:val="bottom"/>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85"/>
              </w:rPr>
              <w:t>June 30,</w:t>
            </w: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June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2011</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7"/>
          </w:tcPr>
          <w:p>
            <w:pPr>
              <w:jc w:val="center"/>
              <w:ind w:right="14"/>
              <w:spacing w:after="0" w:line="142" w:lineRule="exact"/>
              <w:rPr>
                <w:sz w:val="20"/>
                <w:szCs w:val="20"/>
                <w:color w:val="auto"/>
              </w:rPr>
            </w:pPr>
            <w:r>
              <w:rPr>
                <w:rFonts w:ascii="Arial" w:cs="Arial" w:eastAsia="Arial" w:hAnsi="Arial"/>
                <w:sz w:val="14"/>
                <w:szCs w:val="14"/>
                <w:b w:val="1"/>
                <w:bCs w:val="1"/>
                <w:color w:val="auto"/>
                <w:w w:val="85"/>
              </w:rPr>
              <w:t>(In thousands,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17,188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18,982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25,921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26,406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Basic EPS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0.66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0.72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Weighted average shares outstanding—basic</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25,921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26,406</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Dilutive stock options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Dilutive nonvested deferred shares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26,686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Diluted EPS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0.65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0.71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securities are considered antidilutive and have been excluded from the calculation of diluted earnings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Twelve Months Ended</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884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June 30,</w:t>
            </w:r>
          </w:p>
        </w:tc>
        <w:tc>
          <w:tcPr>
            <w:tcW w:w="500" w:type="dxa"/>
            <w:vAlign w:val="bottom"/>
          </w:tcPr>
          <w:p>
            <w:pPr>
              <w:spacing w:after="0"/>
              <w:rPr>
                <w:sz w:val="11"/>
                <w:szCs w:val="11"/>
                <w:color w:val="auto"/>
              </w:rPr>
            </w:pPr>
          </w:p>
        </w:tc>
        <w:tc>
          <w:tcPr>
            <w:tcW w:w="98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5"/>
              </w:rPr>
              <w:t>June 30,</w:t>
            </w:r>
          </w:p>
        </w:tc>
        <w:tc>
          <w:tcPr>
            <w:tcW w:w="4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June 30,</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5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980" w:type="dxa"/>
            <w:vAlign w:val="bottom"/>
            <w:tcBorders>
              <w:bottom w:val="single" w:sz="8" w:color="auto"/>
            </w:tcBorders>
            <w:gridSpan w:val="2"/>
          </w:tcPr>
          <w:p>
            <w:pPr>
              <w:jc w:val="center"/>
              <w:ind w:left="404"/>
              <w:spacing w:after="0"/>
              <w:rPr>
                <w:sz w:val="20"/>
                <w:szCs w:val="20"/>
                <w:color w:val="auto"/>
              </w:rPr>
            </w:pPr>
            <w:r>
              <w:rPr>
                <w:rFonts w:ascii="Arial" w:cs="Arial" w:eastAsia="Arial" w:hAnsi="Arial"/>
                <w:sz w:val="14"/>
                <w:szCs w:val="14"/>
                <w:b w:val="1"/>
                <w:bCs w:val="1"/>
                <w:color w:val="auto"/>
                <w:w w:val="83"/>
              </w:rPr>
              <w:t>2011</w:t>
            </w: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4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Nonvested deferred shares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Total antidilutive securities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4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13—Employee Benefit Plans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9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Company sponsors defined contribution savings plans for all eligible employees meeting length of service requirements. Under the primary plan, participants may contribute an amount up to 25% of pretax annual compensation subject to certain limitations. The Company matches 100% of the first 3% of employee contributions and 50% of the next 2% of employee contributions. The Company matching contributions vest immediately.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matching contributions were $3.3 million, $3.0 million and $3.1 million for the twelve months ended June 30, 2012, 2011, and 2010.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contributes to various union sponsored multiemployer benefit plans in the U.S. and Canada. Benefits under these plans are generally based on compensation levels and years of service.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Company, the financial risks of participating in multiemployer plans are different from single-employer plans in the following respects:</w:t>
      </w:r>
    </w:p>
    <w:p>
      <w:pPr>
        <w:spacing w:after="0" w:line="113"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Assets contributed to the multiemployer plan by one employer may be used to provide benefits to employees of other participating employers.</w:t>
      </w:r>
    </w:p>
    <w:p>
      <w:pPr>
        <w:spacing w:after="0" w:line="113" w:lineRule="exact"/>
        <w:rPr>
          <w:rFonts w:ascii="Arial" w:cs="Arial" w:eastAsia="Arial" w:hAnsi="Arial"/>
          <w:sz w:val="16"/>
          <w:szCs w:val="16"/>
          <w:color w:val="auto"/>
        </w:rPr>
      </w:pPr>
    </w:p>
    <w:p>
      <w:pPr>
        <w:ind w:left="900" w:right="30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 participating employer discontinues contributions to a plan, the unfunded obligations of the plan may be borne by the remaining participating employers.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 participating employer chooses to stop participating in a plan, a withdrawal liability may be created based on the unfunded vested benefits for all employees in the plan.</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57 -</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federal legislation regarding multiemployer pension plans, in the event of a withdrawal from a plan or plan termination, companies are required to continue funding their proportionate share of such plan’s unfunded vested benefits. We are a participant in multiple union sponsored multiemployer plans, and, as a plan participant, our potential obligation could be significant. The amount of the potential obligation is not currently ascertainable because the information required to determine such amount is not identifiable or readily available.</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September 2011, the FASB issued ASU 2011-09, requiring employers to provide additional quantitative and qualitative disclosures for multiemployer plans. Our participation in significant plans for the fiscal year ended June 30, 2012 is outlined in the table below. The “EIN/Pension Plan Number” column provides the Employer Identification Number (“EIN”) and the three digit plan number. The zone status is based on the latest information that the Company received from the plan and is certified by the plan’s actuary. Plans in the red zone are generally less than 65 percent funded, plans in the yellow zone are less than 80 percent funded, and plans in the green zone are at least 80 percent funded. The “FIP/RP Status Pending/Implemented” column indicates plans for which a financial improvement plan (“FIP”) or a rehabilitation plan (“RP”) is either pending or has been implemented. The “Surcharge Imposed” column includes plans in a red zone status that require a payment of a surcharge in excess of regular contributions. The last column lists the expiration date of the collective-bargaining agreement to which the plan is subject.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84"/>
              </w:rPr>
              <w:t>Pension</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8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FIP/RP</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gridSpan w:val="2"/>
            <w:vMerge w:val="restart"/>
          </w:tcPr>
          <w:p>
            <w:pPr>
              <w:ind w:left="180"/>
              <w:spacing w:after="0" w:line="149" w:lineRule="exact"/>
              <w:rPr>
                <w:sz w:val="20"/>
                <w:szCs w:val="20"/>
                <w:color w:val="auto"/>
              </w:rPr>
            </w:pPr>
            <w:r>
              <w:rPr>
                <w:rFonts w:ascii="Arial" w:cs="Arial" w:eastAsia="Arial" w:hAnsi="Arial"/>
                <w:sz w:val="14"/>
                <w:szCs w:val="14"/>
                <w:b w:val="1"/>
                <w:bCs w:val="1"/>
                <w:color w:val="auto"/>
              </w:rPr>
              <w:t>Date of</w:t>
            </w: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gridSpan w:val="4"/>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Protection Act</w:t>
            </w:r>
          </w:p>
        </w:tc>
        <w:tc>
          <w:tcPr>
            <w:tcW w:w="8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gridSpan w:val="10"/>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Company Contributions</w:t>
            </w: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8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Status</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20" w:type="dxa"/>
            <w:vAlign w:val="bottom"/>
            <w:gridSpan w:val="10"/>
            <w:vMerge w:val="continue"/>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Collective-</w:t>
            </w: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87"/>
              </w:rPr>
              <w:t>Zone Status</w:t>
            </w:r>
          </w:p>
        </w:tc>
        <w:tc>
          <w:tcPr>
            <w:tcW w:w="8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9"/>
              </w:rPr>
              <w:t>Fiscal Year</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0" w:type="dxa"/>
            <w:vAlign w:val="bottom"/>
            <w:gridSpan w:val="2"/>
            <w:vMerge w:val="restart"/>
          </w:tcPr>
          <w:p>
            <w:pPr>
              <w:ind w:left="240"/>
              <w:spacing w:after="0" w:line="149" w:lineRule="exact"/>
              <w:rPr>
                <w:sz w:val="20"/>
                <w:szCs w:val="20"/>
                <w:color w:val="auto"/>
              </w:rPr>
            </w:pPr>
            <w:r>
              <w:rPr>
                <w:rFonts w:ascii="Arial" w:cs="Arial" w:eastAsia="Arial" w:hAnsi="Arial"/>
                <w:sz w:val="14"/>
                <w:szCs w:val="14"/>
                <w:b w:val="1"/>
                <w:bCs w:val="1"/>
                <w:color w:val="auto"/>
              </w:rPr>
              <w:t>EIN/Pension</w:t>
            </w:r>
          </w:p>
        </w:tc>
        <w:tc>
          <w:tcPr>
            <w:tcW w:w="1500" w:type="dxa"/>
            <w:vAlign w:val="bottom"/>
            <w:gridSpan w:val="4"/>
            <w:vMerge w:val="continue"/>
          </w:tcPr>
          <w:p>
            <w:pPr>
              <w:spacing w:after="0"/>
              <w:rPr>
                <w:sz w:val="9"/>
                <w:szCs w:val="9"/>
                <w:color w:val="auto"/>
              </w:rPr>
            </w:pPr>
          </w:p>
        </w:tc>
        <w:tc>
          <w:tcPr>
            <w:tcW w:w="8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Pending or</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83"/>
              </w:rPr>
              <w:t>Surcharge</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Bargaining</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2"/>
            <w:vMerge w:val="restart"/>
          </w:tcPr>
          <w:p>
            <w:pPr>
              <w:jc w:val="center"/>
              <w:ind w:right="1420"/>
              <w:spacing w:after="0"/>
              <w:rPr>
                <w:sz w:val="20"/>
                <w:szCs w:val="20"/>
                <w:color w:val="auto"/>
              </w:rPr>
            </w:pPr>
            <w:r>
              <w:rPr>
                <w:rFonts w:ascii="Arial" w:cs="Arial" w:eastAsia="Arial" w:hAnsi="Arial"/>
                <w:sz w:val="14"/>
                <w:szCs w:val="14"/>
                <w:b w:val="1"/>
                <w:bCs w:val="1"/>
                <w:color w:val="auto"/>
                <w:w w:val="86"/>
              </w:rPr>
              <w:t>Pension Fund</w:t>
            </w:r>
          </w:p>
        </w:tc>
        <w:tc>
          <w:tcPr>
            <w:tcW w:w="1400" w:type="dxa"/>
            <w:vAlign w:val="bottom"/>
            <w:gridSpan w:val="2"/>
            <w:vMerge w:val="continue"/>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140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Plan Number</w:t>
            </w:r>
          </w:p>
        </w:tc>
        <w:tc>
          <w:tcPr>
            <w:tcW w:w="560" w:type="dxa"/>
            <w:vAlign w:val="bottom"/>
          </w:tcPr>
          <w:p>
            <w:pPr>
              <w:ind w:left="160"/>
              <w:spacing w:after="0" w:line="148"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3"/>
                <w:szCs w:val="13"/>
                <w:color w:val="auto"/>
              </w:rPr>
            </w:pPr>
          </w:p>
        </w:tc>
        <w:tc>
          <w:tcPr>
            <w:tcW w:w="560" w:type="dxa"/>
            <w:vAlign w:val="bottom"/>
          </w:tcPr>
          <w:p>
            <w:pPr>
              <w:jc w:val="right"/>
              <w:ind w:right="57"/>
              <w:spacing w:after="0" w:line="148"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3"/>
                <w:szCs w:val="13"/>
                <w:color w:val="auto"/>
              </w:rPr>
            </w:pPr>
          </w:p>
        </w:tc>
        <w:tc>
          <w:tcPr>
            <w:tcW w:w="86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w w:val="85"/>
              </w:rPr>
              <w:t>Implemented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8"/>
              <w:spacing w:after="0" w:line="148"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center"/>
              <w:ind w:right="16"/>
              <w:spacing w:after="0" w:line="148"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56"/>
              <w:spacing w:after="0" w:line="148"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3"/>
                <w:szCs w:val="13"/>
                <w:color w:val="auto"/>
              </w:rPr>
            </w:pPr>
          </w:p>
        </w:tc>
        <w:tc>
          <w:tcPr>
            <w:tcW w:w="800" w:type="dxa"/>
            <w:vAlign w:val="bottom"/>
            <w:gridSpan w:val="2"/>
          </w:tcPr>
          <w:p>
            <w:pPr>
              <w:jc w:val="right"/>
              <w:ind w:right="240"/>
              <w:spacing w:after="0" w:line="148" w:lineRule="exact"/>
              <w:rPr>
                <w:sz w:val="20"/>
                <w:szCs w:val="20"/>
                <w:color w:val="auto"/>
              </w:rPr>
            </w:pPr>
            <w:r>
              <w:rPr>
                <w:rFonts w:ascii="Arial" w:cs="Arial" w:eastAsia="Arial" w:hAnsi="Arial"/>
                <w:sz w:val="14"/>
                <w:szCs w:val="14"/>
                <w:b w:val="1"/>
                <w:bCs w:val="1"/>
                <w:color w:val="auto"/>
                <w:w w:val="93"/>
              </w:rPr>
              <w:t>Imposed</w:t>
            </w:r>
          </w:p>
        </w:tc>
        <w:tc>
          <w:tcPr>
            <w:tcW w:w="86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Agreement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4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4"/>
          </w:tcPr>
          <w:p>
            <w:pPr>
              <w:jc w:val="center"/>
              <w:spacing w:after="0" w:line="149" w:lineRule="exact"/>
              <w:rPr>
                <w:sz w:val="20"/>
                <w:szCs w:val="20"/>
                <w:color w:val="auto"/>
              </w:rPr>
            </w:pPr>
            <w:r>
              <w:rPr>
                <w:rFonts w:ascii="Arial" w:cs="Arial" w:eastAsia="Arial" w:hAnsi="Arial"/>
                <w:sz w:val="14"/>
                <w:szCs w:val="14"/>
                <w:b w:val="1"/>
                <w:bCs w:val="1"/>
                <w:color w:val="auto"/>
                <w:w w:val="84"/>
              </w:rPr>
              <w:t>(In thousands)</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3600" w:type="dxa"/>
            <w:vAlign w:val="bottom"/>
            <w:gridSpan w:val="4"/>
            <w:shd w:val="clear" w:color="auto" w:fill="CCEEFF"/>
          </w:tcPr>
          <w:p>
            <w:pPr>
              <w:jc w:val="center"/>
              <w:ind w:right="80"/>
              <w:spacing w:after="0"/>
              <w:rPr>
                <w:sz w:val="20"/>
                <w:szCs w:val="20"/>
                <w:color w:val="auto"/>
              </w:rPr>
            </w:pPr>
            <w:r>
              <w:rPr>
                <w:rFonts w:ascii="Arial" w:cs="Arial" w:eastAsia="Arial" w:hAnsi="Arial"/>
                <w:sz w:val="18"/>
                <w:szCs w:val="18"/>
                <w:color w:val="auto"/>
                <w:w w:val="90"/>
              </w:rPr>
              <w:t>Boilermaker-Blacksmith National Pension Trust</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6"/>
              </w:rPr>
              <w:t>Described</w:t>
            </w:r>
          </w:p>
        </w:tc>
        <w:tc>
          <w:tcPr>
            <w:tcW w:w="0" w:type="dxa"/>
            <w:vAlign w:val="bottom"/>
          </w:tcPr>
          <w:p>
            <w:pPr>
              <w:spacing w:after="0"/>
              <w:rPr>
                <w:sz w:val="1"/>
                <w:szCs w:val="1"/>
                <w:color w:val="auto"/>
              </w:rPr>
            </w:pPr>
          </w:p>
        </w:tc>
      </w:tr>
      <w:tr>
        <w:trPr>
          <w:trHeight w:val="224"/>
        </w:trPr>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48-6168020/001</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Yellow</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Yellow</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Yes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No</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below (1)</w:t>
            </w:r>
          </w:p>
        </w:tc>
        <w:tc>
          <w:tcPr>
            <w:tcW w:w="0" w:type="dxa"/>
            <w:vAlign w:val="bottom"/>
          </w:tcPr>
          <w:p>
            <w:pPr>
              <w:spacing w:after="0"/>
              <w:rPr>
                <w:sz w:val="1"/>
                <w:szCs w:val="1"/>
                <w:color w:val="auto"/>
              </w:rPr>
            </w:pPr>
          </w:p>
        </w:tc>
      </w:tr>
      <w:tr>
        <w:trPr>
          <w:trHeight w:val="322"/>
        </w:trPr>
        <w:tc>
          <w:tcPr>
            <w:tcW w:w="3600" w:type="dxa"/>
            <w:vAlign w:val="bottom"/>
            <w:gridSpan w:val="4"/>
          </w:tcPr>
          <w:p>
            <w:pPr>
              <w:jc w:val="center"/>
              <w:ind w:right="80"/>
              <w:spacing w:after="0"/>
              <w:rPr>
                <w:sz w:val="20"/>
                <w:szCs w:val="20"/>
                <w:color w:val="auto"/>
              </w:rPr>
            </w:pPr>
            <w:r>
              <w:rPr>
                <w:rFonts w:ascii="Arial" w:cs="Arial" w:eastAsia="Arial" w:hAnsi="Arial"/>
                <w:sz w:val="18"/>
                <w:szCs w:val="18"/>
                <w:color w:val="auto"/>
                <w:w w:val="90"/>
              </w:rPr>
              <w:t>Joint Pension Fund Local Union 164 IBEW (2)</w:t>
            </w: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22-6031199/001</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Yellow</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Yellow</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Yes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1,538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3,054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2,512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No</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w w:val="97"/>
              </w:rPr>
              <w:t>5/31/2013</w:t>
            </w: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0" w:type="dxa"/>
            <w:vAlign w:val="bottom"/>
            <w:gridSpan w:val="4"/>
            <w:shd w:val="clear" w:color="auto" w:fill="CCEEFF"/>
          </w:tcPr>
          <w:p>
            <w:pPr>
              <w:jc w:val="center"/>
              <w:ind w:right="80"/>
              <w:spacing w:after="0"/>
              <w:rPr>
                <w:sz w:val="20"/>
                <w:szCs w:val="20"/>
                <w:color w:val="auto"/>
              </w:rPr>
            </w:pPr>
            <w:r>
              <w:rPr>
                <w:rFonts w:ascii="Arial" w:cs="Arial" w:eastAsia="Arial" w:hAnsi="Arial"/>
                <w:sz w:val="18"/>
                <w:szCs w:val="18"/>
                <w:color w:val="auto"/>
                <w:w w:val="89"/>
              </w:rPr>
              <w:t>Local 351 IBEW Pension Plan (2)</w:t>
            </w: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22-3417366/001</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Yellow</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Yellow</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Yes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No</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9/30/2012</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760" w:type="dxa"/>
            <w:vAlign w:val="bottom"/>
            <w:gridSpan w:val="8"/>
          </w:tcPr>
          <w:p>
            <w:pPr>
              <w:ind w:left="60"/>
              <w:spacing w:after="0"/>
              <w:rPr>
                <w:sz w:val="20"/>
                <w:szCs w:val="20"/>
                <w:color w:val="auto"/>
              </w:rPr>
            </w:pPr>
            <w:r>
              <w:rPr>
                <w:rFonts w:ascii="Arial" w:cs="Arial" w:eastAsia="Arial" w:hAnsi="Arial"/>
                <w:sz w:val="18"/>
                <w:szCs w:val="18"/>
                <w:color w:val="auto"/>
              </w:rPr>
              <w:t>Contributions to other multiemployer plans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11,014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11,034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7,746</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60" w:type="dxa"/>
            <w:vAlign w:val="bottom"/>
            <w:gridSpan w:val="6"/>
            <w:shd w:val="clear" w:color="auto" w:fill="CCEEFF"/>
          </w:tcPr>
          <w:p>
            <w:pPr>
              <w:ind w:left="60"/>
              <w:spacing w:after="0"/>
              <w:rPr>
                <w:sz w:val="20"/>
                <w:szCs w:val="20"/>
                <w:color w:val="auto"/>
              </w:rPr>
            </w:pPr>
            <w:r>
              <w:rPr>
                <w:rFonts w:ascii="Arial" w:cs="Arial" w:eastAsia="Arial" w:hAnsi="Arial"/>
                <w:sz w:val="18"/>
                <w:szCs w:val="18"/>
                <w:color w:val="auto"/>
              </w:rPr>
              <w:t>Total contributions made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16,537</w:t>
            </w: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20,803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16,579</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right="20" w:hanging="332"/>
        <w:spacing w:after="0" w:line="25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collective bargaining agreements with the Boilermaker-Blacksmith National Pension Trust are under a National Maintenance Agreement platform which is evergreen in terms of expiration. However, the agreements allow for termination of the collective bargaining agreement by either party with a predetermined written notice.</w:t>
      </w:r>
    </w:p>
    <w:p>
      <w:pPr>
        <w:ind w:left="340" w:right="280" w:hanging="332"/>
        <w:spacing w:after="0" w:line="261"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contributions for the Joint Pension Fund Local Union 164 IBEW and the Local 351 IBWEW Pension Plan exceeded 5% of total contributions for the 2010 plan year. This information was not available for 2011.</w:t>
      </w:r>
    </w:p>
    <w:p>
      <w:pPr>
        <w:spacing w:after="0" w:line="13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fiscal 2012, the Company determined that the fiscal 2011 and fiscal 2010 company contributions included in the Company’s previously issued financial statements had been reported incorrectly. Therefore, the Company has revised the fiscal 2011 and fiscal 2010 contribution amounts included in the fiscal 2012 disclosure.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90"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The Matrix Service Company 2011 Employee Stock Purchase Plan (“ESPP”) was effective January 1, 2011. The ESPP allows employees to purchase shares through payroll deductions and members of the Board of Directors to purchase shares from amounts withheld from their cash retainers. Share purchases are limited to an aggregate market value of no greater than $60,000 per calendar year per participant and are purchased at market value with no discount to the participant. Contributions are with after tax earnings and are accumulated in non-interest bearing accounts for quarterly purchases of company stock. Upon the purchase of shares, the participants receive all stockholder rights including dividend and voting rights, and are permitted to sell their shares at any time. The Company has made 1,000,000 shares available under the ESPP. The ESPP can be terminated at the discretion of the Board of Directors or on January 2, 2021. There were 4,395 and 699 shares issued under the ESPP in fiscal 2012 and 2011,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14—Segment Information</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completed an update of its long-term business strategy in the third quarter of fiscal 2012. This strategic update along with certain changes in our organizational structure led to a reassessment of our operating segments. As a result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of these events, we have revised our reportable segments to better align with the current management of the business. Accordingly, our new segments are: Electrical Infrastructure, Oil Gas &amp; Chemical, Storage Solutions, and Industrial. Our previous operating segments were Construction Services and Repair and Maintenance Services.</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Electrical Infrastructure segment primarily encompasses high voltage services to investor owned utilities, including construction of new substations, upgrades of existing substations, short-run transmission line installations, distribution upgrades and maintenance, and storm restoration services. We also provide construction and maintenance services to a variety of power generation facilities, such as combined cycle plants, nuclear facilities, coal fired power stations, and renewable energy installations.</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Oil Gas &amp; Chemical segment includes our traditional turnaround activities, plant maintenance services and construction in the downstream petroleum industry. Another key offering is industrial cleaning services, which include hydroblasting, hydroexcavating, chemical cleaning and vacuum services. We also perform work in the renewable energy, industrial and natural gas, gas processing and compression, and upstream petroleum markets.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Storage Solutions segment includes new construction of, as well as planned and emergency maintenance services for crude and refined products aboveground storage tanks. Also included in the Storage Solutions segment is work related to specialty storage tanks including liquefied natural gas (“LNG”), liquid nitrogen/liquid oxygen (“LIN/LOX”), liquid petroleum (“LPG”) tanks and other specialty vessels including spheres. Finally, the Storage Solutions segment includes balance of plant work in storage terminals and tank farms.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Industrial segment includes work in the mining and minerals industry, bulk material handling, thermal vacuum chambers, as well as work for clients in other industrial and manufacturing markets.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consists of corporate asset balances.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evaluates performance and allocates resources based on operating income. The accounting policies of the reportable segments are the same as those described in the summary of significant accounting policies. Intersegment sales and transfers are recorded at cost; therefore, no intercompany profit or loss recognized.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- 59 -</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Segment assets consist primarily of accounts receivable, costs and estimated earnings in excess of billings on uncompleted contracts, property, plant and equipment and goodwill.</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Electrical</w:t>
            </w: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Oil Gas &amp;</w:t>
            </w:r>
          </w:p>
        </w:tc>
        <w:tc>
          <w:tcPr>
            <w:tcW w:w="12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Storage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Chemical</w:t>
            </w:r>
          </w:p>
        </w:tc>
        <w:tc>
          <w:tcPr>
            <w:tcW w:w="12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Solutions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88"/>
              </w:rPr>
              <w:t>Industrial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Twelve Months Ended June 30, 2012</w:t>
            </w:r>
          </w:p>
        </w:tc>
        <w:tc>
          <w:tcPr>
            <w:tcW w:w="1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right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Gross revenues</w:t>
            </w:r>
          </w:p>
        </w:tc>
        <w:tc>
          <w:tcPr>
            <w:tcW w:w="1460" w:type="dxa"/>
            <w:vAlign w:val="bottom"/>
            <w:gridSpan w:val="2"/>
          </w:tcPr>
          <w:p>
            <w:pPr>
              <w:ind w:left="13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135,086</w:t>
            </w:r>
          </w:p>
        </w:tc>
        <w:tc>
          <w:tcPr>
            <w:tcW w:w="16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$206,031</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$380,488</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$19,983</w:t>
            </w:r>
          </w:p>
        </w:tc>
        <w:tc>
          <w:tcPr>
            <w:tcW w:w="100" w:type="dxa"/>
            <w:vAlign w:val="bottom"/>
          </w:tcPr>
          <w:p>
            <w:pPr>
              <w:spacing w:after="0"/>
              <w:rPr>
                <w:sz w:val="18"/>
                <w:szCs w:val="18"/>
                <w:color w:val="auto"/>
              </w:rPr>
            </w:pP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5"/>
              </w:rPr>
              <w:t>$741,588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Less: inter-segment revenues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2,334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Consolidated revenues</w:t>
            </w:r>
          </w:p>
        </w:tc>
        <w:tc>
          <w:tcPr>
            <w:tcW w:w="1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80" w:type="dxa"/>
            <w:vAlign w:val="bottom"/>
            <w:gridSpan w:val="2"/>
            <w:vMerge w:val="continue"/>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135,086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205,823</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378,154</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19,983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739,046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16,676</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20,070</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42,393</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Operating income (loss)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7,609</w:t>
            </w:r>
          </w:p>
        </w:tc>
        <w:tc>
          <w:tcPr>
            <w:tcW w:w="16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8,134</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17,493</w:t>
            </w:r>
          </w:p>
        </w:tc>
        <w:tc>
          <w:tcPr>
            <w:tcW w:w="860" w:type="dxa"/>
            <w:vAlign w:val="bottom"/>
            <w:gridSpan w:val="6"/>
          </w:tcPr>
          <w:p>
            <w:pPr>
              <w:jc w:val="right"/>
              <w:spacing w:after="0"/>
              <w:rPr>
                <w:sz w:val="20"/>
                <w:szCs w:val="20"/>
                <w:color w:val="auto"/>
              </w:rPr>
            </w:pPr>
            <w:r>
              <w:rPr>
                <w:rFonts w:ascii="Arial" w:cs="Arial" w:eastAsia="Arial" w:hAnsi="Arial"/>
                <w:sz w:val="18"/>
                <w:szCs w:val="18"/>
                <w:color w:val="auto"/>
              </w:rPr>
              <w:t>(1,601)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31,635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51,998</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53,567</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150,543</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14,018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53,009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323,135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Capital expenditures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2,581</w:t>
            </w:r>
          </w:p>
        </w:tc>
        <w:tc>
          <w:tcPr>
            <w:tcW w:w="16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2,346</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3,929</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3,937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2,838</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6,309</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Twelve Months Ended June 30, 2011</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Gross revenues</w:t>
            </w:r>
          </w:p>
        </w:tc>
        <w:tc>
          <w:tcPr>
            <w:tcW w:w="146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151,065</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$143,753</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$299,762</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$33,934</w:t>
            </w:r>
          </w:p>
        </w:tc>
        <w:tc>
          <w:tcPr>
            <w:tcW w:w="10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$628,514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Less: inter-segment revenues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399</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1,056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4"/>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Consolidated revenues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143,354</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298,706</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33,934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627,052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Gross profit</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18,337</w:t>
            </w:r>
          </w:p>
        </w:tc>
        <w:tc>
          <w:tcPr>
            <w:tcW w:w="16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13,647</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38,779</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4,151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74,914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9,111</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3,105</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16,612</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Segment assets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46,411</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42,801</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131,050</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19,542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66,632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306,436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2,511</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908</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4,098</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2,890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1,613</w:t>
            </w:r>
          </w:p>
        </w:tc>
        <w:tc>
          <w:tcPr>
            <w:tcW w:w="16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2,490</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6,533</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11,067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Twelve Months Ended June 30, 2010</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Gross revenues</w:t>
            </w:r>
          </w:p>
        </w:tc>
        <w:tc>
          <w:tcPr>
            <w:tcW w:w="1460" w:type="dxa"/>
            <w:vAlign w:val="bottom"/>
            <w:gridSpan w:val="2"/>
          </w:tcPr>
          <w:p>
            <w:pPr>
              <w:ind w:left="13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103,015</w:t>
            </w:r>
          </w:p>
        </w:tc>
        <w:tc>
          <w:tcPr>
            <w:tcW w:w="16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$150,344</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$272,305</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$27,622</w:t>
            </w:r>
          </w:p>
        </w:tc>
        <w:tc>
          <w:tcPr>
            <w:tcW w:w="100" w:type="dxa"/>
            <w:vAlign w:val="bottom"/>
          </w:tcPr>
          <w:p>
            <w:pPr>
              <w:spacing w:after="0"/>
              <w:rPr>
                <w:sz w:val="18"/>
                <w:szCs w:val="18"/>
                <w:color w:val="auto"/>
              </w:rPr>
            </w:pP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5"/>
              </w:rPr>
              <w:t>$553,286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Less: inter-segment revenues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1,460</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991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Consolidated revenues</w:t>
            </w:r>
          </w:p>
        </w:tc>
        <w:tc>
          <w:tcPr>
            <w:tcW w:w="1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80" w:type="dxa"/>
            <w:vAlign w:val="bottom"/>
            <w:gridSpan w:val="2"/>
            <w:vMerge w:val="continue"/>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102,994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148,884</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271,314</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27,622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550,814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13,289</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9,121</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27,806</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Operating income (loss)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3,501</w:t>
            </w:r>
          </w:p>
        </w:tc>
        <w:tc>
          <w:tcPr>
            <w:tcW w:w="16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(849)</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6,183</w:t>
            </w:r>
          </w:p>
        </w:tc>
        <w:tc>
          <w:tcPr>
            <w:tcW w:w="860" w:type="dxa"/>
            <w:vAlign w:val="bottom"/>
            <w:gridSpan w:val="6"/>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47,456</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43,603</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121,919</w:t>
            </w:r>
          </w:p>
        </w:tc>
        <w:tc>
          <w:tcPr>
            <w:tcW w:w="860" w:type="dxa"/>
            <w:vAlign w:val="bottom"/>
            <w:gridSpan w:val="6"/>
            <w:shd w:val="clear" w:color="auto" w:fill="CCEEFF"/>
          </w:tcPr>
          <w:p>
            <w:pPr>
              <w:jc w:val="right"/>
              <w:ind w:right="32"/>
              <w:spacing w:after="0"/>
              <w:rPr>
                <w:sz w:val="20"/>
                <w:szCs w:val="20"/>
                <w:color w:val="auto"/>
              </w:rPr>
            </w:pPr>
            <w:r>
              <w:rPr>
                <w:rFonts w:ascii="Arial" w:cs="Arial" w:eastAsia="Arial" w:hAnsi="Arial"/>
                <w:sz w:val="18"/>
                <w:szCs w:val="18"/>
                <w:color w:val="auto"/>
              </w:rPr>
              <w:t>11,341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60,489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284,808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Capital expenditures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365</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1,440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4"/>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3,231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5,302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2,869</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7,220</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4360" w:type="dxa"/>
            <w:vAlign w:val="bottom"/>
          </w:tcPr>
          <w:p>
            <w:pPr>
              <w:ind w:left="440"/>
              <w:spacing w:after="0"/>
              <w:rPr>
                <w:sz w:val="20"/>
                <w:szCs w:val="20"/>
                <w:color w:val="auto"/>
              </w:rPr>
            </w:pPr>
            <w:r>
              <w:rPr>
                <w:rFonts w:ascii="Arial" w:cs="Arial" w:eastAsia="Arial" w:hAnsi="Arial"/>
                <w:sz w:val="18"/>
                <w:szCs w:val="18"/>
                <w:color w:val="auto"/>
              </w:rPr>
              <w:t>Geographical information is as follows:</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84"/>
              </w:rPr>
              <w:t>Revenues</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8"/>
          </w:tcPr>
          <w:p>
            <w:pPr>
              <w:jc w:val="center"/>
              <w:ind w:right="20"/>
              <w:spacing w:after="0" w:line="142" w:lineRule="exact"/>
              <w:rPr>
                <w:sz w:val="20"/>
                <w:szCs w:val="20"/>
                <w:color w:val="auto"/>
              </w:rPr>
            </w:pPr>
            <w:r>
              <w:rPr>
                <w:rFonts w:ascii="Arial" w:cs="Arial" w:eastAsia="Arial" w:hAnsi="Arial"/>
                <w:sz w:val="14"/>
                <w:szCs w:val="14"/>
                <w:b w:val="1"/>
                <w:bCs w:val="1"/>
                <w:color w:val="auto"/>
                <w:w w:val="87"/>
              </w:rPr>
              <w:t>Twelve Months Ended</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5"/>
          </w:tcPr>
          <w:p>
            <w:pPr>
              <w:jc w:val="center"/>
              <w:ind w:right="152"/>
              <w:spacing w:after="0" w:line="129" w:lineRule="exact"/>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1"/>
                <w:szCs w:val="11"/>
                <w:color w:val="auto"/>
              </w:rPr>
            </w:pPr>
          </w:p>
        </w:tc>
        <w:tc>
          <w:tcPr>
            <w:tcW w:w="580" w:type="dxa"/>
            <w:vAlign w:val="bottom"/>
          </w:tcPr>
          <w:p>
            <w:pPr>
              <w:jc w:val="center"/>
              <w:ind w:right="27"/>
              <w:spacing w:after="0" w:line="129"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2012</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3"/>
              </w:rPr>
              <w:t>2011</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6"/>
          </w:tcPr>
          <w:p>
            <w:pPr>
              <w:jc w:val="center"/>
              <w:ind w:right="20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$674,496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jc w:val="right"/>
              <w:ind w:right="320"/>
              <w:spacing w:after="0"/>
              <w:rPr>
                <w:sz w:val="20"/>
                <w:szCs w:val="20"/>
                <w:color w:val="auto"/>
              </w:rPr>
            </w:pPr>
            <w:r>
              <w:rPr>
                <w:rFonts w:ascii="Arial" w:cs="Arial" w:eastAsia="Arial" w:hAnsi="Arial"/>
                <w:sz w:val="18"/>
                <w:szCs w:val="18"/>
                <w:color w:val="auto"/>
              </w:rPr>
              <w:t>$596,756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$518,750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International</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64,550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30,296</w:t>
            </w:r>
          </w:p>
        </w:tc>
        <w:tc>
          <w:tcPr>
            <w:tcW w:w="32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32,064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739,046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627,052</w:t>
            </w:r>
          </w:p>
        </w:tc>
        <w:tc>
          <w:tcPr>
            <w:tcW w:w="32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550,814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w w:val="86"/>
              </w:rPr>
              <w:t>Long-Lived Assets</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5"/>
          </w:tcPr>
          <w:p>
            <w:pPr>
              <w:jc w:val="center"/>
              <w:ind w:right="192"/>
              <w:spacing w:after="0" w:line="129" w:lineRule="exact"/>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2012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ind w:right="54"/>
              <w:spacing w:after="0"/>
              <w:rPr>
                <w:sz w:val="20"/>
                <w:szCs w:val="20"/>
                <w:color w:val="auto"/>
              </w:rPr>
            </w:pPr>
            <w:r>
              <w:rPr>
                <w:rFonts w:ascii="Arial" w:cs="Arial" w:eastAsia="Arial" w:hAnsi="Arial"/>
                <w:sz w:val="14"/>
                <w:szCs w:val="14"/>
                <w:b w:val="1"/>
                <w:bCs w:val="1"/>
                <w:color w:val="auto"/>
                <w:w w:val="83"/>
              </w:rPr>
              <w:t>2011</w:t>
            </w:r>
          </w:p>
        </w:tc>
        <w:tc>
          <w:tcPr>
            <w:tcW w:w="320" w:type="dxa"/>
            <w:vAlign w:val="bottom"/>
          </w:tcPr>
          <w:p>
            <w:pPr>
              <w:spacing w:after="0"/>
              <w:rPr>
                <w:sz w:val="14"/>
                <w:szCs w:val="14"/>
                <w:color w:val="auto"/>
              </w:rPr>
            </w:pPr>
          </w:p>
        </w:tc>
        <w:tc>
          <w:tcPr>
            <w:tcW w:w="660" w:type="dxa"/>
            <w:vAlign w:val="bottom"/>
            <w:gridSpan w:val="2"/>
          </w:tcPr>
          <w:p>
            <w:pPr>
              <w:jc w:val="right"/>
              <w:ind w:right="67"/>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6"/>
          </w:tcPr>
          <w:p>
            <w:pPr>
              <w:jc w:val="center"/>
              <w:ind w:right="16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$85,290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$83,312</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$81,424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International</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6,132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6,693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91,422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90,005</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85,941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180" w:type="dxa"/>
            <w:vAlign w:val="bottom"/>
            <w:gridSpan w:val="3"/>
            <w:vMerge w:val="restart"/>
          </w:tcPr>
          <w:p>
            <w:pPr>
              <w:jc w:val="right"/>
              <w:ind w:right="573"/>
              <w:spacing w:after="0"/>
              <w:rPr>
                <w:sz w:val="20"/>
                <w:szCs w:val="20"/>
                <w:color w:val="auto"/>
              </w:rPr>
            </w:pPr>
            <w:r>
              <w:rPr>
                <w:rFonts w:ascii="Arial" w:cs="Arial" w:eastAsia="Arial" w:hAnsi="Arial"/>
                <w:sz w:val="18"/>
                <w:szCs w:val="18"/>
                <w:color w:val="auto"/>
              </w:rPr>
              <w:t>- 60 -</w:t>
            </w: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18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about Significant Customers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fiscal 2012, one customer accounted for 11.0% of our consolidated revenue and 35.1% of our Oil Gas &amp; Chemical revenue and an additional customer accounted for 16.2% of our Oil Gas &amp; Chemical revenue. Another customer accounted for 10.7% of our consolidated revenue and 20.9% of our Storage Solutions revenue. Three other customers accounted for 18.6%, 11.8% and 11.2% of our Electrical Infrastructure revenue, respectively. An additional four customers accounted for 25.7%, 18.1%,15.3% and 12.2% of our Industrial revenue, respectively.</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fiscal 2011, three customers accounted for 34.9%, 20.3% and 11.5% of our Electrical Infrastructure revenue, respectively. Another customer accounted for 38.4% of our Oil Gas &amp; Chemical revenue. An additional four customers accounted for 13.2%, 13.1%, 12.3% and 11.4% of our Storage Solutions revenue, respectively. Three other customers accounted for 31.9%, 21.8% and 16.7% of our Industrial revenue, respectively. No customers accounted for greater than 10% of our consolidated revenue.</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fiscal 2010, one customer accounted for 52.8% of our Electrical Infrastructure revenue. Two other customers accounted for 30.2% and 11.1% of our Oil Gas &amp; Chemical revenue, respectively. One additional customer accounted for 10.9% of our Storage Solutions revenue. Three other customers accounted for 29.9%, 14.4% and 12.3% of our Industrial revenue, respectively. No customers accounted for greater than 10% of our consolidated revenue.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Financial Data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Ended June 30, 2012 and June 30,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820" w:type="dxa"/>
            <w:vAlign w:val="bottom"/>
          </w:tcPr>
          <w:p>
            <w:pPr>
              <w:jc w:val="right"/>
              <w:ind w:right="276"/>
              <w:spacing w:after="0"/>
              <w:rPr>
                <w:sz w:val="20"/>
                <w:szCs w:val="20"/>
                <w:color w:val="auto"/>
              </w:rPr>
            </w:pPr>
            <w:r>
              <w:rPr>
                <w:rFonts w:ascii="Arial" w:cs="Arial" w:eastAsia="Arial" w:hAnsi="Arial"/>
                <w:sz w:val="14"/>
                <w:szCs w:val="14"/>
                <w:b w:val="1"/>
                <w:bCs w:val="1"/>
                <w:color w:val="auto"/>
              </w:rPr>
              <w:t>First</w:t>
            </w:r>
          </w:p>
        </w:tc>
        <w:tc>
          <w:tcPr>
            <w:tcW w:w="980" w:type="dxa"/>
            <w:vAlign w:val="bottom"/>
          </w:tcPr>
          <w:p>
            <w:pPr>
              <w:jc w:val="right"/>
              <w:ind w:right="195"/>
              <w:spacing w:after="0"/>
              <w:rPr>
                <w:sz w:val="20"/>
                <w:szCs w:val="20"/>
                <w:color w:val="auto"/>
              </w:rPr>
            </w:pPr>
            <w:r>
              <w:rPr>
                <w:rFonts w:ascii="Arial" w:cs="Arial" w:eastAsia="Arial" w:hAnsi="Arial"/>
                <w:sz w:val="14"/>
                <w:szCs w:val="14"/>
                <w:b w:val="1"/>
                <w:bCs w:val="1"/>
                <w:color w:val="auto"/>
              </w:rPr>
              <w:t>Second</w:t>
            </w:r>
          </w:p>
        </w:tc>
        <w:tc>
          <w:tcPr>
            <w:tcW w:w="1000" w:type="dxa"/>
            <w:vAlign w:val="bottom"/>
          </w:tcPr>
          <w:p>
            <w:pPr>
              <w:jc w:val="right"/>
              <w:ind w:right="235"/>
              <w:spacing w:after="0"/>
              <w:rPr>
                <w:sz w:val="20"/>
                <w:szCs w:val="20"/>
                <w:color w:val="auto"/>
              </w:rPr>
            </w:pPr>
            <w:r>
              <w:rPr>
                <w:rFonts w:ascii="Arial" w:cs="Arial" w:eastAsia="Arial" w:hAnsi="Arial"/>
                <w:sz w:val="14"/>
                <w:szCs w:val="14"/>
                <w:b w:val="1"/>
                <w:bCs w:val="1"/>
                <w:color w:val="auto"/>
              </w:rPr>
              <w:t>Third</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820" w:type="dxa"/>
            <w:vAlign w:val="bottom"/>
          </w:tcPr>
          <w:p>
            <w:pPr>
              <w:jc w:val="right"/>
              <w:ind w:right="176"/>
              <w:spacing w:after="0"/>
              <w:rPr>
                <w:sz w:val="20"/>
                <w:szCs w:val="20"/>
                <w:color w:val="auto"/>
              </w:rPr>
            </w:pPr>
            <w:r>
              <w:rPr>
                <w:rFonts w:ascii="Arial" w:cs="Arial" w:eastAsia="Arial" w:hAnsi="Arial"/>
                <w:sz w:val="14"/>
                <w:szCs w:val="14"/>
                <w:b w:val="1"/>
                <w:bCs w:val="1"/>
                <w:color w:val="auto"/>
              </w:rPr>
              <w:t>Quarter</w:t>
            </w:r>
          </w:p>
        </w:tc>
        <w:tc>
          <w:tcPr>
            <w:tcW w:w="980" w:type="dxa"/>
            <w:vAlign w:val="bottom"/>
          </w:tcPr>
          <w:p>
            <w:pPr>
              <w:jc w:val="right"/>
              <w:ind w:right="155"/>
              <w:spacing w:after="0"/>
              <w:rPr>
                <w:sz w:val="20"/>
                <w:szCs w:val="20"/>
                <w:color w:val="auto"/>
              </w:rPr>
            </w:pPr>
            <w:r>
              <w:rPr>
                <w:rFonts w:ascii="Arial" w:cs="Arial" w:eastAsia="Arial" w:hAnsi="Arial"/>
                <w:sz w:val="14"/>
                <w:szCs w:val="14"/>
                <w:b w:val="1"/>
                <w:bCs w:val="1"/>
                <w:color w:val="auto"/>
              </w:rPr>
              <w:t>Quarter</w:t>
            </w:r>
          </w:p>
        </w:tc>
        <w:tc>
          <w:tcPr>
            <w:tcW w:w="1000" w:type="dxa"/>
            <w:vAlign w:val="bottom"/>
          </w:tcPr>
          <w:p>
            <w:pPr>
              <w:jc w:val="right"/>
              <w:ind w:right="175"/>
              <w:spacing w:after="0"/>
              <w:rPr>
                <w:sz w:val="20"/>
                <w:szCs w:val="20"/>
                <w:color w:val="auto"/>
              </w:rPr>
            </w:pPr>
            <w:r>
              <w:rPr>
                <w:rFonts w:ascii="Arial" w:cs="Arial" w:eastAsia="Arial" w:hAnsi="Arial"/>
                <w:sz w:val="14"/>
                <w:szCs w:val="14"/>
                <w:b w:val="1"/>
                <w:bCs w:val="1"/>
                <w:color w:val="auto"/>
              </w:rPr>
              <w:t>Quarter</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Quarter(a)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3620" w:type="dxa"/>
            <w:vAlign w:val="bottom"/>
            <w:tcBorders>
              <w:top w:val="single" w:sz="8" w:color="auto"/>
            </w:tcBorders>
            <w:gridSpan w:val="4"/>
          </w:tcPr>
          <w:p>
            <w:pPr>
              <w:jc w:val="right"/>
              <w:ind w:right="535"/>
              <w:spacing w:after="0" w:line="142" w:lineRule="exact"/>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2012</w:t>
            </w:r>
          </w:p>
        </w:tc>
        <w:tc>
          <w:tcPr>
            <w:tcW w:w="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Revenues</w:t>
            </w:r>
          </w:p>
        </w:tc>
        <w:tc>
          <w:tcPr>
            <w:tcW w:w="820" w:type="dxa"/>
            <w:vAlign w:val="bottom"/>
          </w:tcPr>
          <w:p>
            <w:pPr>
              <w:jc w:val="right"/>
              <w:ind w:right="76"/>
              <w:spacing w:after="0"/>
              <w:rPr>
                <w:sz w:val="20"/>
                <w:szCs w:val="20"/>
                <w:color w:val="auto"/>
              </w:rPr>
            </w:pPr>
            <w:r>
              <w:rPr>
                <w:rFonts w:ascii="Arial" w:cs="Arial" w:eastAsia="Arial" w:hAnsi="Arial"/>
                <w:sz w:val="18"/>
                <w:szCs w:val="18"/>
                <w:color w:val="auto"/>
                <w:w w:val="85"/>
              </w:rPr>
              <w:t>$169,321</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$200,964</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$183,899</w:t>
            </w:r>
          </w:p>
        </w:tc>
        <w:tc>
          <w:tcPr>
            <w:tcW w:w="820" w:type="dxa"/>
            <w:vAlign w:val="bottom"/>
          </w:tcPr>
          <w:p>
            <w:pPr>
              <w:jc w:val="right"/>
              <w:spacing w:after="0"/>
              <w:rPr>
                <w:sz w:val="20"/>
                <w:szCs w:val="20"/>
                <w:color w:val="auto"/>
              </w:rPr>
            </w:pPr>
            <w:r>
              <w:rPr>
                <w:rFonts w:ascii="Arial" w:cs="Arial" w:eastAsia="Arial" w:hAnsi="Arial"/>
                <w:sz w:val="18"/>
                <w:szCs w:val="18"/>
                <w:color w:val="auto"/>
              </w:rPr>
              <w:t>$184,862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18,093</w:t>
            </w: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23,098</w:t>
            </w: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19,771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Operating income</w:t>
            </w:r>
          </w:p>
        </w:tc>
        <w:tc>
          <w:tcPr>
            <w:tcW w:w="820" w:type="dxa"/>
            <w:vAlign w:val="bottom"/>
          </w:tcPr>
          <w:p>
            <w:pPr>
              <w:jc w:val="right"/>
              <w:ind w:right="76"/>
              <w:spacing w:after="0"/>
              <w:rPr>
                <w:sz w:val="20"/>
                <w:szCs w:val="20"/>
                <w:color w:val="auto"/>
              </w:rPr>
            </w:pPr>
            <w:r>
              <w:rPr>
                <w:rFonts w:ascii="Arial" w:cs="Arial" w:eastAsia="Arial" w:hAnsi="Arial"/>
                <w:sz w:val="18"/>
                <w:szCs w:val="18"/>
                <w:color w:val="auto"/>
              </w:rPr>
              <w:t>6,610</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11,200</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7,415</w:t>
            </w:r>
          </w:p>
        </w:tc>
        <w:tc>
          <w:tcPr>
            <w:tcW w:w="820" w:type="dxa"/>
            <w:vAlign w:val="bottom"/>
          </w:tcPr>
          <w:p>
            <w:pPr>
              <w:jc w:val="right"/>
              <w:spacing w:after="0"/>
              <w:rPr>
                <w:sz w:val="20"/>
                <w:szCs w:val="20"/>
                <w:color w:val="auto"/>
              </w:rPr>
            </w:pPr>
            <w:r>
              <w:rPr>
                <w:rFonts w:ascii="Arial" w:cs="Arial" w:eastAsia="Arial" w:hAnsi="Arial"/>
                <w:sz w:val="18"/>
                <w:szCs w:val="18"/>
                <w:color w:val="auto"/>
              </w:rPr>
              <w:t>6,410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3,509</w:t>
            </w: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7,031</w:t>
            </w: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4,862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0.13</w:t>
            </w: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0.27</w:t>
            </w: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0.19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Diluted</w:t>
            </w:r>
          </w:p>
        </w:tc>
        <w:tc>
          <w:tcPr>
            <w:tcW w:w="820" w:type="dxa"/>
            <w:vAlign w:val="bottom"/>
          </w:tcPr>
          <w:p>
            <w:pPr>
              <w:jc w:val="right"/>
              <w:ind w:right="76"/>
              <w:spacing w:after="0"/>
              <w:rPr>
                <w:sz w:val="20"/>
                <w:szCs w:val="20"/>
                <w:color w:val="auto"/>
              </w:rPr>
            </w:pPr>
            <w:r>
              <w:rPr>
                <w:rFonts w:ascii="Arial" w:cs="Arial" w:eastAsia="Arial" w:hAnsi="Arial"/>
                <w:sz w:val="18"/>
                <w:szCs w:val="18"/>
                <w:color w:val="auto"/>
              </w:rPr>
              <w:t>0.13</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0.27</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0.19</w:t>
            </w:r>
          </w:p>
        </w:tc>
        <w:tc>
          <w:tcPr>
            <w:tcW w:w="82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2011</w:t>
            </w:r>
          </w:p>
        </w:tc>
        <w:tc>
          <w:tcPr>
            <w:tcW w:w="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Revenues</w:t>
            </w:r>
          </w:p>
        </w:tc>
        <w:tc>
          <w:tcPr>
            <w:tcW w:w="820" w:type="dxa"/>
            <w:vAlign w:val="bottom"/>
          </w:tcPr>
          <w:p>
            <w:pPr>
              <w:jc w:val="right"/>
              <w:ind w:right="76"/>
              <w:spacing w:after="0"/>
              <w:rPr>
                <w:sz w:val="20"/>
                <w:szCs w:val="20"/>
                <w:color w:val="auto"/>
              </w:rPr>
            </w:pPr>
            <w:r>
              <w:rPr>
                <w:rFonts w:ascii="Arial" w:cs="Arial" w:eastAsia="Arial" w:hAnsi="Arial"/>
                <w:sz w:val="18"/>
                <w:szCs w:val="18"/>
                <w:color w:val="auto"/>
                <w:w w:val="85"/>
              </w:rPr>
              <w:t>$151,838</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$175,252</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$136,333</w:t>
            </w:r>
          </w:p>
        </w:tc>
        <w:tc>
          <w:tcPr>
            <w:tcW w:w="820" w:type="dxa"/>
            <w:vAlign w:val="bottom"/>
          </w:tcPr>
          <w:p>
            <w:pPr>
              <w:jc w:val="right"/>
              <w:spacing w:after="0"/>
              <w:rPr>
                <w:sz w:val="20"/>
                <w:szCs w:val="20"/>
                <w:color w:val="auto"/>
              </w:rPr>
            </w:pPr>
            <w:r>
              <w:rPr>
                <w:rFonts w:ascii="Arial" w:cs="Arial" w:eastAsia="Arial" w:hAnsi="Arial"/>
                <w:sz w:val="18"/>
                <w:szCs w:val="18"/>
                <w:color w:val="auto"/>
              </w:rPr>
              <w:t>$163,629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15,702</w:t>
            </w: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19,768</w:t>
            </w: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18,570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Operating income</w:t>
            </w:r>
          </w:p>
        </w:tc>
        <w:tc>
          <w:tcPr>
            <w:tcW w:w="820" w:type="dxa"/>
            <w:vAlign w:val="bottom"/>
          </w:tcPr>
          <w:p>
            <w:pPr>
              <w:jc w:val="right"/>
              <w:ind w:right="76"/>
              <w:spacing w:after="0"/>
              <w:rPr>
                <w:sz w:val="20"/>
                <w:szCs w:val="20"/>
                <w:color w:val="auto"/>
              </w:rPr>
            </w:pPr>
            <w:r>
              <w:rPr>
                <w:rFonts w:ascii="Arial" w:cs="Arial" w:eastAsia="Arial" w:hAnsi="Arial"/>
                <w:sz w:val="18"/>
                <w:szCs w:val="18"/>
                <w:color w:val="auto"/>
              </w:rPr>
              <w:t>5,113</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8,632</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7,640</w:t>
            </w:r>
          </w:p>
        </w:tc>
        <w:tc>
          <w:tcPr>
            <w:tcW w:w="820" w:type="dxa"/>
            <w:vAlign w:val="bottom"/>
          </w:tcPr>
          <w:p>
            <w:pPr>
              <w:jc w:val="right"/>
              <w:spacing w:after="0"/>
              <w:rPr>
                <w:sz w:val="20"/>
                <w:szCs w:val="20"/>
                <w:color w:val="auto"/>
              </w:rPr>
            </w:pPr>
            <w:r>
              <w:rPr>
                <w:rFonts w:ascii="Arial" w:cs="Arial" w:eastAsia="Arial" w:hAnsi="Arial"/>
                <w:sz w:val="18"/>
                <w:szCs w:val="18"/>
                <w:color w:val="auto"/>
              </w:rPr>
              <w:t>9,515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3,089</w:t>
            </w: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5,287</w:t>
            </w: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4,923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0.12</w:t>
            </w: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0.20</w:t>
            </w: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0.19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Diluted</w:t>
            </w:r>
          </w:p>
        </w:tc>
        <w:tc>
          <w:tcPr>
            <w:tcW w:w="820" w:type="dxa"/>
            <w:vAlign w:val="bottom"/>
          </w:tcPr>
          <w:p>
            <w:pPr>
              <w:jc w:val="right"/>
              <w:ind w:right="76"/>
              <w:spacing w:after="0"/>
              <w:rPr>
                <w:sz w:val="20"/>
                <w:szCs w:val="20"/>
                <w:color w:val="auto"/>
              </w:rPr>
            </w:pPr>
            <w:r>
              <w:rPr>
                <w:rFonts w:ascii="Arial" w:cs="Arial" w:eastAsia="Arial" w:hAnsi="Arial"/>
                <w:sz w:val="18"/>
                <w:szCs w:val="18"/>
                <w:color w:val="auto"/>
              </w:rPr>
              <w:t>0.12</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0.20</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0.18</w:t>
            </w:r>
          </w:p>
        </w:tc>
        <w:tc>
          <w:tcPr>
            <w:tcW w:w="82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14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Fourth quarter earnings included an income tax charge of $3.1 million. The income tax charge represents adjustments of $2.1 million for prior fiscal years and $1.0 million in fiscal 2012, of which $0.2 million related to fourth quarter activity.</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i w:val="1"/>
          <w:iCs w:val="1"/>
          <w:color w:val="auto"/>
        </w:rPr>
        <w:t>The sum of earnings per share for the four quarters may not equal the total earnings per share for the year due to changes in the average number of common shares outstanding and rounding.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- 61 -</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 June 30, 2011, and June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COL. A</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COL. C</w:t>
            </w: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2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6"/>
              </w:rPr>
              <w:t>COL. B</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gridSpan w:val="3"/>
          </w:tcPr>
          <w:p>
            <w:pPr>
              <w:ind w:left="280"/>
              <w:spacing w:after="0" w:line="148" w:lineRule="exact"/>
              <w:rPr>
                <w:sz w:val="20"/>
                <w:szCs w:val="20"/>
                <w:color w:val="auto"/>
              </w:rPr>
            </w:pPr>
            <w:r>
              <w:rPr>
                <w:rFonts w:ascii="Arial" w:cs="Arial" w:eastAsia="Arial" w:hAnsi="Arial"/>
                <w:sz w:val="14"/>
                <w:szCs w:val="14"/>
                <w:b w:val="1"/>
                <w:bCs w:val="1"/>
                <w:color w:val="auto"/>
              </w:rPr>
              <w:t>ADDITIONS</w:t>
            </w: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ind w:left="160"/>
              <w:spacing w:after="0" w:line="148" w:lineRule="exact"/>
              <w:rPr>
                <w:sz w:val="20"/>
                <w:szCs w:val="20"/>
                <w:color w:val="auto"/>
              </w:rPr>
            </w:pPr>
            <w:r>
              <w:rPr>
                <w:rFonts w:ascii="Arial" w:cs="Arial" w:eastAsia="Arial" w:hAnsi="Arial"/>
                <w:sz w:val="14"/>
                <w:szCs w:val="14"/>
                <w:b w:val="1"/>
                <w:bCs w:val="1"/>
                <w:color w:val="auto"/>
              </w:rPr>
              <w:t>COL. D</w:t>
            </w:r>
          </w:p>
        </w:tc>
        <w:tc>
          <w:tcPr>
            <w:tcW w:w="260" w:type="dxa"/>
            <w:vAlign w:val="bottom"/>
          </w:tcPr>
          <w:p>
            <w:pPr>
              <w:spacing w:after="0"/>
              <w:rPr>
                <w:sz w:val="13"/>
                <w:szCs w:val="13"/>
                <w:color w:val="auto"/>
              </w:rPr>
            </w:pPr>
          </w:p>
        </w:tc>
        <w:tc>
          <w:tcPr>
            <w:tcW w:w="70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w w:val="94"/>
              </w:rPr>
              <w:t>COL. 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740" w:type="dxa"/>
            <w:vAlign w:val="bottom"/>
            <w:tcBorders>
              <w:top w:val="single" w:sz="8" w:color="auto"/>
            </w:tcBorders>
            <w:gridSpan w:val="2"/>
          </w:tcPr>
          <w:p>
            <w:pPr>
              <w:jc w:val="center"/>
              <w:spacing w:after="0" w:line="136" w:lineRule="exact"/>
              <w:rPr>
                <w:sz w:val="20"/>
                <w:szCs w:val="20"/>
                <w:color w:val="auto"/>
              </w:rPr>
            </w:pPr>
            <w:r>
              <w:rPr>
                <w:rFonts w:ascii="Arial" w:cs="Arial" w:eastAsia="Arial" w:hAnsi="Arial"/>
                <w:sz w:val="14"/>
                <w:szCs w:val="14"/>
                <w:b w:val="1"/>
                <w:bCs w:val="1"/>
                <w:color w:val="auto"/>
                <w:w w:val="85"/>
              </w:rPr>
              <w:t>Balance at</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Borders>
              <w:top w:val="single" w:sz="8" w:color="auto"/>
            </w:tcBorders>
            <w:gridSpan w:val="3"/>
          </w:tcPr>
          <w:p>
            <w:pPr>
              <w:spacing w:after="0" w:line="136" w:lineRule="exact"/>
              <w:rPr>
                <w:sz w:val="20"/>
                <w:szCs w:val="20"/>
                <w:color w:val="auto"/>
              </w:rPr>
            </w:pPr>
            <w:r>
              <w:rPr>
                <w:rFonts w:ascii="Arial" w:cs="Arial" w:eastAsia="Arial" w:hAnsi="Arial"/>
                <w:sz w:val="14"/>
                <w:szCs w:val="14"/>
                <w:b w:val="1"/>
                <w:bCs w:val="1"/>
                <w:color w:val="auto"/>
              </w:rPr>
              <w:t>Charged to</w:t>
            </w:r>
          </w:p>
        </w:tc>
        <w:tc>
          <w:tcPr>
            <w:tcW w:w="4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Borders>
              <w:top w:val="single" w:sz="8" w:color="auto"/>
            </w:tcBorders>
            <w:gridSpan w:val="2"/>
          </w:tcPr>
          <w:p>
            <w:pPr>
              <w:spacing w:after="0" w:line="136" w:lineRule="exact"/>
              <w:rPr>
                <w:sz w:val="20"/>
                <w:szCs w:val="20"/>
                <w:color w:val="auto"/>
              </w:rPr>
            </w:pPr>
            <w:r>
              <w:rPr>
                <w:rFonts w:ascii="Arial" w:cs="Arial" w:eastAsia="Arial" w:hAnsi="Arial"/>
                <w:sz w:val="14"/>
                <w:szCs w:val="14"/>
                <w:b w:val="1"/>
                <w:bCs w:val="1"/>
                <w:color w:val="auto"/>
                <w:w w:val="82"/>
              </w:rPr>
              <w:t>Balance at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300" w:type="dxa"/>
            <w:vAlign w:val="bottom"/>
          </w:tcPr>
          <w:p>
            <w:pPr>
              <w:spacing w:after="0"/>
              <w:rPr>
                <w:sz w:val="12"/>
                <w:szCs w:val="12"/>
                <w:color w:val="auto"/>
              </w:rPr>
            </w:pPr>
          </w:p>
        </w:tc>
        <w:tc>
          <w:tcPr>
            <w:tcW w:w="1020" w:type="dxa"/>
            <w:vAlign w:val="bottom"/>
            <w:gridSpan w:val="3"/>
          </w:tcPr>
          <w:p>
            <w:pPr>
              <w:jc w:val="right"/>
              <w:ind w:right="332"/>
              <w:spacing w:after="0" w:line="149" w:lineRule="exact"/>
              <w:rPr>
                <w:sz w:val="20"/>
                <w:szCs w:val="20"/>
                <w:color w:val="auto"/>
              </w:rPr>
            </w:pPr>
            <w:r>
              <w:rPr>
                <w:rFonts w:ascii="Arial" w:cs="Arial" w:eastAsia="Arial" w:hAnsi="Arial"/>
                <w:sz w:val="14"/>
                <w:szCs w:val="14"/>
                <w:b w:val="1"/>
                <w:bCs w:val="1"/>
                <w:color w:val="auto"/>
                <w:w w:val="88"/>
              </w:rPr>
              <w:t>Costs and</w:t>
            </w:r>
          </w:p>
        </w:tc>
        <w:tc>
          <w:tcPr>
            <w:tcW w:w="460" w:type="dxa"/>
            <w:vAlign w:val="bottom"/>
          </w:tcPr>
          <w:p>
            <w:pPr>
              <w:spacing w:after="0"/>
              <w:rPr>
                <w:sz w:val="12"/>
                <w:szCs w:val="12"/>
                <w:color w:val="auto"/>
              </w:rPr>
            </w:pPr>
          </w:p>
        </w:tc>
        <w:tc>
          <w:tcPr>
            <w:tcW w:w="17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Charged to Other</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Period</w:t>
            </w:r>
          </w:p>
        </w:tc>
        <w:tc>
          <w:tcPr>
            <w:tcW w:w="300" w:type="dxa"/>
            <w:vAlign w:val="bottom"/>
          </w:tcPr>
          <w:p>
            <w:pPr>
              <w:spacing w:after="0"/>
              <w:rPr>
                <w:sz w:val="14"/>
                <w:szCs w:val="14"/>
                <w:color w:val="auto"/>
              </w:rPr>
            </w:pPr>
          </w:p>
        </w:tc>
        <w:tc>
          <w:tcPr>
            <w:tcW w:w="102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w w:val="88"/>
              </w:rPr>
              <w:t>Expenses</w:t>
            </w:r>
          </w:p>
        </w:tc>
        <w:tc>
          <w:tcPr>
            <w:tcW w:w="46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Accounts—Describe</w:t>
            </w:r>
          </w:p>
        </w:tc>
        <w:tc>
          <w:tcPr>
            <w:tcW w:w="2100" w:type="dxa"/>
            <w:vAlign w:val="bottom"/>
            <w:gridSpan w:val="4"/>
          </w:tcPr>
          <w:p>
            <w:pPr>
              <w:ind w:left="260"/>
              <w:spacing w:after="0"/>
              <w:rPr>
                <w:sz w:val="20"/>
                <w:szCs w:val="20"/>
                <w:color w:val="auto"/>
              </w:rPr>
            </w:pPr>
            <w:r>
              <w:rPr>
                <w:rFonts w:ascii="Arial" w:cs="Arial" w:eastAsia="Arial" w:hAnsi="Arial"/>
                <w:sz w:val="14"/>
                <w:szCs w:val="14"/>
                <w:b w:val="1"/>
                <w:bCs w:val="1"/>
                <w:color w:val="auto"/>
              </w:rPr>
              <w:t>Deductions—Describe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2012</w:t>
            </w: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Deducted from asset accounts: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Allowance for doubtful accounts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1,428</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23</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(250)(A)</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ind w:left="420"/>
              <w:spacing w:after="0"/>
              <w:rPr>
                <w:sz w:val="20"/>
                <w:szCs w:val="20"/>
                <w:color w:val="auto"/>
              </w:rPr>
            </w:pPr>
            <w:r>
              <w:rPr>
                <w:rFonts w:ascii="Arial" w:cs="Arial" w:eastAsia="Arial" w:hAnsi="Arial"/>
                <w:sz w:val="18"/>
                <w:szCs w:val="18"/>
                <w:color w:val="auto"/>
              </w:rPr>
              <w:t>Valuation reserve for deferred tax assets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(544)(B)</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(521)</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(250)</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Fiscal Year 2011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82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Deducted from asset accounts: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ind w:left="420"/>
              <w:spacing w:after="0"/>
              <w:rPr>
                <w:sz w:val="20"/>
                <w:szCs w:val="20"/>
                <w:color w:val="auto"/>
              </w:rPr>
            </w:pPr>
            <w:r>
              <w:rPr>
                <w:rFonts w:ascii="Arial" w:cs="Arial" w:eastAsia="Arial" w:hAnsi="Arial"/>
                <w:sz w:val="18"/>
                <w:szCs w:val="18"/>
                <w:color w:val="auto"/>
              </w:rPr>
              <w:t>Allowance for doubtful accounts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1,404</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92"/>
              <w:spacing w:after="0"/>
              <w:rPr>
                <w:sz w:val="20"/>
                <w:szCs w:val="20"/>
                <w:color w:val="auto"/>
              </w:rPr>
            </w:pPr>
            <w:r>
              <w:rPr>
                <w:rFonts w:ascii="Arial" w:cs="Arial" w:eastAsia="Arial" w:hAnsi="Arial"/>
                <w:sz w:val="18"/>
                <w:szCs w:val="18"/>
                <w:color w:val="auto"/>
              </w:rPr>
              <w:t>24</w:t>
            </w: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Valuation reserve for deferred tax assets</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gridSpan w:val="4"/>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2,178</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92"/>
              <w:spacing w:after="0"/>
              <w:rPr>
                <w:sz w:val="20"/>
                <w:szCs w:val="20"/>
                <w:color w:val="auto"/>
              </w:rPr>
            </w:pPr>
            <w:r>
              <w:rPr>
                <w:rFonts w:ascii="Arial" w:cs="Arial" w:eastAsia="Arial" w:hAnsi="Arial"/>
                <w:sz w:val="18"/>
                <w:szCs w:val="18"/>
                <w:color w:val="auto"/>
              </w:rPr>
              <w:t>24</w:t>
            </w: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Fiscal Year 2010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Deducted from asset accounts: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Allowance for doubtful accounts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776</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(40)</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831(C)</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(163)(D)</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gridSpan w:val="3"/>
          </w:tcPr>
          <w:p>
            <w:pPr>
              <w:ind w:left="420"/>
              <w:spacing w:after="0"/>
              <w:rPr>
                <w:sz w:val="20"/>
                <w:szCs w:val="20"/>
                <w:color w:val="auto"/>
              </w:rPr>
            </w:pPr>
            <w:r>
              <w:rPr>
                <w:rFonts w:ascii="Arial" w:cs="Arial" w:eastAsia="Arial" w:hAnsi="Arial"/>
                <w:sz w:val="18"/>
                <w:szCs w:val="18"/>
                <w:color w:val="auto"/>
              </w:rPr>
              <w:t>Valuation reserve for deferred tax assets</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1,550</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(40)</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831</w:t>
            </w:r>
          </w:p>
        </w:tc>
        <w:tc>
          <w:tcPr>
            <w:tcW w:w="5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(163)</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Collection on reserve recognized as revenue.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Release of the valuation allowance on foreign tax credit carryovers which have now been determined to be utilizable.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Primarily relates to a reclassification of reserves that were initially recorded in billings on uncompleted contracts in excess of costs and estimated earnings.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Receivables written off against allowance for doubtful accounts.</w:t>
      </w:r>
    </w:p>
    <w:p>
      <w:pPr>
        <w:spacing w:after="0" w:line="151" w:lineRule="exact"/>
        <w:rPr>
          <w:rFonts w:ascii="Arial" w:cs="Arial" w:eastAsia="Arial" w:hAnsi="Arial"/>
          <w:sz w:val="18"/>
          <w:szCs w:val="18"/>
          <w:color w:val="auto"/>
        </w:rPr>
      </w:pPr>
    </w:p>
    <w:p>
      <w:pPr>
        <w:ind w:left="5620" w:hanging="96"/>
        <w:spacing w:after="0"/>
        <w:tabs>
          <w:tab w:leader="none" w:pos="5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62 -</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4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June 30, 2012. Based on the foregoing, our Chief Executive Officer and Chief Financial Officer concluded that our disclosure controls and procedures were effective at the reasonable assurance level at June 30,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See “Management’s Report on Internal Control over Financial Reporting” set forth in Item 8, Financial Statements and Supplementary Data of this Annual Report on Form 10-K.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There have been no changes during the fourth fiscal quarter that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- 63 -</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information required by this item with respect to the Company’s directors and corporate governance is incorporated herein by reference to the sections entitled “Proposal Number 1: Election of Directors” and “Corporate Governance and Board Matters” in the Company’s definitive Proxy Statement for the 2012 Annual Meeting of Stockholders (“Proxy Statement”). The information required by this item with respect to the Company’s executive officers is incorporated herein by reference to the section entitled “Executive Officer Information” in the Proxy Statement. The information required by this item with respect to the Section 16 ownership reports is incorporated herein by reference to the section entitled “Section 16(a) Beneficial Ownership Reporting Compliance” in the Proxy Statement.</w:t>
      </w:r>
    </w:p>
    <w:p>
      <w:pPr>
        <w:spacing w:after="0" w:line="14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The Company has adopted a Code of Business Conduct and Ethics applicable to all directors, officers and employees, including the principal executive officer, principal financial officer and principal accounting officer of the Company. In addition, we have adopted Corporate Governance Guidelines for the Board of Directors and Charters for the Audit, Compensation and Nominating and Corporate Governance Committees of the Board of Directors. The current version of these corporate governance documents is publicly available in the “Investors” section of the Company’s website at </w:t>
      </w:r>
      <w:r>
        <w:rPr>
          <w:rFonts w:ascii="Arial" w:cs="Arial" w:eastAsia="Arial" w:hAnsi="Arial"/>
          <w:sz w:val="16"/>
          <w:szCs w:val="16"/>
          <w:u w:val="single" w:color="auto"/>
          <w:color w:val="auto"/>
        </w:rPr>
        <w:t>www.matrixservicecompany.com</w:t>
      </w:r>
      <w:r>
        <w:rPr>
          <w:rFonts w:ascii="Arial" w:cs="Arial" w:eastAsia="Arial" w:hAnsi="Arial"/>
          <w:sz w:val="16"/>
          <w:szCs w:val="16"/>
          <w:color w:val="auto"/>
        </w:rPr>
        <w:t xml:space="preserve"> under “Corporate Governance.” If we make any substantive amendments to the Code of Business Conduct and Ethics, or grant any waivers, including implicit waivers, from the Code of Business Conduct and Ethics applicable to the principal executive officer, principal financial officer or principal accounting officer, or any person performing similar functions, we will disclose such amendment or waiver on our website or in a report on Form 8-K.</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“Director Compensation” and “Executive Officer Compensation” in the Proxy Statement.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“Securities Authorized for Issuance Under Executive Compensation Plans” and “Security Ownership of Certain Beneficial Owners and Management” in the Proxy Statement.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section entitled “Proposal Number 1: Election of Directors” and “Certain Relationships and Related Transactions” in the Proxy Statement.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“Fees of Independent Registered Public Accounting Firm” and “Audit Committee Pre-Approval Policy” in the Proxy Statement.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- 64 -</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(a) (1)</w:t>
      </w:r>
      <w:r>
        <w:rPr>
          <w:sz w:val="20"/>
          <w:szCs w:val="20"/>
          <w:color w:val="auto"/>
        </w:rPr>
        <w:tab/>
      </w:r>
      <w:r>
        <w:rPr>
          <w:rFonts w:ascii="Arial" w:cs="Arial" w:eastAsia="Arial" w:hAnsi="Arial"/>
          <w:sz w:val="15"/>
          <w:szCs w:val="15"/>
          <w:b w:val="1"/>
          <w:bCs w:val="1"/>
          <w:color w:val="auto"/>
        </w:rPr>
        <w:t>Financial Statements of the Company</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financial statements and supplementary data are filed as a part of this report under “Item 8—Financial Statements and Supplementary Data” in this Annual Report on Form 10-K: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380" w:type="dxa"/>
            <w:vAlign w:val="bottom"/>
            <w:gridSpan w:val="11"/>
          </w:tcPr>
          <w:p>
            <w:pPr>
              <w:spacing w:after="0"/>
              <w:rPr>
                <w:sz w:val="20"/>
                <w:szCs w:val="20"/>
                <w:color w:val="auto"/>
              </w:rPr>
            </w:pPr>
            <w:r>
              <w:rPr>
                <w:rFonts w:ascii="Arial" w:cs="Arial" w:eastAsia="Arial" w:hAnsi="Arial"/>
                <w:sz w:val="18"/>
                <w:szCs w:val="18"/>
                <w:color w:val="auto"/>
              </w:rPr>
              <w:t>Financial Statements of the Company</w:t>
            </w:r>
          </w:p>
        </w:tc>
        <w:tc>
          <w:tcPr>
            <w:tcW w:w="940" w:type="dxa"/>
            <w:vAlign w:val="bottom"/>
          </w:tcPr>
          <w:p>
            <w:pPr>
              <w:spacing w:after="0"/>
              <w:rPr>
                <w:sz w:val="19"/>
                <w:szCs w:val="19"/>
                <w:color w:val="auto"/>
              </w:rPr>
            </w:pPr>
          </w:p>
        </w:tc>
      </w:tr>
      <w:tr>
        <w:trPr>
          <w:trHeight w:val="286"/>
        </w:trPr>
        <w:tc>
          <w:tcPr>
            <w:tcW w:w="440" w:type="dxa"/>
            <w:vAlign w:val="bottom"/>
          </w:tcPr>
          <w:p>
            <w:pPr>
              <w:spacing w:after="0"/>
              <w:rPr>
                <w:sz w:val="24"/>
                <w:szCs w:val="24"/>
                <w:color w:val="auto"/>
              </w:rPr>
            </w:pPr>
          </w:p>
        </w:tc>
        <w:tc>
          <w:tcPr>
            <w:tcW w:w="9940" w:type="dxa"/>
            <w:vAlign w:val="bottom"/>
            <w:gridSpan w:val="1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Management’s Report on Internal Control Over Financial Reporting</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44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0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9940" w:type="dxa"/>
            <w:vAlign w:val="bottom"/>
            <w:gridSpan w:val="1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Reports of Independent Registered Public Accounting Firm (Deloitte &amp; Touche LLP)</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44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0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9940" w:type="dxa"/>
            <w:vAlign w:val="bottom"/>
            <w:gridSpan w:val="1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Consolidated Statements of Income for the Years Ended June 30, 2012, June 30, 2011 and June 30, 2010</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44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00" w:type="dxa"/>
            <w:vAlign w:val="bottom"/>
            <w:tcBorders>
              <w:right w:val="single" w:sz="8" w:color="0000EE"/>
            </w:tcBorders>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854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Consolidated Statements of Comprehensive Income for the Years Ended June 30, 2012, June 30, 2011 and June 30, 2010</w:t>
              </w:r>
            </w:hyperlink>
          </w:p>
        </w:tc>
        <w:tc>
          <w:tcPr>
            <w:tcW w:w="1400" w:type="dxa"/>
            <w:vAlign w:val="bottom"/>
            <w:gridSpan w:val="2"/>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440" w:type="dxa"/>
            <w:vAlign w:val="bottom"/>
          </w:tcPr>
          <w:p>
            <w:pPr>
              <w:spacing w:after="0"/>
              <w:rPr>
                <w:sz w:val="24"/>
                <w:szCs w:val="24"/>
                <w:color w:val="auto"/>
              </w:rPr>
            </w:pPr>
          </w:p>
        </w:tc>
        <w:tc>
          <w:tcPr>
            <w:tcW w:w="478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39">
              <w:r>
                <w:rPr>
                  <w:rFonts w:ascii="Arial" w:cs="Arial" w:eastAsia="Arial" w:hAnsi="Arial"/>
                  <w:sz w:val="18"/>
                  <w:szCs w:val="18"/>
                  <w:color w:val="0000EE"/>
                  <w:w w:val="85"/>
                </w:rPr>
                <w:t>Consolidated Balance Sheets as of June 30, 2012 and June 30, 2011</w:t>
              </w:r>
            </w:hyperlink>
          </w:p>
        </w:tc>
        <w:tc>
          <w:tcPr>
            <w:tcW w:w="5160" w:type="dxa"/>
            <w:vAlign w:val="bottom"/>
            <w:gridSpan w:val="6"/>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440" w:type="dxa"/>
            <w:vAlign w:val="bottom"/>
          </w:tcPr>
          <w:p>
            <w:pPr>
              <w:spacing w:after="0"/>
              <w:rPr>
                <w:sz w:val="24"/>
                <w:szCs w:val="24"/>
                <w:color w:val="auto"/>
              </w:rPr>
            </w:pPr>
          </w:p>
        </w:tc>
        <w:tc>
          <w:tcPr>
            <w:tcW w:w="9940" w:type="dxa"/>
            <w:vAlign w:val="bottom"/>
            <w:gridSpan w:val="1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Consolidated Statements of Cash Flows for the Years Ended June 30, 2012, June 30, 2011 and June 30, 2010</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44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0" w:type="dxa"/>
            <w:vAlign w:val="bottom"/>
            <w:gridSpan w:val="4"/>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91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43">
              <w:r>
                <w:rPr>
                  <w:rFonts w:ascii="Arial" w:cs="Arial" w:eastAsia="Arial" w:hAnsi="Arial"/>
                  <w:sz w:val="18"/>
                  <w:szCs w:val="18"/>
                  <w:color w:val="0000EE"/>
                  <w:w w:val="87"/>
                </w:rPr>
                <w:t>Consolidated Statements of Changes in Stockholders’ Equity for the Years Ended June 30, 2012, June 30, 2011 and June 30, 2010</w:t>
              </w:r>
            </w:hyperlink>
          </w:p>
        </w:tc>
        <w:tc>
          <w:tcPr>
            <w:tcW w:w="7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440" w:type="dxa"/>
            <w:vAlign w:val="bottom"/>
          </w:tcPr>
          <w:p>
            <w:pPr>
              <w:spacing w:after="0"/>
              <w:rPr>
                <w:sz w:val="24"/>
                <w:szCs w:val="24"/>
                <w:color w:val="auto"/>
              </w:rPr>
            </w:pPr>
          </w:p>
        </w:tc>
        <w:tc>
          <w:tcPr>
            <w:tcW w:w="308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44">
              <w:r>
                <w:rPr>
                  <w:rFonts w:ascii="Arial" w:cs="Arial" w:eastAsia="Arial" w:hAnsi="Arial"/>
                  <w:sz w:val="18"/>
                  <w:szCs w:val="18"/>
                  <w:color w:val="0000EE"/>
                  <w:w w:val="87"/>
                </w:rPr>
                <w:t>Notes to Consolidated Financial Statements</w:t>
              </w:r>
            </w:hyperlink>
          </w:p>
        </w:tc>
        <w:tc>
          <w:tcPr>
            <w:tcW w:w="6860" w:type="dxa"/>
            <w:vAlign w:val="bottom"/>
            <w:gridSpan w:val="7"/>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10380" w:type="dxa"/>
            <w:vAlign w:val="bottom"/>
            <w:gridSpan w:val="11"/>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Quarterly Financial Data (Unaudited)</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264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900" w:type="dxa"/>
            <w:vAlign w:val="bottom"/>
            <w:gridSpan w:val="8"/>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34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Schedule II—Valuation and Qualifying Accounts</w:t>
              </w:r>
            </w:hyperlink>
          </w:p>
        </w:tc>
        <w:tc>
          <w:tcPr>
            <w:tcW w:w="6900" w:type="dxa"/>
            <w:vAlign w:val="bottom"/>
            <w:gridSpan w:val="8"/>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296" w:lineRule="exact"/>
        <w:rPr>
          <w:sz w:val="20"/>
          <w:szCs w:val="20"/>
          <w:color w:val="auto"/>
        </w:rPr>
      </w:pPr>
    </w:p>
    <w:p>
      <w:pPr>
        <w:ind w:left="920" w:hanging="649"/>
        <w:spacing w:after="0"/>
        <w:tabs>
          <w:tab w:leader="none" w:pos="9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financial statement schedule is filed as a part of this report under Schedule II—Valuation and Qualifying Accounts for the three fiscal years ended June 30, 2012, June 30, 2011 and June 30, 2010, immediately following Quarterly Financial Data (Unaudited). All other schedules are omitted because they are not applicable or the required information is shown in the financial statements, or notes thereto, included herein.</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- 65 -</w:t>
      </w:r>
    </w:p>
    <w:p>
      <w:pPr>
        <w:sectPr>
          <w:pgSz w:w="11900" w:h="16838" w:orient="portrait"/>
          <w:cols w:equalWidth="0" w:num="1">
            <w:col w:w="11340"/>
          </w:cols>
          <w:pgMar w:left="240" w:top="459" w:right="3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hanging="649"/>
        <w:spacing w:after="0"/>
        <w:tabs>
          <w:tab w:leader="none" w:pos="9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The following documents are included as exhibits to this Annual Report on Form 10-K:</w:t>
      </w:r>
    </w:p>
    <w:p>
      <w:pPr>
        <w:spacing w:after="0" w:line="9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3.1</w:t>
            </w:r>
          </w:p>
        </w:tc>
        <w:tc>
          <w:tcPr>
            <w:tcW w:w="10520" w:type="dxa"/>
            <w:vAlign w:val="bottom"/>
          </w:tcPr>
          <w:p>
            <w:pPr>
              <w:ind w:left="300"/>
              <w:spacing w:after="0"/>
              <w:rPr>
                <w:sz w:val="20"/>
                <w:szCs w:val="20"/>
                <w:color w:val="auto"/>
              </w:rPr>
            </w:pPr>
            <w:r>
              <w:rPr>
                <w:rFonts w:ascii="Arial" w:cs="Arial" w:eastAsia="Arial" w:hAnsi="Arial"/>
                <w:sz w:val="18"/>
                <w:szCs w:val="18"/>
                <w:color w:val="auto"/>
                <w:w w:val="91"/>
              </w:rPr>
              <w:t>Amended and Restated Certificate of Incorporation (Exhibit 4.1 to the Company’s Registration Statement on Form S-3 (File No. 333-156814)</w:t>
            </w:r>
          </w:p>
        </w:tc>
      </w:tr>
      <w:tr>
        <w:trPr>
          <w:trHeight w:val="222"/>
        </w:trPr>
        <w:tc>
          <w:tcPr>
            <w:tcW w:w="540" w:type="dxa"/>
            <w:vAlign w:val="bottom"/>
          </w:tcPr>
          <w:p>
            <w:pPr>
              <w:spacing w:after="0"/>
              <w:rPr>
                <w:sz w:val="19"/>
                <w:szCs w:val="19"/>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filed January 21, 2009, is hereby incorporated by reference).</w:t>
            </w:r>
          </w:p>
        </w:tc>
      </w:tr>
      <w:tr>
        <w:trPr>
          <w:trHeight w:val="277"/>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3.2</w:t>
            </w:r>
          </w:p>
        </w:tc>
        <w:tc>
          <w:tcPr>
            <w:tcW w:w="10520" w:type="dxa"/>
            <w:vAlign w:val="bottom"/>
          </w:tcPr>
          <w:p>
            <w:pPr>
              <w:ind w:left="300"/>
              <w:spacing w:after="0"/>
              <w:rPr>
                <w:sz w:val="20"/>
                <w:szCs w:val="20"/>
                <w:color w:val="auto"/>
              </w:rPr>
            </w:pPr>
            <w:r>
              <w:rPr>
                <w:rFonts w:ascii="Arial" w:cs="Arial" w:eastAsia="Arial" w:hAnsi="Arial"/>
                <w:sz w:val="18"/>
                <w:szCs w:val="18"/>
                <w:color w:val="auto"/>
                <w:w w:val="88"/>
              </w:rPr>
              <w:t>Certification of Designations, Preferences and Rights of Series B Junior Preferred Stock dated November 12, 1999 (Exhibit 3.2 to the Company’s</w:t>
            </w:r>
          </w:p>
        </w:tc>
      </w:tr>
      <w:tr>
        <w:trPr>
          <w:trHeight w:val="222"/>
        </w:trPr>
        <w:tc>
          <w:tcPr>
            <w:tcW w:w="540" w:type="dxa"/>
            <w:vAlign w:val="bottom"/>
          </w:tcPr>
          <w:p>
            <w:pPr>
              <w:spacing w:after="0"/>
              <w:rPr>
                <w:sz w:val="19"/>
                <w:szCs w:val="19"/>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Registration Statement on Form S-3 (File No. 333-117077) filed July 1, 2004, is hereby incorporated by reference).</w:t>
            </w:r>
          </w:p>
        </w:tc>
      </w:tr>
      <w:tr>
        <w:trPr>
          <w:trHeight w:val="277"/>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3.3</w:t>
            </w:r>
          </w:p>
        </w:tc>
        <w:tc>
          <w:tcPr>
            <w:tcW w:w="10520" w:type="dxa"/>
            <w:vAlign w:val="bottom"/>
          </w:tcPr>
          <w:p>
            <w:pPr>
              <w:ind w:left="300"/>
              <w:spacing w:after="0"/>
              <w:rPr>
                <w:sz w:val="20"/>
                <w:szCs w:val="20"/>
                <w:color w:val="auto"/>
              </w:rPr>
            </w:pPr>
            <w:r>
              <w:rPr>
                <w:rFonts w:ascii="Arial" w:cs="Arial" w:eastAsia="Arial" w:hAnsi="Arial"/>
                <w:sz w:val="18"/>
                <w:szCs w:val="18"/>
                <w:color w:val="auto"/>
                <w:w w:val="90"/>
              </w:rPr>
              <w:t>Certificate of Increase of Authorized Number of Shares of Series B Junior Participating Preferred Stock pursuant to Section 151 of the General</w:t>
            </w:r>
          </w:p>
        </w:tc>
      </w:tr>
      <w:tr>
        <w:trPr>
          <w:trHeight w:val="216"/>
        </w:trPr>
        <w:tc>
          <w:tcPr>
            <w:tcW w:w="540" w:type="dxa"/>
            <w:vAlign w:val="bottom"/>
          </w:tcPr>
          <w:p>
            <w:pPr>
              <w:spacing w:after="0"/>
              <w:rPr>
                <w:sz w:val="18"/>
                <w:szCs w:val="18"/>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w w:val="91"/>
              </w:rPr>
              <w:t>Corporation Law of the State of Delaware dated May 1, 2005 (Exhibit 3.5 to the Company’s Annual Report on Form 10-K (File No. 1-15461)</w:t>
            </w:r>
          </w:p>
        </w:tc>
      </w:tr>
      <w:tr>
        <w:trPr>
          <w:trHeight w:val="222"/>
        </w:trPr>
        <w:tc>
          <w:tcPr>
            <w:tcW w:w="540" w:type="dxa"/>
            <w:vAlign w:val="bottom"/>
          </w:tcPr>
          <w:p>
            <w:pPr>
              <w:spacing w:after="0"/>
              <w:rPr>
                <w:sz w:val="19"/>
                <w:szCs w:val="19"/>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filed August 17, 2005, is hereby incorporated by reference).</w:t>
            </w:r>
          </w:p>
        </w:tc>
      </w:tr>
      <w:tr>
        <w:trPr>
          <w:trHeight w:val="277"/>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3.4</w:t>
            </w:r>
          </w:p>
        </w:tc>
        <w:tc>
          <w:tcPr>
            <w:tcW w:w="10520" w:type="dxa"/>
            <w:vAlign w:val="bottom"/>
          </w:tcPr>
          <w:p>
            <w:pPr>
              <w:ind w:left="300"/>
              <w:spacing w:after="0"/>
              <w:rPr>
                <w:sz w:val="20"/>
                <w:szCs w:val="20"/>
                <w:color w:val="auto"/>
              </w:rPr>
            </w:pPr>
            <w:r>
              <w:rPr>
                <w:rFonts w:ascii="Arial" w:cs="Arial" w:eastAsia="Arial" w:hAnsi="Arial"/>
                <w:sz w:val="18"/>
                <w:szCs w:val="18"/>
                <w:color w:val="auto"/>
                <w:w w:val="90"/>
              </w:rPr>
              <w:t>Certificate of Increase of Authorized Number of Shares of Series B Junior Participating Preferred Stock pursuant to Section 151 of the General</w:t>
            </w:r>
          </w:p>
        </w:tc>
      </w:tr>
      <w:tr>
        <w:trPr>
          <w:trHeight w:val="216"/>
        </w:trPr>
        <w:tc>
          <w:tcPr>
            <w:tcW w:w="540" w:type="dxa"/>
            <w:vAlign w:val="bottom"/>
          </w:tcPr>
          <w:p>
            <w:pPr>
              <w:spacing w:after="0"/>
              <w:rPr>
                <w:sz w:val="18"/>
                <w:szCs w:val="18"/>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w w:val="93"/>
              </w:rPr>
              <w:t>Corporation Law of the State of Delaware dated October 23, 2006 (Exhibit 3.7 to the Company’s Annual Report on Form 10-K (File No. 1-</w:t>
            </w:r>
          </w:p>
        </w:tc>
      </w:tr>
      <w:tr>
        <w:trPr>
          <w:trHeight w:val="222"/>
        </w:trPr>
        <w:tc>
          <w:tcPr>
            <w:tcW w:w="540" w:type="dxa"/>
            <w:vAlign w:val="bottom"/>
          </w:tcPr>
          <w:p>
            <w:pPr>
              <w:spacing w:after="0"/>
              <w:rPr>
                <w:sz w:val="19"/>
                <w:szCs w:val="19"/>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15461) filed August 14, 2007, is hereby incorporated by reference).</w:t>
            </w:r>
          </w:p>
        </w:tc>
      </w:tr>
      <w:tr>
        <w:trPr>
          <w:trHeight w:val="277"/>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3.5</w:t>
            </w:r>
          </w:p>
        </w:tc>
        <w:tc>
          <w:tcPr>
            <w:tcW w:w="10520" w:type="dxa"/>
            <w:vAlign w:val="bottom"/>
          </w:tcPr>
          <w:p>
            <w:pPr>
              <w:ind w:left="300"/>
              <w:spacing w:after="0"/>
              <w:rPr>
                <w:sz w:val="20"/>
                <w:szCs w:val="20"/>
                <w:color w:val="auto"/>
              </w:rPr>
            </w:pPr>
            <w:r>
              <w:rPr>
                <w:rFonts w:ascii="Arial" w:cs="Arial" w:eastAsia="Arial" w:hAnsi="Arial"/>
                <w:sz w:val="18"/>
                <w:szCs w:val="18"/>
                <w:color w:val="auto"/>
                <w:w w:val="94"/>
              </w:rPr>
              <w:t>Amended and Restated Bylaws (Exhibit 3 to the Company’s Current Report on Form 8-K (File No. 1-15461) filed April 9, 2009, is hereby</w:t>
            </w:r>
          </w:p>
        </w:tc>
      </w:tr>
      <w:tr>
        <w:trPr>
          <w:trHeight w:val="222"/>
        </w:trPr>
        <w:tc>
          <w:tcPr>
            <w:tcW w:w="540" w:type="dxa"/>
            <w:vAlign w:val="bottom"/>
          </w:tcPr>
          <w:p>
            <w:pPr>
              <w:spacing w:after="0"/>
              <w:rPr>
                <w:sz w:val="19"/>
                <w:szCs w:val="19"/>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incorporated by reference).</w:t>
            </w:r>
          </w:p>
        </w:tc>
      </w:tr>
    </w:tbl>
    <w:p>
      <w:pPr>
        <w:spacing w:after="0" w:line="61" w:lineRule="exact"/>
        <w:rPr>
          <w:sz w:val="20"/>
          <w:szCs w:val="20"/>
          <w:color w:val="auto"/>
        </w:rPr>
      </w:pPr>
    </w:p>
    <w:p>
      <w:pPr>
        <w:ind w:left="1180" w:right="20" w:hanging="611"/>
        <w:spacing w:after="0" w:line="268"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Specimen Common Stock Certificate (Exhibit 4.1 to the Company’s Registration Statement on Form S-1 (File No. 33-36081) filed July 26, 1990, is hereby incorporated by reference).</w:t>
      </w:r>
    </w:p>
    <w:p>
      <w:pPr>
        <w:spacing w:after="0" w:line="37"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840" w:type="dxa"/>
            <w:vAlign w:val="bottom"/>
          </w:tcPr>
          <w:p>
            <w:pPr>
              <w:ind w:left="80"/>
              <w:spacing w:after="0"/>
              <w:rPr>
                <w:sz w:val="20"/>
                <w:szCs w:val="20"/>
                <w:color w:val="auto"/>
              </w:rPr>
            </w:pPr>
            <w:r>
              <w:rPr>
                <w:rFonts w:ascii="Arial" w:cs="Arial" w:eastAsia="Arial" w:hAnsi="Arial"/>
                <w:sz w:val="18"/>
                <w:szCs w:val="18"/>
                <w:color w:val="auto"/>
              </w:rPr>
              <w:t>+10.1</w:t>
            </w:r>
          </w:p>
        </w:tc>
        <w:tc>
          <w:tcPr>
            <w:tcW w:w="10500" w:type="dxa"/>
            <w:vAlign w:val="bottom"/>
          </w:tcPr>
          <w:p>
            <w:pPr>
              <w:ind w:left="260"/>
              <w:spacing w:after="0"/>
              <w:rPr>
                <w:sz w:val="20"/>
                <w:szCs w:val="20"/>
                <w:color w:val="auto"/>
              </w:rPr>
            </w:pPr>
            <w:r>
              <w:rPr>
                <w:rFonts w:ascii="Arial" w:cs="Arial" w:eastAsia="Arial" w:hAnsi="Arial"/>
                <w:sz w:val="18"/>
                <w:szCs w:val="18"/>
                <w:color w:val="auto"/>
                <w:w w:val="90"/>
              </w:rPr>
              <w:t>Matrix Service Company 1990 Incentive Stock Option Plan (Exhibit 10.14 to the Company’s Registration Statement on Form S-1 (File No. 333-</w:t>
            </w:r>
          </w:p>
        </w:tc>
      </w:tr>
      <w:tr>
        <w:trPr>
          <w:trHeight w:val="222"/>
        </w:trPr>
        <w:tc>
          <w:tcPr>
            <w:tcW w:w="840" w:type="dxa"/>
            <w:vAlign w:val="bottom"/>
          </w:tcPr>
          <w:p>
            <w:pPr>
              <w:spacing w:after="0"/>
              <w:rPr>
                <w:sz w:val="19"/>
                <w:szCs w:val="19"/>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rPr>
              <w:t>56945) filed June 12, 1990, is hereby incorporated by reference).</w:t>
            </w:r>
          </w:p>
        </w:tc>
      </w:tr>
      <w:tr>
        <w:trPr>
          <w:trHeight w:val="277"/>
        </w:trPr>
        <w:tc>
          <w:tcPr>
            <w:tcW w:w="840" w:type="dxa"/>
            <w:vAlign w:val="bottom"/>
          </w:tcPr>
          <w:p>
            <w:pPr>
              <w:ind w:left="80"/>
              <w:spacing w:after="0"/>
              <w:rPr>
                <w:sz w:val="20"/>
                <w:szCs w:val="20"/>
                <w:color w:val="auto"/>
              </w:rPr>
            </w:pPr>
            <w:r>
              <w:rPr>
                <w:rFonts w:ascii="Arial" w:cs="Arial" w:eastAsia="Arial" w:hAnsi="Arial"/>
                <w:sz w:val="18"/>
                <w:szCs w:val="18"/>
                <w:color w:val="auto"/>
              </w:rPr>
              <w:t>+10.2</w:t>
            </w:r>
          </w:p>
        </w:tc>
        <w:tc>
          <w:tcPr>
            <w:tcW w:w="10500" w:type="dxa"/>
            <w:vAlign w:val="bottom"/>
          </w:tcPr>
          <w:p>
            <w:pPr>
              <w:ind w:left="260"/>
              <w:spacing w:after="0"/>
              <w:rPr>
                <w:sz w:val="20"/>
                <w:szCs w:val="20"/>
                <w:color w:val="auto"/>
              </w:rPr>
            </w:pPr>
            <w:r>
              <w:rPr>
                <w:rFonts w:ascii="Arial" w:cs="Arial" w:eastAsia="Arial" w:hAnsi="Arial"/>
                <w:sz w:val="18"/>
                <w:szCs w:val="18"/>
                <w:color w:val="auto"/>
                <w:w w:val="91"/>
              </w:rPr>
              <w:t>Matrix Service Company 1991 Incentive Stock Option Plan (Exhibit 10.1 to the Company’s Registration Statement on Form S-8 (File No. 33-</w:t>
            </w:r>
          </w:p>
        </w:tc>
      </w:tr>
      <w:tr>
        <w:trPr>
          <w:trHeight w:val="222"/>
        </w:trPr>
        <w:tc>
          <w:tcPr>
            <w:tcW w:w="840" w:type="dxa"/>
            <w:vAlign w:val="bottom"/>
          </w:tcPr>
          <w:p>
            <w:pPr>
              <w:spacing w:after="0"/>
              <w:rPr>
                <w:sz w:val="19"/>
                <w:szCs w:val="19"/>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rPr>
              <w:t>36081) filed July 26, 1990, is hereby incorporated by reference).</w:t>
            </w:r>
          </w:p>
        </w:tc>
      </w:tr>
      <w:tr>
        <w:trPr>
          <w:trHeight w:val="277"/>
        </w:trPr>
        <w:tc>
          <w:tcPr>
            <w:tcW w:w="840" w:type="dxa"/>
            <w:vAlign w:val="bottom"/>
          </w:tcPr>
          <w:p>
            <w:pPr>
              <w:ind w:left="80"/>
              <w:spacing w:after="0"/>
              <w:rPr>
                <w:sz w:val="20"/>
                <w:szCs w:val="20"/>
                <w:color w:val="auto"/>
              </w:rPr>
            </w:pPr>
            <w:r>
              <w:rPr>
                <w:rFonts w:ascii="Arial" w:cs="Arial" w:eastAsia="Arial" w:hAnsi="Arial"/>
                <w:sz w:val="18"/>
                <w:szCs w:val="18"/>
                <w:color w:val="auto"/>
              </w:rPr>
              <w:t>+10.3</w:t>
            </w:r>
          </w:p>
        </w:tc>
        <w:tc>
          <w:tcPr>
            <w:tcW w:w="10500" w:type="dxa"/>
            <w:vAlign w:val="bottom"/>
          </w:tcPr>
          <w:p>
            <w:pPr>
              <w:ind w:left="260"/>
              <w:spacing w:after="0"/>
              <w:rPr>
                <w:sz w:val="20"/>
                <w:szCs w:val="20"/>
                <w:color w:val="auto"/>
              </w:rPr>
            </w:pPr>
            <w:r>
              <w:rPr>
                <w:rFonts w:ascii="Arial" w:cs="Arial" w:eastAsia="Arial" w:hAnsi="Arial"/>
                <w:sz w:val="18"/>
                <w:szCs w:val="18"/>
                <w:color w:val="auto"/>
                <w:w w:val="91"/>
              </w:rPr>
              <w:t>Matrix Service Company 1995 Nonemployee Directors’ Stock Option Plan (Exhibit 4.3 to the Company’s Registration Statement on Form S-8</w:t>
            </w:r>
          </w:p>
        </w:tc>
      </w:tr>
      <w:tr>
        <w:trPr>
          <w:trHeight w:val="222"/>
        </w:trPr>
        <w:tc>
          <w:tcPr>
            <w:tcW w:w="840" w:type="dxa"/>
            <w:vAlign w:val="bottom"/>
          </w:tcPr>
          <w:p>
            <w:pPr>
              <w:spacing w:after="0"/>
              <w:rPr>
                <w:sz w:val="19"/>
                <w:szCs w:val="19"/>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rPr>
              <w:t>(File No. 333-2771) filed April 23, 1996, is hereby incorporated by reference).</w:t>
            </w:r>
          </w:p>
        </w:tc>
      </w:tr>
      <w:tr>
        <w:trPr>
          <w:trHeight w:val="277"/>
        </w:trPr>
        <w:tc>
          <w:tcPr>
            <w:tcW w:w="840" w:type="dxa"/>
            <w:vAlign w:val="bottom"/>
          </w:tcPr>
          <w:p>
            <w:pPr>
              <w:ind w:left="80"/>
              <w:spacing w:after="0"/>
              <w:rPr>
                <w:sz w:val="20"/>
                <w:szCs w:val="20"/>
                <w:color w:val="auto"/>
              </w:rPr>
            </w:pPr>
            <w:r>
              <w:rPr>
                <w:rFonts w:ascii="Arial" w:cs="Arial" w:eastAsia="Arial" w:hAnsi="Arial"/>
                <w:sz w:val="18"/>
                <w:szCs w:val="18"/>
                <w:color w:val="auto"/>
              </w:rPr>
              <w:t>+10.4</w:t>
            </w:r>
          </w:p>
        </w:tc>
        <w:tc>
          <w:tcPr>
            <w:tcW w:w="10500" w:type="dxa"/>
            <w:vAlign w:val="bottom"/>
          </w:tcPr>
          <w:p>
            <w:pPr>
              <w:ind w:left="260"/>
              <w:spacing w:after="0"/>
              <w:rPr>
                <w:sz w:val="20"/>
                <w:szCs w:val="20"/>
                <w:color w:val="auto"/>
              </w:rPr>
            </w:pPr>
            <w:r>
              <w:rPr>
                <w:rFonts w:ascii="Arial" w:cs="Arial" w:eastAsia="Arial" w:hAnsi="Arial"/>
                <w:sz w:val="18"/>
                <w:szCs w:val="18"/>
                <w:color w:val="auto"/>
                <w:w w:val="91"/>
              </w:rPr>
              <w:t>Amendment No. 1 to the Matrix Service 1995 Nonemployee Directors’ Stock Option Plan (Exhibit B to the Company’s 2005 Proxy Statement</w:t>
            </w:r>
          </w:p>
        </w:tc>
      </w:tr>
      <w:tr>
        <w:trPr>
          <w:trHeight w:val="222"/>
        </w:trPr>
        <w:tc>
          <w:tcPr>
            <w:tcW w:w="840" w:type="dxa"/>
            <w:vAlign w:val="bottom"/>
          </w:tcPr>
          <w:p>
            <w:pPr>
              <w:spacing w:after="0"/>
              <w:rPr>
                <w:sz w:val="19"/>
                <w:szCs w:val="19"/>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rPr>
              <w:t>filed on September 16, 2005 (File No. 1-15461), is hereby incorporated by reference).</w:t>
            </w:r>
          </w:p>
        </w:tc>
      </w:tr>
      <w:tr>
        <w:trPr>
          <w:trHeight w:val="277"/>
        </w:trPr>
        <w:tc>
          <w:tcPr>
            <w:tcW w:w="840" w:type="dxa"/>
            <w:vAlign w:val="bottom"/>
          </w:tcPr>
          <w:p>
            <w:pPr>
              <w:ind w:left="80"/>
              <w:spacing w:after="0"/>
              <w:rPr>
                <w:sz w:val="20"/>
                <w:szCs w:val="20"/>
                <w:color w:val="auto"/>
              </w:rPr>
            </w:pPr>
            <w:r>
              <w:rPr>
                <w:rFonts w:ascii="Arial" w:cs="Arial" w:eastAsia="Arial" w:hAnsi="Arial"/>
                <w:sz w:val="18"/>
                <w:szCs w:val="18"/>
                <w:color w:val="auto"/>
              </w:rPr>
              <w:t>+10.5</w:t>
            </w:r>
          </w:p>
        </w:tc>
        <w:tc>
          <w:tcPr>
            <w:tcW w:w="10500" w:type="dxa"/>
            <w:vAlign w:val="bottom"/>
          </w:tcPr>
          <w:p>
            <w:pPr>
              <w:ind w:left="260"/>
              <w:spacing w:after="0"/>
              <w:rPr>
                <w:sz w:val="20"/>
                <w:szCs w:val="20"/>
                <w:color w:val="auto"/>
              </w:rPr>
            </w:pPr>
            <w:r>
              <w:rPr>
                <w:rFonts w:ascii="Arial" w:cs="Arial" w:eastAsia="Arial" w:hAnsi="Arial"/>
                <w:sz w:val="18"/>
                <w:szCs w:val="18"/>
                <w:color w:val="auto"/>
                <w:w w:val="90"/>
              </w:rPr>
              <w:t>Form of Stock Option Award Agreement (1995 Directors Plan) (Exhibit 10.6 to the Company’s Annual Report on Form 10-K (File No. 1-15461)</w:t>
            </w:r>
          </w:p>
        </w:tc>
      </w:tr>
      <w:tr>
        <w:trPr>
          <w:trHeight w:val="222"/>
        </w:trPr>
        <w:tc>
          <w:tcPr>
            <w:tcW w:w="840" w:type="dxa"/>
            <w:vAlign w:val="bottom"/>
          </w:tcPr>
          <w:p>
            <w:pPr>
              <w:spacing w:after="0"/>
              <w:rPr>
                <w:sz w:val="19"/>
                <w:szCs w:val="19"/>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rPr>
              <w:t>filed August 4, 2006, is hereby incorporated by reference).</w:t>
            </w:r>
          </w:p>
        </w:tc>
      </w:tr>
      <w:tr>
        <w:trPr>
          <w:trHeight w:val="277"/>
        </w:trPr>
        <w:tc>
          <w:tcPr>
            <w:tcW w:w="840" w:type="dxa"/>
            <w:vAlign w:val="bottom"/>
          </w:tcPr>
          <w:p>
            <w:pPr>
              <w:ind w:left="80"/>
              <w:spacing w:after="0"/>
              <w:rPr>
                <w:sz w:val="20"/>
                <w:szCs w:val="20"/>
                <w:color w:val="auto"/>
              </w:rPr>
            </w:pPr>
            <w:r>
              <w:rPr>
                <w:rFonts w:ascii="Arial" w:cs="Arial" w:eastAsia="Arial" w:hAnsi="Arial"/>
                <w:sz w:val="18"/>
                <w:szCs w:val="18"/>
                <w:color w:val="auto"/>
              </w:rPr>
              <w:t>+10.6</w:t>
            </w:r>
          </w:p>
        </w:tc>
        <w:tc>
          <w:tcPr>
            <w:tcW w:w="10500" w:type="dxa"/>
            <w:vAlign w:val="bottom"/>
          </w:tcPr>
          <w:p>
            <w:pPr>
              <w:ind w:left="260"/>
              <w:spacing w:after="0"/>
              <w:rPr>
                <w:sz w:val="20"/>
                <w:szCs w:val="20"/>
                <w:color w:val="auto"/>
              </w:rPr>
            </w:pPr>
            <w:r>
              <w:rPr>
                <w:rFonts w:ascii="Arial" w:cs="Arial" w:eastAsia="Arial" w:hAnsi="Arial"/>
                <w:sz w:val="18"/>
                <w:szCs w:val="18"/>
                <w:color w:val="auto"/>
                <w:w w:val="92"/>
              </w:rPr>
              <w:t>Matrix Service Company 2004 Stock Incentive Plan (Exhibit B to the Company’s Proxy Statement filed on September 15, 2006 (File No. 1-</w:t>
            </w:r>
          </w:p>
        </w:tc>
      </w:tr>
      <w:tr>
        <w:trPr>
          <w:trHeight w:val="222"/>
        </w:trPr>
        <w:tc>
          <w:tcPr>
            <w:tcW w:w="840" w:type="dxa"/>
            <w:vAlign w:val="bottom"/>
          </w:tcPr>
          <w:p>
            <w:pPr>
              <w:spacing w:after="0"/>
              <w:rPr>
                <w:sz w:val="19"/>
                <w:szCs w:val="19"/>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rPr>
              <w:t>15461), is hereby incorporated by reference).</w:t>
            </w:r>
          </w:p>
        </w:tc>
      </w:tr>
      <w:tr>
        <w:trPr>
          <w:trHeight w:val="277"/>
        </w:trPr>
        <w:tc>
          <w:tcPr>
            <w:tcW w:w="840" w:type="dxa"/>
            <w:vAlign w:val="bottom"/>
          </w:tcPr>
          <w:p>
            <w:pPr>
              <w:ind w:left="80"/>
              <w:spacing w:after="0"/>
              <w:rPr>
                <w:sz w:val="20"/>
                <w:szCs w:val="20"/>
                <w:color w:val="auto"/>
              </w:rPr>
            </w:pPr>
            <w:r>
              <w:rPr>
                <w:rFonts w:ascii="Arial" w:cs="Arial" w:eastAsia="Arial" w:hAnsi="Arial"/>
                <w:sz w:val="18"/>
                <w:szCs w:val="18"/>
                <w:color w:val="auto"/>
              </w:rPr>
              <w:t>+10.7</w:t>
            </w:r>
          </w:p>
        </w:tc>
        <w:tc>
          <w:tcPr>
            <w:tcW w:w="10500" w:type="dxa"/>
            <w:vAlign w:val="bottom"/>
          </w:tcPr>
          <w:p>
            <w:pPr>
              <w:ind w:left="260"/>
              <w:spacing w:after="0"/>
              <w:rPr>
                <w:sz w:val="20"/>
                <w:szCs w:val="20"/>
                <w:color w:val="auto"/>
              </w:rPr>
            </w:pPr>
            <w:r>
              <w:rPr>
                <w:rFonts w:ascii="Arial" w:cs="Arial" w:eastAsia="Arial" w:hAnsi="Arial"/>
                <w:sz w:val="18"/>
                <w:szCs w:val="18"/>
                <w:color w:val="auto"/>
                <w:w w:val="90"/>
              </w:rPr>
              <w:t>Amendment 1 to Matrix Service Company 2004 Stock Incentive Plan (Exhibit 10 to Amended Schedule 14A filed on October 4, 2006 (File No.</w:t>
            </w:r>
          </w:p>
        </w:tc>
      </w:tr>
      <w:tr>
        <w:trPr>
          <w:trHeight w:val="222"/>
        </w:trPr>
        <w:tc>
          <w:tcPr>
            <w:tcW w:w="840" w:type="dxa"/>
            <w:vAlign w:val="bottom"/>
          </w:tcPr>
          <w:p>
            <w:pPr>
              <w:spacing w:after="0"/>
              <w:rPr>
                <w:sz w:val="19"/>
                <w:szCs w:val="19"/>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rPr>
              <w:t>1-15461), is hereby incorporated by reference).</w:t>
            </w:r>
          </w:p>
        </w:tc>
      </w:tr>
      <w:tr>
        <w:trPr>
          <w:trHeight w:val="277"/>
        </w:trPr>
        <w:tc>
          <w:tcPr>
            <w:tcW w:w="840" w:type="dxa"/>
            <w:vAlign w:val="bottom"/>
          </w:tcPr>
          <w:p>
            <w:pPr>
              <w:jc w:val="right"/>
              <w:ind w:right="172"/>
              <w:spacing w:after="0"/>
              <w:rPr>
                <w:sz w:val="20"/>
                <w:szCs w:val="20"/>
                <w:color w:val="auto"/>
              </w:rPr>
            </w:pPr>
            <w:r>
              <w:rPr>
                <w:rFonts w:ascii="Arial" w:cs="Arial" w:eastAsia="Arial" w:hAnsi="Arial"/>
                <w:sz w:val="18"/>
                <w:szCs w:val="18"/>
                <w:color w:val="auto"/>
              </w:rPr>
              <w:t>+10.8</w:t>
            </w:r>
          </w:p>
        </w:tc>
        <w:tc>
          <w:tcPr>
            <w:tcW w:w="10500" w:type="dxa"/>
            <w:vAlign w:val="bottom"/>
          </w:tcPr>
          <w:p>
            <w:pPr>
              <w:ind w:left="260"/>
              <w:spacing w:after="0"/>
              <w:rPr>
                <w:sz w:val="20"/>
                <w:szCs w:val="20"/>
                <w:color w:val="auto"/>
              </w:rPr>
            </w:pPr>
            <w:r>
              <w:rPr>
                <w:rFonts w:ascii="Arial" w:cs="Arial" w:eastAsia="Arial" w:hAnsi="Arial"/>
                <w:sz w:val="18"/>
                <w:szCs w:val="18"/>
                <w:color w:val="auto"/>
                <w:w w:val="90"/>
              </w:rPr>
              <w:t>Amendment 2 to Matrix Service Company 2004 Stock Incentive Plan (Exhibit 10.6 to the Company’s Annual Report on Form 10-K (File No. 1-</w:t>
            </w:r>
          </w:p>
        </w:tc>
      </w:tr>
      <w:tr>
        <w:trPr>
          <w:trHeight w:val="222"/>
        </w:trPr>
        <w:tc>
          <w:tcPr>
            <w:tcW w:w="840" w:type="dxa"/>
            <w:vAlign w:val="bottom"/>
          </w:tcPr>
          <w:p>
            <w:pPr>
              <w:spacing w:after="0"/>
              <w:rPr>
                <w:sz w:val="19"/>
                <w:szCs w:val="19"/>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rPr>
              <w:t>15461) filed August 5, 2008, is hereby incorporated by reference).</w:t>
            </w:r>
          </w:p>
        </w:tc>
      </w:tr>
      <w:tr>
        <w:trPr>
          <w:trHeight w:val="277"/>
        </w:trPr>
        <w:tc>
          <w:tcPr>
            <w:tcW w:w="840" w:type="dxa"/>
            <w:vAlign w:val="bottom"/>
          </w:tcPr>
          <w:p>
            <w:pPr>
              <w:ind w:left="80"/>
              <w:spacing w:after="0"/>
              <w:rPr>
                <w:sz w:val="20"/>
                <w:szCs w:val="20"/>
                <w:color w:val="auto"/>
              </w:rPr>
            </w:pPr>
            <w:r>
              <w:rPr>
                <w:rFonts w:ascii="Arial" w:cs="Arial" w:eastAsia="Arial" w:hAnsi="Arial"/>
                <w:sz w:val="18"/>
                <w:szCs w:val="18"/>
                <w:color w:val="auto"/>
              </w:rPr>
              <w:t>+10.9</w:t>
            </w:r>
          </w:p>
        </w:tc>
        <w:tc>
          <w:tcPr>
            <w:tcW w:w="10500" w:type="dxa"/>
            <w:vAlign w:val="bottom"/>
          </w:tcPr>
          <w:p>
            <w:pPr>
              <w:ind w:left="260"/>
              <w:spacing w:after="0"/>
              <w:rPr>
                <w:sz w:val="20"/>
                <w:szCs w:val="20"/>
                <w:color w:val="auto"/>
              </w:rPr>
            </w:pPr>
            <w:r>
              <w:rPr>
                <w:rFonts w:ascii="Arial" w:cs="Arial" w:eastAsia="Arial" w:hAnsi="Arial"/>
                <w:sz w:val="18"/>
                <w:szCs w:val="18"/>
                <w:color w:val="auto"/>
                <w:w w:val="89"/>
              </w:rPr>
              <w:t>Amendment 3 to Matrix Service Company 2004 Stock Incentive Plan (Exhibit A to the Company’s Proxy Statement filed on September 11, 2009</w:t>
            </w:r>
          </w:p>
        </w:tc>
      </w:tr>
      <w:tr>
        <w:trPr>
          <w:trHeight w:val="222"/>
        </w:trPr>
        <w:tc>
          <w:tcPr>
            <w:tcW w:w="840" w:type="dxa"/>
            <w:vAlign w:val="bottom"/>
          </w:tcPr>
          <w:p>
            <w:pPr>
              <w:spacing w:after="0"/>
              <w:rPr>
                <w:sz w:val="19"/>
                <w:szCs w:val="19"/>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rPr>
              <w:t>(File No. 1-15461), is hereby incorporated by reference).</w:t>
            </w:r>
          </w:p>
        </w:tc>
      </w:tr>
      <w:tr>
        <w:trPr>
          <w:trHeight w:val="277"/>
        </w:trPr>
        <w:tc>
          <w:tcPr>
            <w:tcW w:w="840" w:type="dxa"/>
            <w:vAlign w:val="bottom"/>
          </w:tcPr>
          <w:p>
            <w:pPr>
              <w:ind w:left="80"/>
              <w:spacing w:after="0"/>
              <w:rPr>
                <w:sz w:val="20"/>
                <w:szCs w:val="20"/>
                <w:color w:val="auto"/>
              </w:rPr>
            </w:pPr>
            <w:r>
              <w:rPr>
                <w:rFonts w:ascii="Arial" w:cs="Arial" w:eastAsia="Arial" w:hAnsi="Arial"/>
                <w:sz w:val="18"/>
                <w:szCs w:val="18"/>
                <w:color w:val="auto"/>
              </w:rPr>
              <w:t>+10.10</w:t>
            </w:r>
          </w:p>
        </w:tc>
        <w:tc>
          <w:tcPr>
            <w:tcW w:w="10500" w:type="dxa"/>
            <w:vAlign w:val="bottom"/>
          </w:tcPr>
          <w:p>
            <w:pPr>
              <w:ind w:left="260"/>
              <w:spacing w:after="0"/>
              <w:rPr>
                <w:sz w:val="20"/>
                <w:szCs w:val="20"/>
                <w:color w:val="auto"/>
              </w:rPr>
            </w:pPr>
            <w:r>
              <w:rPr>
                <w:rFonts w:ascii="Arial" w:cs="Arial" w:eastAsia="Arial" w:hAnsi="Arial"/>
                <w:sz w:val="18"/>
                <w:szCs w:val="18"/>
                <w:color w:val="auto"/>
                <w:w w:val="89"/>
              </w:rPr>
              <w:t>Form of Restricted Stock Unit Award Agreement for non-employee directors (2004 Stock Incentive Plan) (Exhibit 10.8 to the Company’s Annual</w:t>
            </w:r>
          </w:p>
        </w:tc>
      </w:tr>
      <w:tr>
        <w:trPr>
          <w:trHeight w:val="222"/>
        </w:trPr>
        <w:tc>
          <w:tcPr>
            <w:tcW w:w="840" w:type="dxa"/>
            <w:vAlign w:val="bottom"/>
          </w:tcPr>
          <w:p>
            <w:pPr>
              <w:spacing w:after="0"/>
              <w:rPr>
                <w:sz w:val="19"/>
                <w:szCs w:val="19"/>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rPr>
              <w:t>Report on Form 10-K (File No. 1-15461) filed September 28, 2010 (the “2010 10-K”), is hereby incorporated by reference).</w:t>
            </w:r>
          </w:p>
        </w:tc>
      </w:tr>
      <w:tr>
        <w:trPr>
          <w:trHeight w:val="284"/>
        </w:trPr>
        <w:tc>
          <w:tcPr>
            <w:tcW w:w="840" w:type="dxa"/>
            <w:vAlign w:val="bottom"/>
          </w:tcPr>
          <w:p>
            <w:pPr>
              <w:jc w:val="right"/>
              <w:ind w:right="172"/>
              <w:spacing w:after="0"/>
              <w:rPr>
                <w:sz w:val="20"/>
                <w:szCs w:val="20"/>
                <w:color w:val="auto"/>
              </w:rPr>
            </w:pPr>
            <w:r>
              <w:rPr>
                <w:rFonts w:ascii="Arial" w:cs="Arial" w:eastAsia="Arial" w:hAnsi="Arial"/>
                <w:sz w:val="18"/>
                <w:szCs w:val="18"/>
                <w:color w:val="auto"/>
                <w:w w:val="89"/>
              </w:rPr>
              <w:t>+*10.11</w:t>
            </w:r>
          </w:p>
        </w:tc>
        <w:tc>
          <w:tcPr>
            <w:tcW w:w="10500" w:type="dxa"/>
            <w:vAlign w:val="bottom"/>
          </w:tcPr>
          <w:p>
            <w:pPr>
              <w:ind w:left="260"/>
              <w:spacing w:after="0"/>
              <w:rPr>
                <w:sz w:val="20"/>
                <w:szCs w:val="20"/>
                <w:color w:val="auto"/>
              </w:rPr>
            </w:pPr>
            <w:r>
              <w:rPr>
                <w:rFonts w:ascii="Arial" w:cs="Arial" w:eastAsia="Arial" w:hAnsi="Arial"/>
                <w:sz w:val="18"/>
                <w:szCs w:val="18"/>
                <w:color w:val="auto"/>
              </w:rPr>
              <w:t>Form of Restricted Stock Unit Award Agreement for employees (2004 Stock Incentive Plan - time-based).</w:t>
            </w:r>
          </w:p>
        </w:tc>
      </w:tr>
      <w:tr>
        <w:trPr>
          <w:trHeight w:val="277"/>
        </w:trPr>
        <w:tc>
          <w:tcPr>
            <w:tcW w:w="840" w:type="dxa"/>
            <w:vAlign w:val="bottom"/>
          </w:tcPr>
          <w:p>
            <w:pPr>
              <w:ind w:left="80"/>
              <w:spacing w:after="0"/>
              <w:rPr>
                <w:sz w:val="20"/>
                <w:szCs w:val="20"/>
                <w:color w:val="auto"/>
              </w:rPr>
            </w:pPr>
            <w:r>
              <w:rPr>
                <w:rFonts w:ascii="Arial" w:cs="Arial" w:eastAsia="Arial" w:hAnsi="Arial"/>
                <w:sz w:val="18"/>
                <w:szCs w:val="18"/>
                <w:color w:val="auto"/>
              </w:rPr>
              <w:t>+10.12</w:t>
            </w:r>
          </w:p>
        </w:tc>
        <w:tc>
          <w:tcPr>
            <w:tcW w:w="10500" w:type="dxa"/>
            <w:vAlign w:val="bottom"/>
          </w:tcPr>
          <w:p>
            <w:pPr>
              <w:ind w:left="260"/>
              <w:spacing w:after="0"/>
              <w:rPr>
                <w:sz w:val="20"/>
                <w:szCs w:val="20"/>
                <w:color w:val="auto"/>
              </w:rPr>
            </w:pPr>
            <w:r>
              <w:rPr>
                <w:rFonts w:ascii="Arial" w:cs="Arial" w:eastAsia="Arial" w:hAnsi="Arial"/>
                <w:sz w:val="18"/>
                <w:szCs w:val="18"/>
                <w:color w:val="auto"/>
                <w:w w:val="89"/>
              </w:rPr>
              <w:t>Form of Restricted Stock Unit Award Agreement for executive management (2004 Stock Incentive Plan – performance based) (Exhibit 10.10 to</w:t>
            </w:r>
          </w:p>
        </w:tc>
      </w:tr>
      <w:tr>
        <w:trPr>
          <w:trHeight w:val="222"/>
        </w:trPr>
        <w:tc>
          <w:tcPr>
            <w:tcW w:w="840" w:type="dxa"/>
            <w:vAlign w:val="bottom"/>
          </w:tcPr>
          <w:p>
            <w:pPr>
              <w:spacing w:after="0"/>
              <w:rPr>
                <w:sz w:val="19"/>
                <w:szCs w:val="19"/>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rPr>
              <w:t>the 2010 10-K is hereby incorporated by reference).</w:t>
            </w:r>
          </w:p>
        </w:tc>
      </w:tr>
      <w:tr>
        <w:trPr>
          <w:trHeight w:val="284"/>
        </w:trPr>
        <w:tc>
          <w:tcPr>
            <w:tcW w:w="840" w:type="dxa"/>
            <w:vAlign w:val="bottom"/>
          </w:tcPr>
          <w:p>
            <w:pPr>
              <w:jc w:val="right"/>
              <w:ind w:right="172"/>
              <w:spacing w:after="0"/>
              <w:rPr>
                <w:sz w:val="20"/>
                <w:szCs w:val="20"/>
                <w:color w:val="auto"/>
              </w:rPr>
            </w:pPr>
            <w:r>
              <w:rPr>
                <w:rFonts w:ascii="Arial" w:cs="Arial" w:eastAsia="Arial" w:hAnsi="Arial"/>
                <w:sz w:val="18"/>
                <w:szCs w:val="18"/>
                <w:color w:val="auto"/>
                <w:w w:val="89"/>
              </w:rPr>
              <w:t>+*10.13</w:t>
            </w:r>
          </w:p>
        </w:tc>
        <w:tc>
          <w:tcPr>
            <w:tcW w:w="10500" w:type="dxa"/>
            <w:vAlign w:val="bottom"/>
          </w:tcPr>
          <w:p>
            <w:pPr>
              <w:ind w:left="260"/>
              <w:spacing w:after="0"/>
              <w:rPr>
                <w:sz w:val="20"/>
                <w:szCs w:val="20"/>
                <w:color w:val="auto"/>
              </w:rPr>
            </w:pPr>
            <w:r>
              <w:rPr>
                <w:rFonts w:ascii="Arial" w:cs="Arial" w:eastAsia="Arial" w:hAnsi="Arial"/>
                <w:sz w:val="18"/>
                <w:szCs w:val="18"/>
                <w:color w:val="auto"/>
              </w:rPr>
              <w:t>Form of Stock Option Award Agreement (2004 Stock Incentive Plan – Incentive Stock Options).</w:t>
            </w:r>
          </w:p>
        </w:tc>
      </w:tr>
      <w:tr>
        <w:trPr>
          <w:trHeight w:val="284"/>
        </w:trPr>
        <w:tc>
          <w:tcPr>
            <w:tcW w:w="840" w:type="dxa"/>
            <w:vAlign w:val="bottom"/>
          </w:tcPr>
          <w:p>
            <w:pPr>
              <w:jc w:val="right"/>
              <w:ind w:right="172"/>
              <w:spacing w:after="0"/>
              <w:rPr>
                <w:sz w:val="20"/>
                <w:szCs w:val="20"/>
                <w:color w:val="auto"/>
              </w:rPr>
            </w:pPr>
            <w:r>
              <w:rPr>
                <w:rFonts w:ascii="Arial" w:cs="Arial" w:eastAsia="Arial" w:hAnsi="Arial"/>
                <w:sz w:val="18"/>
                <w:szCs w:val="18"/>
                <w:color w:val="auto"/>
                <w:w w:val="89"/>
              </w:rPr>
              <w:t>+*10.14</w:t>
            </w:r>
          </w:p>
        </w:tc>
        <w:tc>
          <w:tcPr>
            <w:tcW w:w="10500" w:type="dxa"/>
            <w:vAlign w:val="bottom"/>
          </w:tcPr>
          <w:p>
            <w:pPr>
              <w:ind w:left="260"/>
              <w:spacing w:after="0"/>
              <w:rPr>
                <w:sz w:val="20"/>
                <w:szCs w:val="20"/>
                <w:color w:val="auto"/>
              </w:rPr>
            </w:pPr>
            <w:r>
              <w:rPr>
                <w:rFonts w:ascii="Arial" w:cs="Arial" w:eastAsia="Arial" w:hAnsi="Arial"/>
                <w:sz w:val="18"/>
                <w:szCs w:val="18"/>
                <w:color w:val="auto"/>
              </w:rPr>
              <w:t>Form of Stock Option Award Agreement (2004 Stock Incentive Plan – Non-qualified).</w:t>
            </w:r>
          </w:p>
        </w:tc>
      </w:tr>
      <w:tr>
        <w:trPr>
          <w:trHeight w:val="277"/>
        </w:trPr>
        <w:tc>
          <w:tcPr>
            <w:tcW w:w="840" w:type="dxa"/>
            <w:vAlign w:val="bottom"/>
          </w:tcPr>
          <w:p>
            <w:pPr>
              <w:ind w:left="80"/>
              <w:spacing w:after="0"/>
              <w:rPr>
                <w:sz w:val="20"/>
                <w:szCs w:val="20"/>
                <w:color w:val="auto"/>
              </w:rPr>
            </w:pPr>
            <w:r>
              <w:rPr>
                <w:rFonts w:ascii="Arial" w:cs="Arial" w:eastAsia="Arial" w:hAnsi="Arial"/>
                <w:sz w:val="18"/>
                <w:szCs w:val="18"/>
                <w:color w:val="auto"/>
              </w:rPr>
              <w:t>+10.15</w:t>
            </w:r>
          </w:p>
        </w:tc>
        <w:tc>
          <w:tcPr>
            <w:tcW w:w="10500" w:type="dxa"/>
            <w:vAlign w:val="bottom"/>
          </w:tcPr>
          <w:p>
            <w:pPr>
              <w:ind w:left="260"/>
              <w:spacing w:after="0"/>
              <w:rPr>
                <w:sz w:val="20"/>
                <w:szCs w:val="20"/>
                <w:color w:val="auto"/>
              </w:rPr>
            </w:pPr>
            <w:r>
              <w:rPr>
                <w:rFonts w:ascii="Arial" w:cs="Arial" w:eastAsia="Arial" w:hAnsi="Arial"/>
                <w:sz w:val="18"/>
                <w:szCs w:val="18"/>
                <w:color w:val="auto"/>
                <w:w w:val="92"/>
              </w:rPr>
              <w:t>Form of Severance Agreement (Exhibit 10.6 to the Company’s Current Report on Form 8-K (File No. 1-15461) filed on October 27, 2006, is</w:t>
            </w:r>
          </w:p>
        </w:tc>
      </w:tr>
      <w:tr>
        <w:trPr>
          <w:trHeight w:val="222"/>
        </w:trPr>
        <w:tc>
          <w:tcPr>
            <w:tcW w:w="840" w:type="dxa"/>
            <w:vAlign w:val="bottom"/>
          </w:tcPr>
          <w:p>
            <w:pPr>
              <w:spacing w:after="0"/>
              <w:rPr>
                <w:sz w:val="19"/>
                <w:szCs w:val="19"/>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rPr>
              <w:t>hereby incorporated by reference).</w:t>
            </w:r>
          </w:p>
        </w:tc>
      </w:tr>
      <w:tr>
        <w:trPr>
          <w:trHeight w:val="277"/>
        </w:trPr>
        <w:tc>
          <w:tcPr>
            <w:tcW w:w="840" w:type="dxa"/>
            <w:vAlign w:val="bottom"/>
          </w:tcPr>
          <w:p>
            <w:pPr>
              <w:ind w:left="80"/>
              <w:spacing w:after="0"/>
              <w:rPr>
                <w:sz w:val="20"/>
                <w:szCs w:val="20"/>
                <w:color w:val="auto"/>
              </w:rPr>
            </w:pPr>
            <w:r>
              <w:rPr>
                <w:rFonts w:ascii="Arial" w:cs="Arial" w:eastAsia="Arial" w:hAnsi="Arial"/>
                <w:sz w:val="18"/>
                <w:szCs w:val="18"/>
                <w:color w:val="auto"/>
              </w:rPr>
              <w:t>+10.16</w:t>
            </w:r>
          </w:p>
        </w:tc>
        <w:tc>
          <w:tcPr>
            <w:tcW w:w="10500" w:type="dxa"/>
            <w:vAlign w:val="bottom"/>
          </w:tcPr>
          <w:p>
            <w:pPr>
              <w:ind w:left="260"/>
              <w:spacing w:after="0"/>
              <w:rPr>
                <w:sz w:val="20"/>
                <w:szCs w:val="20"/>
                <w:color w:val="auto"/>
              </w:rPr>
            </w:pPr>
            <w:r>
              <w:rPr>
                <w:rFonts w:ascii="Arial" w:cs="Arial" w:eastAsia="Arial" w:hAnsi="Arial"/>
                <w:sz w:val="18"/>
                <w:szCs w:val="18"/>
                <w:color w:val="auto"/>
                <w:w w:val="90"/>
              </w:rPr>
              <w:t>Form of Amendment to Severance Agreement (Senior Executives), (Exhibit 10.2 to the Company’s Quarterly Report on Form 10-Q (File No. 1-</w:t>
            </w:r>
          </w:p>
        </w:tc>
      </w:tr>
      <w:tr>
        <w:trPr>
          <w:trHeight w:val="222"/>
        </w:trPr>
        <w:tc>
          <w:tcPr>
            <w:tcW w:w="840" w:type="dxa"/>
            <w:vAlign w:val="bottom"/>
          </w:tcPr>
          <w:p>
            <w:pPr>
              <w:spacing w:after="0"/>
              <w:rPr>
                <w:sz w:val="19"/>
                <w:szCs w:val="19"/>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rPr>
              <w:t>15461) filed January 8, 2009, is hereby incorporated by reference).</w:t>
            </w:r>
          </w:p>
        </w:tc>
      </w:tr>
      <w:tr>
        <w:trPr>
          <w:trHeight w:val="365"/>
        </w:trPr>
        <w:tc>
          <w:tcPr>
            <w:tcW w:w="840" w:type="dxa"/>
            <w:vAlign w:val="bottom"/>
          </w:tcPr>
          <w:p>
            <w:pPr>
              <w:spacing w:after="0"/>
              <w:rPr>
                <w:sz w:val="24"/>
                <w:szCs w:val="24"/>
                <w:color w:val="auto"/>
              </w:rPr>
            </w:pPr>
          </w:p>
        </w:tc>
        <w:tc>
          <w:tcPr>
            <w:tcW w:w="10500" w:type="dxa"/>
            <w:vAlign w:val="bottom"/>
          </w:tcPr>
          <w:p>
            <w:pPr>
              <w:ind w:left="4600"/>
              <w:spacing w:after="0"/>
              <w:rPr>
                <w:sz w:val="20"/>
                <w:szCs w:val="20"/>
                <w:color w:val="auto"/>
              </w:rPr>
            </w:pPr>
            <w:r>
              <w:rPr>
                <w:rFonts w:ascii="Arial" w:cs="Arial" w:eastAsia="Arial" w:hAnsi="Arial"/>
                <w:sz w:val="18"/>
                <w:szCs w:val="18"/>
                <w:color w:val="auto"/>
              </w:rPr>
              <w:t>- 66 -</w:t>
            </w: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1020" w:type="dxa"/>
            <w:vAlign w:val="bottom"/>
          </w:tcPr>
          <w:p>
            <w:pPr>
              <w:jc w:val="right"/>
              <w:ind w:right="172"/>
              <w:spacing w:after="0"/>
              <w:rPr>
                <w:sz w:val="20"/>
                <w:szCs w:val="20"/>
                <w:color w:val="auto"/>
              </w:rPr>
            </w:pPr>
            <w:r>
              <w:rPr>
                <w:rFonts w:ascii="Arial" w:cs="Arial" w:eastAsia="Arial" w:hAnsi="Arial"/>
                <w:sz w:val="18"/>
                <w:szCs w:val="18"/>
                <w:color w:val="auto"/>
              </w:rPr>
              <w:t>+10.17</w:t>
            </w:r>
          </w:p>
        </w:tc>
        <w:tc>
          <w:tcPr>
            <w:tcW w:w="10280" w:type="dxa"/>
            <w:vAlign w:val="bottom"/>
          </w:tcPr>
          <w:p>
            <w:pPr>
              <w:ind w:left="280"/>
              <w:spacing w:after="0"/>
              <w:rPr>
                <w:sz w:val="20"/>
                <w:szCs w:val="20"/>
                <w:color w:val="auto"/>
              </w:rPr>
            </w:pPr>
            <w:r>
              <w:rPr>
                <w:rFonts w:ascii="Arial" w:cs="Arial" w:eastAsia="Arial" w:hAnsi="Arial"/>
                <w:sz w:val="18"/>
                <w:szCs w:val="18"/>
                <w:color w:val="auto"/>
                <w:w w:val="89"/>
              </w:rPr>
              <w:t>Form of Management Retention Agreement (Exhibit 10.7 to the Company’s Current Report on Form 8-K (File No. 1-15461) filed October 27,</w:t>
            </w:r>
          </w:p>
        </w:tc>
      </w:tr>
      <w:tr>
        <w:trPr>
          <w:trHeight w:val="222"/>
        </w:trPr>
        <w:tc>
          <w:tcPr>
            <w:tcW w:w="1020" w:type="dxa"/>
            <w:vAlign w:val="bottom"/>
          </w:tcPr>
          <w:p>
            <w:pPr>
              <w:spacing w:after="0"/>
              <w:rPr>
                <w:sz w:val="19"/>
                <w:szCs w:val="19"/>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2006, is hereby incorporated by reference).</w:t>
            </w:r>
          </w:p>
        </w:tc>
      </w:tr>
      <w:tr>
        <w:trPr>
          <w:trHeight w:val="277"/>
        </w:trPr>
        <w:tc>
          <w:tcPr>
            <w:tcW w:w="1020" w:type="dxa"/>
            <w:vAlign w:val="bottom"/>
          </w:tcPr>
          <w:p>
            <w:pPr>
              <w:jc w:val="right"/>
              <w:ind w:right="172"/>
              <w:spacing w:after="0"/>
              <w:rPr>
                <w:sz w:val="20"/>
                <w:szCs w:val="20"/>
                <w:color w:val="auto"/>
              </w:rPr>
            </w:pPr>
            <w:r>
              <w:rPr>
                <w:rFonts w:ascii="Arial" w:cs="Arial" w:eastAsia="Arial" w:hAnsi="Arial"/>
                <w:sz w:val="18"/>
                <w:szCs w:val="18"/>
                <w:color w:val="auto"/>
              </w:rPr>
              <w:t>+10.18</w:t>
            </w:r>
          </w:p>
        </w:tc>
        <w:tc>
          <w:tcPr>
            <w:tcW w:w="10280" w:type="dxa"/>
            <w:vAlign w:val="bottom"/>
          </w:tcPr>
          <w:p>
            <w:pPr>
              <w:ind w:left="280"/>
              <w:spacing w:after="0"/>
              <w:rPr>
                <w:sz w:val="20"/>
                <w:szCs w:val="20"/>
                <w:color w:val="auto"/>
              </w:rPr>
            </w:pPr>
            <w:r>
              <w:rPr>
                <w:rFonts w:ascii="Arial" w:cs="Arial" w:eastAsia="Arial" w:hAnsi="Arial"/>
                <w:sz w:val="18"/>
                <w:szCs w:val="18"/>
                <w:color w:val="auto"/>
                <w:w w:val="89"/>
              </w:rPr>
              <w:t>Form of Amendment to Severance Agreement (Key Employees), (Exhibit 10.3 to the Company’s Quarterly Report on Form 10-Q (File No. 1-</w:t>
            </w:r>
          </w:p>
        </w:tc>
      </w:tr>
      <w:tr>
        <w:trPr>
          <w:trHeight w:val="222"/>
        </w:trPr>
        <w:tc>
          <w:tcPr>
            <w:tcW w:w="1020" w:type="dxa"/>
            <w:vAlign w:val="bottom"/>
          </w:tcPr>
          <w:p>
            <w:pPr>
              <w:spacing w:after="0"/>
              <w:rPr>
                <w:sz w:val="19"/>
                <w:szCs w:val="19"/>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15461) filed January 8, 2009, is hereby incorporated by reference).</w:t>
            </w:r>
          </w:p>
        </w:tc>
      </w:tr>
      <w:tr>
        <w:trPr>
          <w:trHeight w:val="277"/>
        </w:trPr>
        <w:tc>
          <w:tcPr>
            <w:tcW w:w="1020" w:type="dxa"/>
            <w:vAlign w:val="bottom"/>
          </w:tcPr>
          <w:p>
            <w:pPr>
              <w:jc w:val="right"/>
              <w:ind w:right="172"/>
              <w:spacing w:after="0"/>
              <w:rPr>
                <w:sz w:val="20"/>
                <w:szCs w:val="20"/>
                <w:color w:val="auto"/>
              </w:rPr>
            </w:pPr>
            <w:r>
              <w:rPr>
                <w:rFonts w:ascii="Arial" w:cs="Arial" w:eastAsia="Arial" w:hAnsi="Arial"/>
                <w:sz w:val="18"/>
                <w:szCs w:val="18"/>
                <w:color w:val="auto"/>
              </w:rPr>
              <w:t>+10.19</w:t>
            </w:r>
          </w:p>
        </w:tc>
        <w:tc>
          <w:tcPr>
            <w:tcW w:w="10280" w:type="dxa"/>
            <w:vAlign w:val="bottom"/>
          </w:tcPr>
          <w:p>
            <w:pPr>
              <w:ind w:left="280"/>
              <w:spacing w:after="0"/>
              <w:rPr>
                <w:sz w:val="20"/>
                <w:szCs w:val="20"/>
                <w:color w:val="auto"/>
              </w:rPr>
            </w:pPr>
            <w:r>
              <w:rPr>
                <w:rFonts w:ascii="Arial" w:cs="Arial" w:eastAsia="Arial" w:hAnsi="Arial"/>
                <w:sz w:val="18"/>
                <w:szCs w:val="18"/>
                <w:color w:val="auto"/>
                <w:w w:val="89"/>
              </w:rPr>
              <w:t>Amended and Restated Deferred Compensation Plan for Members of the Board of Directors (Exhibit 10.1 to the Company’s Quarterly Report</w:t>
            </w:r>
          </w:p>
        </w:tc>
      </w:tr>
      <w:tr>
        <w:trPr>
          <w:trHeight w:val="222"/>
        </w:trPr>
        <w:tc>
          <w:tcPr>
            <w:tcW w:w="1020" w:type="dxa"/>
            <w:vAlign w:val="bottom"/>
          </w:tcPr>
          <w:p>
            <w:pPr>
              <w:spacing w:after="0"/>
              <w:rPr>
                <w:sz w:val="19"/>
                <w:szCs w:val="19"/>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on Form 10-Q (File No. 1-15461) filed January 8, 2009, is hereby incorporated by reference).</w:t>
            </w:r>
          </w:p>
        </w:tc>
      </w:tr>
      <w:tr>
        <w:trPr>
          <w:trHeight w:val="277"/>
        </w:trPr>
        <w:tc>
          <w:tcPr>
            <w:tcW w:w="1020" w:type="dxa"/>
            <w:vAlign w:val="bottom"/>
          </w:tcPr>
          <w:p>
            <w:pPr>
              <w:jc w:val="right"/>
              <w:ind w:right="172"/>
              <w:spacing w:after="0"/>
              <w:rPr>
                <w:sz w:val="20"/>
                <w:szCs w:val="20"/>
                <w:color w:val="auto"/>
              </w:rPr>
            </w:pPr>
            <w:r>
              <w:rPr>
                <w:rFonts w:ascii="Arial" w:cs="Arial" w:eastAsia="Arial" w:hAnsi="Arial"/>
                <w:sz w:val="18"/>
                <w:szCs w:val="18"/>
                <w:color w:val="auto"/>
              </w:rPr>
              <w:t>10.20</w:t>
            </w:r>
          </w:p>
        </w:tc>
        <w:tc>
          <w:tcPr>
            <w:tcW w:w="10280" w:type="dxa"/>
            <w:vAlign w:val="bottom"/>
          </w:tcPr>
          <w:p>
            <w:pPr>
              <w:ind w:left="280"/>
              <w:spacing w:after="0"/>
              <w:rPr>
                <w:sz w:val="20"/>
                <w:szCs w:val="20"/>
                <w:color w:val="auto"/>
              </w:rPr>
            </w:pPr>
            <w:r>
              <w:rPr>
                <w:rFonts w:ascii="Arial" w:cs="Arial" w:eastAsia="Arial" w:hAnsi="Arial"/>
                <w:sz w:val="18"/>
                <w:szCs w:val="18"/>
                <w:color w:val="auto"/>
                <w:w w:val="89"/>
              </w:rPr>
              <w:t>Third Amended and Restated Credit Agreement dated as of November 7, 2011, among the Company, as Borrower, JPMorgan Chase Bank,</w:t>
            </w:r>
          </w:p>
        </w:tc>
      </w:tr>
      <w:tr>
        <w:trPr>
          <w:trHeight w:val="216"/>
        </w:trPr>
        <w:tc>
          <w:tcPr>
            <w:tcW w:w="1020" w:type="dxa"/>
            <w:vAlign w:val="bottom"/>
          </w:tcPr>
          <w:p>
            <w:pPr>
              <w:spacing w:after="0"/>
              <w:rPr>
                <w:sz w:val="18"/>
                <w:szCs w:val="18"/>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w w:val="89"/>
              </w:rPr>
              <w:t>N.A., as Administrative Agent, Swingline Lender and Issuing Bank, J.P. Morgan Securities LLC, as Sole Bookrunner and Sole Lead Arranger</w:t>
            </w:r>
          </w:p>
        </w:tc>
      </w:tr>
      <w:tr>
        <w:trPr>
          <w:trHeight w:val="216"/>
        </w:trPr>
        <w:tc>
          <w:tcPr>
            <w:tcW w:w="1020" w:type="dxa"/>
            <w:vAlign w:val="bottom"/>
          </w:tcPr>
          <w:p>
            <w:pPr>
              <w:spacing w:after="0"/>
              <w:rPr>
                <w:sz w:val="18"/>
                <w:szCs w:val="18"/>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w w:val="91"/>
              </w:rPr>
              <w:t>and the Lenders party thereto (Exhibit 10 to the Company’s Quarterly Report on Form 10-Q (File No. 1-15461) filed November 8, 2011, is</w:t>
            </w:r>
          </w:p>
        </w:tc>
      </w:tr>
      <w:tr>
        <w:trPr>
          <w:trHeight w:val="222"/>
        </w:trPr>
        <w:tc>
          <w:tcPr>
            <w:tcW w:w="1020" w:type="dxa"/>
            <w:vAlign w:val="bottom"/>
          </w:tcPr>
          <w:p>
            <w:pPr>
              <w:spacing w:after="0"/>
              <w:rPr>
                <w:sz w:val="19"/>
                <w:szCs w:val="19"/>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hereby incorporated by reference).</w:t>
            </w:r>
          </w:p>
        </w:tc>
      </w:tr>
      <w:tr>
        <w:trPr>
          <w:trHeight w:val="284"/>
        </w:trPr>
        <w:tc>
          <w:tcPr>
            <w:tcW w:w="1020" w:type="dxa"/>
            <w:vAlign w:val="bottom"/>
          </w:tcPr>
          <w:p>
            <w:pPr>
              <w:jc w:val="right"/>
              <w:ind w:right="172"/>
              <w:spacing w:after="0"/>
              <w:rPr>
                <w:sz w:val="20"/>
                <w:szCs w:val="20"/>
                <w:color w:val="auto"/>
              </w:rPr>
            </w:pPr>
            <w:r>
              <w:rPr>
                <w:rFonts w:ascii="Arial" w:cs="Arial" w:eastAsia="Arial" w:hAnsi="Arial"/>
                <w:sz w:val="18"/>
                <w:szCs w:val="18"/>
                <w:color w:val="auto"/>
              </w:rPr>
              <w:t>*21</w:t>
            </w:r>
          </w:p>
        </w:tc>
        <w:tc>
          <w:tcPr>
            <w:tcW w:w="10280" w:type="dxa"/>
            <w:vAlign w:val="bottom"/>
          </w:tcPr>
          <w:p>
            <w:pPr>
              <w:ind w:left="280"/>
              <w:spacing w:after="0"/>
              <w:rPr>
                <w:sz w:val="20"/>
                <w:szCs w:val="20"/>
                <w:color w:val="auto"/>
              </w:rPr>
            </w:pPr>
            <w:r>
              <w:rPr>
                <w:rFonts w:ascii="Arial" w:cs="Arial" w:eastAsia="Arial" w:hAnsi="Arial"/>
                <w:sz w:val="18"/>
                <w:szCs w:val="18"/>
                <w:color w:val="auto"/>
              </w:rPr>
              <w:t>Subsidiaries.</w:t>
            </w:r>
          </w:p>
        </w:tc>
      </w:tr>
      <w:tr>
        <w:trPr>
          <w:trHeight w:val="284"/>
        </w:trPr>
        <w:tc>
          <w:tcPr>
            <w:tcW w:w="1020" w:type="dxa"/>
            <w:vAlign w:val="bottom"/>
          </w:tcPr>
          <w:p>
            <w:pPr>
              <w:jc w:val="right"/>
              <w:ind w:right="172"/>
              <w:spacing w:after="0"/>
              <w:rPr>
                <w:sz w:val="20"/>
                <w:szCs w:val="20"/>
                <w:color w:val="auto"/>
              </w:rPr>
            </w:pPr>
            <w:r>
              <w:rPr>
                <w:rFonts w:ascii="Arial" w:cs="Arial" w:eastAsia="Arial" w:hAnsi="Arial"/>
                <w:sz w:val="18"/>
                <w:szCs w:val="18"/>
                <w:color w:val="auto"/>
              </w:rPr>
              <w:t>*23</w:t>
            </w:r>
          </w:p>
        </w:tc>
        <w:tc>
          <w:tcPr>
            <w:tcW w:w="10280" w:type="dxa"/>
            <w:vAlign w:val="bottom"/>
          </w:tcPr>
          <w:p>
            <w:pPr>
              <w:ind w:left="280"/>
              <w:spacing w:after="0"/>
              <w:rPr>
                <w:sz w:val="20"/>
                <w:szCs w:val="20"/>
                <w:color w:val="auto"/>
              </w:rPr>
            </w:pPr>
            <w:r>
              <w:rPr>
                <w:rFonts w:ascii="Arial" w:cs="Arial" w:eastAsia="Arial" w:hAnsi="Arial"/>
                <w:sz w:val="18"/>
                <w:szCs w:val="18"/>
                <w:color w:val="auto"/>
              </w:rPr>
              <w:t>Consent of Independent Registered Public Accounting Firm—Deloitte &amp; Touche LLP.</w:t>
            </w:r>
          </w:p>
        </w:tc>
      </w:tr>
      <w:tr>
        <w:trPr>
          <w:trHeight w:val="284"/>
        </w:trPr>
        <w:tc>
          <w:tcPr>
            <w:tcW w:w="1020" w:type="dxa"/>
            <w:vAlign w:val="bottom"/>
          </w:tcPr>
          <w:p>
            <w:pPr>
              <w:jc w:val="right"/>
              <w:ind w:right="172"/>
              <w:spacing w:after="0"/>
              <w:rPr>
                <w:sz w:val="20"/>
                <w:szCs w:val="20"/>
                <w:color w:val="auto"/>
              </w:rPr>
            </w:pPr>
            <w:r>
              <w:rPr>
                <w:rFonts w:ascii="Arial" w:cs="Arial" w:eastAsia="Arial" w:hAnsi="Arial"/>
                <w:sz w:val="18"/>
                <w:szCs w:val="18"/>
                <w:color w:val="auto"/>
              </w:rPr>
              <w:t>*31.1</w:t>
            </w:r>
          </w:p>
        </w:tc>
        <w:tc>
          <w:tcPr>
            <w:tcW w:w="10280" w:type="dxa"/>
            <w:vAlign w:val="bottom"/>
          </w:tcPr>
          <w:p>
            <w:pPr>
              <w:ind w:left="280"/>
              <w:spacing w:after="0"/>
              <w:rPr>
                <w:sz w:val="20"/>
                <w:szCs w:val="20"/>
                <w:color w:val="auto"/>
              </w:rPr>
            </w:pPr>
            <w:r>
              <w:rPr>
                <w:rFonts w:ascii="Arial" w:cs="Arial" w:eastAsia="Arial" w:hAnsi="Arial"/>
                <w:sz w:val="18"/>
                <w:szCs w:val="18"/>
                <w:color w:val="auto"/>
              </w:rPr>
              <w:t>Certification Pursuant to Section 302 of Sarbanes-Oxley Act of 2002—CEO.</w:t>
            </w:r>
          </w:p>
        </w:tc>
      </w:tr>
      <w:tr>
        <w:trPr>
          <w:trHeight w:val="284"/>
        </w:trPr>
        <w:tc>
          <w:tcPr>
            <w:tcW w:w="1020" w:type="dxa"/>
            <w:vAlign w:val="bottom"/>
          </w:tcPr>
          <w:p>
            <w:pPr>
              <w:jc w:val="right"/>
              <w:ind w:right="172"/>
              <w:spacing w:after="0"/>
              <w:rPr>
                <w:sz w:val="20"/>
                <w:szCs w:val="20"/>
                <w:color w:val="auto"/>
              </w:rPr>
            </w:pPr>
            <w:r>
              <w:rPr>
                <w:rFonts w:ascii="Arial" w:cs="Arial" w:eastAsia="Arial" w:hAnsi="Arial"/>
                <w:sz w:val="18"/>
                <w:szCs w:val="18"/>
                <w:color w:val="auto"/>
              </w:rPr>
              <w:t>*31.2</w:t>
            </w:r>
          </w:p>
        </w:tc>
        <w:tc>
          <w:tcPr>
            <w:tcW w:w="10280" w:type="dxa"/>
            <w:vAlign w:val="bottom"/>
          </w:tcPr>
          <w:p>
            <w:pPr>
              <w:ind w:left="280"/>
              <w:spacing w:after="0"/>
              <w:rPr>
                <w:sz w:val="20"/>
                <w:szCs w:val="20"/>
                <w:color w:val="auto"/>
              </w:rPr>
            </w:pPr>
            <w:r>
              <w:rPr>
                <w:rFonts w:ascii="Arial" w:cs="Arial" w:eastAsia="Arial" w:hAnsi="Arial"/>
                <w:sz w:val="18"/>
                <w:szCs w:val="18"/>
                <w:color w:val="auto"/>
              </w:rPr>
              <w:t>Certification Pursuant to Section 302 of Sarbanes-Oxley Act of 2002—CFO.</w:t>
            </w:r>
          </w:p>
        </w:tc>
      </w:tr>
      <w:tr>
        <w:trPr>
          <w:trHeight w:val="284"/>
        </w:trPr>
        <w:tc>
          <w:tcPr>
            <w:tcW w:w="1020" w:type="dxa"/>
            <w:vAlign w:val="bottom"/>
          </w:tcPr>
          <w:p>
            <w:pPr>
              <w:jc w:val="right"/>
              <w:ind w:right="172"/>
              <w:spacing w:after="0"/>
              <w:rPr>
                <w:sz w:val="20"/>
                <w:szCs w:val="20"/>
                <w:color w:val="auto"/>
              </w:rPr>
            </w:pPr>
            <w:r>
              <w:rPr>
                <w:rFonts w:ascii="Arial" w:cs="Arial" w:eastAsia="Arial" w:hAnsi="Arial"/>
                <w:sz w:val="18"/>
                <w:szCs w:val="18"/>
                <w:color w:val="auto"/>
              </w:rPr>
              <w:t>*32.1</w:t>
            </w:r>
          </w:p>
        </w:tc>
        <w:tc>
          <w:tcPr>
            <w:tcW w:w="10280" w:type="dxa"/>
            <w:vAlign w:val="bottom"/>
          </w:tcPr>
          <w:p>
            <w:pPr>
              <w:ind w:left="280"/>
              <w:spacing w:after="0"/>
              <w:rPr>
                <w:sz w:val="20"/>
                <w:szCs w:val="20"/>
                <w:color w:val="auto"/>
              </w:rPr>
            </w:pPr>
            <w:r>
              <w:rPr>
                <w:rFonts w:ascii="Arial" w:cs="Arial" w:eastAsia="Arial" w:hAnsi="Arial"/>
                <w:sz w:val="18"/>
                <w:szCs w:val="18"/>
                <w:color w:val="auto"/>
              </w:rPr>
              <w:t>Certification Pursuant to 18 U.S.C. 1350 (section 906 of Sarbanes-Oxley Act of 2002)—CEO.</w:t>
            </w:r>
          </w:p>
        </w:tc>
      </w:tr>
      <w:tr>
        <w:trPr>
          <w:trHeight w:val="284"/>
        </w:trPr>
        <w:tc>
          <w:tcPr>
            <w:tcW w:w="1020" w:type="dxa"/>
            <w:vAlign w:val="bottom"/>
          </w:tcPr>
          <w:p>
            <w:pPr>
              <w:jc w:val="right"/>
              <w:ind w:right="172"/>
              <w:spacing w:after="0"/>
              <w:rPr>
                <w:sz w:val="20"/>
                <w:szCs w:val="20"/>
                <w:color w:val="auto"/>
              </w:rPr>
            </w:pPr>
            <w:r>
              <w:rPr>
                <w:rFonts w:ascii="Arial" w:cs="Arial" w:eastAsia="Arial" w:hAnsi="Arial"/>
                <w:sz w:val="18"/>
                <w:szCs w:val="18"/>
                <w:color w:val="auto"/>
              </w:rPr>
              <w:t>*32.2</w:t>
            </w:r>
          </w:p>
        </w:tc>
        <w:tc>
          <w:tcPr>
            <w:tcW w:w="10280" w:type="dxa"/>
            <w:vAlign w:val="bottom"/>
          </w:tcPr>
          <w:p>
            <w:pPr>
              <w:ind w:left="280"/>
              <w:spacing w:after="0"/>
              <w:rPr>
                <w:sz w:val="20"/>
                <w:szCs w:val="20"/>
                <w:color w:val="auto"/>
              </w:rPr>
            </w:pPr>
            <w:r>
              <w:rPr>
                <w:rFonts w:ascii="Arial" w:cs="Arial" w:eastAsia="Arial" w:hAnsi="Arial"/>
                <w:sz w:val="18"/>
                <w:szCs w:val="18"/>
                <w:color w:val="auto"/>
              </w:rPr>
              <w:t>Certification Pursuant to 18 U.S.C. 1350 (section 906 of Sarbanes-Oxley Act of 2002)—CFO.</w:t>
            </w:r>
          </w:p>
        </w:tc>
      </w:tr>
      <w:tr>
        <w:trPr>
          <w:trHeight w:val="284"/>
        </w:trPr>
        <w:tc>
          <w:tcPr>
            <w:tcW w:w="1020" w:type="dxa"/>
            <w:vAlign w:val="bottom"/>
          </w:tcPr>
          <w:p>
            <w:pPr>
              <w:jc w:val="right"/>
              <w:ind w:right="172"/>
              <w:spacing w:after="0"/>
              <w:rPr>
                <w:sz w:val="20"/>
                <w:szCs w:val="20"/>
                <w:color w:val="auto"/>
              </w:rPr>
            </w:pPr>
            <w:r>
              <w:rPr>
                <w:rFonts w:ascii="Arial" w:cs="Arial" w:eastAsia="Arial" w:hAnsi="Arial"/>
                <w:sz w:val="18"/>
                <w:szCs w:val="18"/>
                <w:color w:val="auto"/>
              </w:rPr>
              <w:t>*101.INS</w:t>
            </w:r>
          </w:p>
        </w:tc>
        <w:tc>
          <w:tcPr>
            <w:tcW w:w="1028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284"/>
        </w:trPr>
        <w:tc>
          <w:tcPr>
            <w:tcW w:w="1020" w:type="dxa"/>
            <w:vAlign w:val="bottom"/>
          </w:tcPr>
          <w:p>
            <w:pPr>
              <w:jc w:val="right"/>
              <w:ind w:right="172"/>
              <w:spacing w:after="0"/>
              <w:rPr>
                <w:sz w:val="20"/>
                <w:szCs w:val="20"/>
                <w:color w:val="auto"/>
              </w:rPr>
            </w:pPr>
            <w:r>
              <w:rPr>
                <w:rFonts w:ascii="Arial" w:cs="Arial" w:eastAsia="Arial" w:hAnsi="Arial"/>
                <w:sz w:val="18"/>
                <w:szCs w:val="18"/>
                <w:color w:val="auto"/>
                <w:w w:val="92"/>
              </w:rPr>
              <w:t>*101.SCH</w:t>
            </w:r>
          </w:p>
        </w:tc>
        <w:tc>
          <w:tcPr>
            <w:tcW w:w="10280" w:type="dxa"/>
            <w:vAlign w:val="bottom"/>
          </w:tcPr>
          <w:p>
            <w:pPr>
              <w:ind w:left="280"/>
              <w:spacing w:after="0"/>
              <w:rPr>
                <w:sz w:val="20"/>
                <w:szCs w:val="20"/>
                <w:color w:val="auto"/>
              </w:rPr>
            </w:pPr>
            <w:r>
              <w:rPr>
                <w:rFonts w:ascii="Arial" w:cs="Arial" w:eastAsia="Arial" w:hAnsi="Arial"/>
                <w:sz w:val="18"/>
                <w:szCs w:val="18"/>
                <w:color w:val="auto"/>
              </w:rPr>
              <w:t>XBRL Taxonomy Schema Document.</w:t>
            </w:r>
          </w:p>
        </w:tc>
      </w:tr>
      <w:tr>
        <w:trPr>
          <w:trHeight w:val="284"/>
        </w:trPr>
        <w:tc>
          <w:tcPr>
            <w:tcW w:w="1020" w:type="dxa"/>
            <w:vAlign w:val="bottom"/>
          </w:tcPr>
          <w:p>
            <w:pPr>
              <w:jc w:val="right"/>
              <w:ind w:right="172"/>
              <w:spacing w:after="0"/>
              <w:rPr>
                <w:sz w:val="20"/>
                <w:szCs w:val="20"/>
                <w:color w:val="auto"/>
              </w:rPr>
            </w:pPr>
            <w:r>
              <w:rPr>
                <w:rFonts w:ascii="Arial" w:cs="Arial" w:eastAsia="Arial" w:hAnsi="Arial"/>
                <w:sz w:val="18"/>
                <w:szCs w:val="18"/>
                <w:color w:val="auto"/>
                <w:w w:val="95"/>
              </w:rPr>
              <w:t>*101.CAL</w:t>
            </w:r>
          </w:p>
        </w:tc>
        <w:tc>
          <w:tcPr>
            <w:tcW w:w="1028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4"/>
        </w:trPr>
        <w:tc>
          <w:tcPr>
            <w:tcW w:w="1020" w:type="dxa"/>
            <w:vAlign w:val="bottom"/>
          </w:tcPr>
          <w:p>
            <w:pPr>
              <w:jc w:val="right"/>
              <w:ind w:right="172"/>
              <w:spacing w:after="0"/>
              <w:rPr>
                <w:sz w:val="20"/>
                <w:szCs w:val="20"/>
                <w:color w:val="auto"/>
              </w:rPr>
            </w:pPr>
            <w:r>
              <w:rPr>
                <w:rFonts w:ascii="Arial" w:cs="Arial" w:eastAsia="Arial" w:hAnsi="Arial"/>
                <w:sz w:val="18"/>
                <w:szCs w:val="18"/>
                <w:color w:val="auto"/>
                <w:w w:val="94"/>
              </w:rPr>
              <w:t>*101.DEF</w:t>
            </w:r>
          </w:p>
        </w:tc>
        <w:tc>
          <w:tcPr>
            <w:tcW w:w="1028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 Document.</w:t>
            </w:r>
          </w:p>
        </w:tc>
      </w:tr>
      <w:tr>
        <w:trPr>
          <w:trHeight w:val="284"/>
        </w:trPr>
        <w:tc>
          <w:tcPr>
            <w:tcW w:w="1020" w:type="dxa"/>
            <w:vAlign w:val="bottom"/>
          </w:tcPr>
          <w:p>
            <w:pPr>
              <w:jc w:val="right"/>
              <w:ind w:right="172"/>
              <w:spacing w:after="0"/>
              <w:rPr>
                <w:sz w:val="20"/>
                <w:szCs w:val="20"/>
                <w:color w:val="auto"/>
              </w:rPr>
            </w:pPr>
            <w:r>
              <w:rPr>
                <w:rFonts w:ascii="Arial" w:cs="Arial" w:eastAsia="Arial" w:hAnsi="Arial"/>
                <w:sz w:val="18"/>
                <w:szCs w:val="18"/>
                <w:color w:val="auto"/>
                <w:w w:val="97"/>
              </w:rPr>
              <w:t>*101.LAB</w:t>
            </w:r>
          </w:p>
        </w:tc>
        <w:tc>
          <w:tcPr>
            <w:tcW w:w="10280" w:type="dxa"/>
            <w:vAlign w:val="bottom"/>
          </w:tcPr>
          <w:p>
            <w:pPr>
              <w:ind w:left="280"/>
              <w:spacing w:after="0"/>
              <w:rPr>
                <w:sz w:val="20"/>
                <w:szCs w:val="20"/>
                <w:color w:val="auto"/>
              </w:rPr>
            </w:pPr>
            <w:r>
              <w:rPr>
                <w:rFonts w:ascii="Arial" w:cs="Arial" w:eastAsia="Arial" w:hAnsi="Arial"/>
                <w:sz w:val="18"/>
                <w:szCs w:val="18"/>
                <w:color w:val="auto"/>
              </w:rPr>
              <w:t>XBRL Taxonomy Extension Labels Linkbase Document.</w:t>
            </w:r>
          </w:p>
        </w:tc>
      </w:tr>
      <w:tr>
        <w:trPr>
          <w:trHeight w:val="284"/>
        </w:trPr>
        <w:tc>
          <w:tcPr>
            <w:tcW w:w="1020" w:type="dxa"/>
            <w:vAlign w:val="bottom"/>
          </w:tcPr>
          <w:p>
            <w:pPr>
              <w:jc w:val="right"/>
              <w:ind w:right="172"/>
              <w:spacing w:after="0"/>
              <w:rPr>
                <w:sz w:val="20"/>
                <w:szCs w:val="20"/>
                <w:color w:val="auto"/>
              </w:rPr>
            </w:pPr>
            <w:r>
              <w:rPr>
                <w:rFonts w:ascii="Arial" w:cs="Arial" w:eastAsia="Arial" w:hAnsi="Arial"/>
                <w:sz w:val="18"/>
                <w:szCs w:val="18"/>
                <w:color w:val="auto"/>
                <w:w w:val="93"/>
              </w:rPr>
              <w:t>*101.PRE</w:t>
            </w:r>
          </w:p>
        </w:tc>
        <w:tc>
          <w:tcPr>
            <w:tcW w:w="10280" w:type="dxa"/>
            <w:vAlign w:val="bottom"/>
          </w:tcPr>
          <w:p>
            <w:pPr>
              <w:ind w:left="2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- 67 -</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Matrix Service Company has duly caused this report to be signed on its behalf by the undersigned, thereunto duly authorized.</w:t>
      </w:r>
    </w:p>
    <w:p>
      <w:pPr>
        <w:spacing w:after="0" w:line="166"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Matrix Service Company</w:t>
      </w:r>
    </w:p>
    <w:p>
      <w:pPr>
        <w:spacing w:after="0" w:line="225" w:lineRule="exact"/>
        <w:rPr>
          <w:sz w:val="20"/>
          <w:szCs w:val="20"/>
          <w:color w:val="auto"/>
        </w:rPr>
      </w:pPr>
    </w:p>
    <w:p>
      <w:pPr>
        <w:spacing w:after="0"/>
        <w:tabs>
          <w:tab w:leader="none" w:pos="5860" w:val="left"/>
          <w:tab w:leader="none" w:pos="8140" w:val="left"/>
        </w:tabs>
        <w:rPr>
          <w:sz w:val="20"/>
          <w:szCs w:val="20"/>
          <w:color w:val="auto"/>
        </w:rPr>
      </w:pPr>
      <w:r>
        <w:rPr>
          <w:rFonts w:ascii="Arial" w:cs="Arial" w:eastAsia="Arial" w:hAnsi="Arial"/>
          <w:sz w:val="18"/>
          <w:szCs w:val="18"/>
          <w:color w:val="auto"/>
        </w:rPr>
        <w:t>Date: September 6,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b w:val="1"/>
          <w:bCs w:val="1"/>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9"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John R. Hewitt, President and</w:t>
      </w:r>
    </w:p>
    <w:p>
      <w:pPr>
        <w:jc w:val="center"/>
        <w:ind w:left="6300"/>
        <w:spacing w:after="0"/>
        <w:rPr>
          <w:sz w:val="20"/>
          <w:szCs w:val="20"/>
          <w:color w:val="auto"/>
        </w:rPr>
      </w:pPr>
      <w:r>
        <w:rPr>
          <w:rFonts w:ascii="Arial" w:cs="Arial" w:eastAsia="Arial" w:hAnsi="Arial"/>
          <w:sz w:val="14"/>
          <w:szCs w:val="14"/>
          <w:b w:val="1"/>
          <w:bCs w:val="1"/>
          <w:color w:val="auto"/>
        </w:rPr>
        <w:t>Chief Executive Officer</w:t>
      </w:r>
    </w:p>
    <w:p>
      <w:pPr>
        <w:spacing w:after="0" w:line="7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Signatures</w:t>
            </w:r>
          </w:p>
        </w:tc>
        <w:tc>
          <w:tcPr>
            <w:tcW w:w="19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Title</w:t>
            </w:r>
          </w:p>
        </w:tc>
        <w:tc>
          <w:tcPr>
            <w:tcW w:w="2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520" w:type="dxa"/>
            <w:vAlign w:val="bottom"/>
          </w:tcPr>
          <w:p>
            <w:pPr>
              <w:spacing w:after="0"/>
              <w:rPr>
                <w:sz w:val="14"/>
                <w:szCs w:val="14"/>
                <w:color w:val="auto"/>
              </w:rPr>
            </w:pPr>
          </w:p>
        </w:tc>
      </w:tr>
      <w:tr>
        <w:trPr>
          <w:trHeight w:val="424"/>
        </w:trPr>
        <w:tc>
          <w:tcPr>
            <w:tcW w:w="1780" w:type="dxa"/>
            <w:vAlign w:val="bottom"/>
            <w:tcBorders>
              <w:bottom w:val="single" w:sz="8" w:color="auto"/>
            </w:tcBorders>
          </w:tcPr>
          <w:p>
            <w:pPr>
              <w:ind w:left="1560"/>
              <w:spacing w:after="0"/>
              <w:rPr>
                <w:sz w:val="20"/>
                <w:szCs w:val="20"/>
                <w:color w:val="auto"/>
              </w:rPr>
            </w:pPr>
            <w:r>
              <w:rPr>
                <w:rFonts w:ascii="Arial" w:cs="Arial" w:eastAsia="Arial" w:hAnsi="Arial"/>
                <w:sz w:val="18"/>
                <w:szCs w:val="18"/>
                <w:b w:val="1"/>
                <w:bCs w:val="1"/>
                <w:color w:val="auto"/>
                <w:w w:val="90"/>
              </w:rPr>
              <w:t>/S/</w:t>
            </w:r>
          </w:p>
        </w:tc>
        <w:tc>
          <w:tcPr>
            <w:tcW w:w="2840" w:type="dxa"/>
            <w:vAlign w:val="bottom"/>
            <w:tcBorders>
              <w:bottom w:val="single" w:sz="8" w:color="auto"/>
            </w:tcBorders>
            <w:gridSpan w:val="3"/>
          </w:tcPr>
          <w:p>
            <w:pPr>
              <w:jc w:val="center"/>
              <w:ind w:right="1380"/>
              <w:spacing w:after="0"/>
              <w:rPr>
                <w:sz w:val="20"/>
                <w:szCs w:val="20"/>
                <w:color w:val="auto"/>
              </w:rPr>
            </w:pPr>
            <w:r>
              <w:rPr>
                <w:rFonts w:ascii="Arial" w:cs="Arial" w:eastAsia="Arial" w:hAnsi="Arial"/>
                <w:sz w:val="18"/>
                <w:szCs w:val="18"/>
                <w:b w:val="1"/>
                <w:bCs w:val="1"/>
                <w:color w:val="auto"/>
                <w:w w:val="91"/>
              </w:rPr>
              <w:t>John R. Hewitt</w:t>
            </w:r>
          </w:p>
        </w:tc>
        <w:tc>
          <w:tcPr>
            <w:tcW w:w="4660" w:type="dxa"/>
            <w:vAlign w:val="bottom"/>
            <w:gridSpan w:val="3"/>
          </w:tcPr>
          <w:p>
            <w:pPr>
              <w:jc w:val="center"/>
              <w:ind w:left="92"/>
              <w:spacing w:after="0"/>
              <w:rPr>
                <w:sz w:val="20"/>
                <w:szCs w:val="20"/>
                <w:color w:val="auto"/>
              </w:rPr>
            </w:pPr>
            <w:r>
              <w:rPr>
                <w:rFonts w:ascii="Arial" w:cs="Arial" w:eastAsia="Arial" w:hAnsi="Arial"/>
                <w:sz w:val="18"/>
                <w:szCs w:val="18"/>
                <w:color w:val="auto"/>
                <w:w w:val="90"/>
              </w:rPr>
              <w:t>President, Chief Executive Officer and Director</w:t>
            </w:r>
          </w:p>
        </w:tc>
        <w:tc>
          <w:tcPr>
            <w:tcW w:w="1880" w:type="dxa"/>
            <w:vAlign w:val="bottom"/>
            <w:gridSpan w:val="3"/>
          </w:tcPr>
          <w:p>
            <w:pPr>
              <w:jc w:val="center"/>
              <w:ind w:left="472"/>
              <w:spacing w:after="0"/>
              <w:rPr>
                <w:sz w:val="20"/>
                <w:szCs w:val="20"/>
                <w:color w:val="auto"/>
              </w:rPr>
            </w:pPr>
            <w:r>
              <w:rPr>
                <w:rFonts w:ascii="Arial" w:cs="Arial" w:eastAsia="Arial" w:hAnsi="Arial"/>
                <w:sz w:val="18"/>
                <w:szCs w:val="18"/>
                <w:color w:val="auto"/>
                <w:w w:val="86"/>
              </w:rPr>
              <w:t>September 6, 2012</w:t>
            </w:r>
          </w:p>
        </w:tc>
      </w:tr>
      <w:tr>
        <w:trPr>
          <w:trHeight w:val="202"/>
        </w:trPr>
        <w:tc>
          <w:tcPr>
            <w:tcW w:w="1780" w:type="dxa"/>
            <w:vAlign w:val="bottom"/>
          </w:tcPr>
          <w:p>
            <w:pPr>
              <w:spacing w:after="0"/>
              <w:rPr>
                <w:sz w:val="17"/>
                <w:szCs w:val="17"/>
                <w:color w:val="auto"/>
              </w:rPr>
            </w:pPr>
          </w:p>
        </w:tc>
        <w:tc>
          <w:tcPr>
            <w:tcW w:w="284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0"/>
              </w:rPr>
              <w:t>John R. Hewitt</w:t>
            </w:r>
          </w:p>
        </w:tc>
        <w:tc>
          <w:tcPr>
            <w:tcW w:w="4660" w:type="dxa"/>
            <w:vAlign w:val="bottom"/>
            <w:gridSpan w:val="3"/>
          </w:tcPr>
          <w:p>
            <w:pPr>
              <w:jc w:val="center"/>
              <w:ind w:left="92"/>
              <w:spacing w:after="0" w:line="202" w:lineRule="exact"/>
              <w:rPr>
                <w:sz w:val="20"/>
                <w:szCs w:val="20"/>
                <w:color w:val="auto"/>
              </w:rPr>
            </w:pPr>
            <w:r>
              <w:rPr>
                <w:rFonts w:ascii="Arial" w:cs="Arial" w:eastAsia="Arial" w:hAnsi="Arial"/>
                <w:sz w:val="18"/>
                <w:szCs w:val="18"/>
                <w:color w:val="auto"/>
                <w:w w:val="91"/>
              </w:rPr>
              <w:t>(Principal Executive Officer)</w:t>
            </w: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39"/>
        </w:trPr>
        <w:tc>
          <w:tcPr>
            <w:tcW w:w="1780" w:type="dxa"/>
            <w:vAlign w:val="bottom"/>
            <w:tcBorders>
              <w:bottom w:val="single" w:sz="8" w:color="auto"/>
            </w:tcBorders>
          </w:tcPr>
          <w:p>
            <w:pPr>
              <w:ind w:left="1460"/>
              <w:spacing w:after="0"/>
              <w:rPr>
                <w:sz w:val="20"/>
                <w:szCs w:val="20"/>
                <w:color w:val="auto"/>
              </w:rPr>
            </w:pPr>
            <w:r>
              <w:rPr>
                <w:rFonts w:ascii="Arial" w:cs="Arial" w:eastAsia="Arial" w:hAnsi="Arial"/>
                <w:sz w:val="18"/>
                <w:szCs w:val="18"/>
                <w:b w:val="1"/>
                <w:bCs w:val="1"/>
                <w:color w:val="auto"/>
              </w:rPr>
              <w:t>/S/</w:t>
            </w:r>
          </w:p>
        </w:tc>
        <w:tc>
          <w:tcPr>
            <w:tcW w:w="2840" w:type="dxa"/>
            <w:vAlign w:val="bottom"/>
            <w:tcBorders>
              <w:bottom w:val="single" w:sz="8" w:color="auto"/>
            </w:tcBorders>
            <w:gridSpan w:val="3"/>
          </w:tcPr>
          <w:p>
            <w:pPr>
              <w:jc w:val="center"/>
              <w:ind w:right="1400"/>
              <w:spacing w:after="0"/>
              <w:rPr>
                <w:sz w:val="20"/>
                <w:szCs w:val="20"/>
                <w:color w:val="auto"/>
              </w:rPr>
            </w:pPr>
            <w:r>
              <w:rPr>
                <w:rFonts w:ascii="Arial" w:cs="Arial" w:eastAsia="Arial" w:hAnsi="Arial"/>
                <w:sz w:val="18"/>
                <w:szCs w:val="18"/>
                <w:b w:val="1"/>
                <w:bCs w:val="1"/>
                <w:color w:val="auto"/>
                <w:w w:val="90"/>
              </w:rPr>
              <w:t>Kevin S. Cavanah</w:t>
            </w:r>
          </w:p>
        </w:tc>
        <w:tc>
          <w:tcPr>
            <w:tcW w:w="4660" w:type="dxa"/>
            <w:vAlign w:val="bottom"/>
            <w:gridSpan w:val="3"/>
          </w:tcPr>
          <w:p>
            <w:pPr>
              <w:jc w:val="center"/>
              <w:ind w:left="112"/>
              <w:spacing w:after="0"/>
              <w:rPr>
                <w:sz w:val="20"/>
                <w:szCs w:val="20"/>
                <w:color w:val="auto"/>
              </w:rPr>
            </w:pPr>
            <w:r>
              <w:rPr>
                <w:rFonts w:ascii="Arial" w:cs="Arial" w:eastAsia="Arial" w:hAnsi="Arial"/>
                <w:sz w:val="18"/>
                <w:szCs w:val="18"/>
                <w:color w:val="auto"/>
                <w:w w:val="87"/>
              </w:rPr>
              <w:t>Vice President</w:t>
            </w:r>
          </w:p>
        </w:tc>
        <w:tc>
          <w:tcPr>
            <w:tcW w:w="1880" w:type="dxa"/>
            <w:vAlign w:val="bottom"/>
            <w:gridSpan w:val="3"/>
          </w:tcPr>
          <w:p>
            <w:pPr>
              <w:jc w:val="center"/>
              <w:ind w:left="472"/>
              <w:spacing w:after="0"/>
              <w:rPr>
                <w:sz w:val="20"/>
                <w:szCs w:val="20"/>
                <w:color w:val="auto"/>
              </w:rPr>
            </w:pPr>
            <w:r>
              <w:rPr>
                <w:rFonts w:ascii="Arial" w:cs="Arial" w:eastAsia="Arial" w:hAnsi="Arial"/>
                <w:sz w:val="18"/>
                <w:szCs w:val="18"/>
                <w:color w:val="auto"/>
                <w:w w:val="86"/>
              </w:rPr>
              <w:t>September 6, 2012</w:t>
            </w:r>
          </w:p>
        </w:tc>
      </w:tr>
      <w:tr>
        <w:trPr>
          <w:trHeight w:val="190"/>
        </w:trPr>
        <w:tc>
          <w:tcPr>
            <w:tcW w:w="1780" w:type="dxa"/>
            <w:vAlign w:val="bottom"/>
          </w:tcPr>
          <w:p>
            <w:pPr>
              <w:spacing w:after="0"/>
              <w:rPr>
                <w:sz w:val="16"/>
                <w:szCs w:val="16"/>
                <w:color w:val="auto"/>
              </w:rPr>
            </w:pPr>
          </w:p>
        </w:tc>
        <w:tc>
          <w:tcPr>
            <w:tcW w:w="284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88"/>
              </w:rPr>
              <w:t>Kevin S. Cavanah</w:t>
            </w:r>
          </w:p>
        </w:tc>
        <w:tc>
          <w:tcPr>
            <w:tcW w:w="4660" w:type="dxa"/>
            <w:vAlign w:val="bottom"/>
            <w:gridSpan w:val="3"/>
          </w:tcPr>
          <w:p>
            <w:pPr>
              <w:jc w:val="center"/>
              <w:ind w:left="112"/>
              <w:spacing w:after="0" w:line="190" w:lineRule="exact"/>
              <w:rPr>
                <w:sz w:val="20"/>
                <w:szCs w:val="20"/>
                <w:color w:val="auto"/>
              </w:rPr>
            </w:pPr>
            <w:r>
              <w:rPr>
                <w:rFonts w:ascii="Arial" w:cs="Arial" w:eastAsia="Arial" w:hAnsi="Arial"/>
                <w:sz w:val="18"/>
                <w:szCs w:val="18"/>
                <w:color w:val="auto"/>
                <w:w w:val="91"/>
              </w:rPr>
              <w:t>and Chief Financial Officer</w:t>
            </w: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16"/>
        </w:trPr>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660" w:type="dxa"/>
            <w:vAlign w:val="bottom"/>
            <w:gridSpan w:val="3"/>
          </w:tcPr>
          <w:p>
            <w:pPr>
              <w:jc w:val="center"/>
              <w:ind w:left="112"/>
              <w:spacing w:after="0"/>
              <w:rPr>
                <w:sz w:val="20"/>
                <w:szCs w:val="20"/>
                <w:color w:val="auto"/>
              </w:rPr>
            </w:pPr>
            <w:r>
              <w:rPr>
                <w:rFonts w:ascii="Arial" w:cs="Arial" w:eastAsia="Arial" w:hAnsi="Arial"/>
                <w:sz w:val="18"/>
                <w:szCs w:val="18"/>
                <w:color w:val="auto"/>
                <w:w w:val="91"/>
              </w:rPr>
              <w:t>(Principal Accounting and</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22"/>
        </w:trPr>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660" w:type="dxa"/>
            <w:vAlign w:val="bottom"/>
            <w:gridSpan w:val="3"/>
          </w:tcPr>
          <w:p>
            <w:pPr>
              <w:jc w:val="center"/>
              <w:ind w:left="112"/>
              <w:spacing w:after="0"/>
              <w:rPr>
                <w:sz w:val="20"/>
                <w:szCs w:val="20"/>
                <w:color w:val="auto"/>
              </w:rPr>
            </w:pPr>
            <w:r>
              <w:rPr>
                <w:rFonts w:ascii="Arial" w:cs="Arial" w:eastAsia="Arial" w:hAnsi="Arial"/>
                <w:sz w:val="18"/>
                <w:szCs w:val="18"/>
                <w:color w:val="auto"/>
                <w:w w:val="92"/>
              </w:rPr>
              <w:t>Principal Financial Officer)</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47"/>
        </w:trPr>
        <w:tc>
          <w:tcPr>
            <w:tcW w:w="1780" w:type="dxa"/>
            <w:vAlign w:val="bottom"/>
            <w:tcBorders>
              <w:bottom w:val="single" w:sz="8" w:color="auto"/>
            </w:tcBorders>
          </w:tcPr>
          <w:p>
            <w:pPr>
              <w:ind w:left="1560"/>
              <w:spacing w:after="0"/>
              <w:rPr>
                <w:sz w:val="20"/>
                <w:szCs w:val="20"/>
                <w:color w:val="auto"/>
              </w:rPr>
            </w:pPr>
            <w:r>
              <w:rPr>
                <w:rFonts w:ascii="Arial" w:cs="Arial" w:eastAsia="Arial" w:hAnsi="Arial"/>
                <w:sz w:val="18"/>
                <w:szCs w:val="18"/>
                <w:b w:val="1"/>
                <w:bCs w:val="1"/>
                <w:color w:val="auto"/>
                <w:w w:val="90"/>
              </w:rPr>
              <w:t>/S/</w:t>
            </w:r>
          </w:p>
        </w:tc>
        <w:tc>
          <w:tcPr>
            <w:tcW w:w="2840" w:type="dxa"/>
            <w:vAlign w:val="bottom"/>
            <w:tcBorders>
              <w:bottom w:val="single" w:sz="8" w:color="auto"/>
            </w:tcBorders>
            <w:gridSpan w:val="3"/>
          </w:tcPr>
          <w:p>
            <w:pPr>
              <w:jc w:val="center"/>
              <w:ind w:right="1400"/>
              <w:spacing w:after="0"/>
              <w:rPr>
                <w:sz w:val="20"/>
                <w:szCs w:val="20"/>
                <w:color w:val="auto"/>
              </w:rPr>
            </w:pPr>
            <w:r>
              <w:rPr>
                <w:rFonts w:ascii="Arial" w:cs="Arial" w:eastAsia="Arial" w:hAnsi="Arial"/>
                <w:sz w:val="18"/>
                <w:szCs w:val="18"/>
                <w:b w:val="1"/>
                <w:bCs w:val="1"/>
                <w:color w:val="auto"/>
                <w:w w:val="93"/>
              </w:rPr>
              <w:t>Michael J. Hall</w:t>
            </w:r>
          </w:p>
        </w:tc>
        <w:tc>
          <w:tcPr>
            <w:tcW w:w="4660" w:type="dxa"/>
            <w:vAlign w:val="bottom"/>
            <w:gridSpan w:val="3"/>
          </w:tcPr>
          <w:p>
            <w:pPr>
              <w:jc w:val="center"/>
              <w:ind w:left="112"/>
              <w:spacing w:after="0"/>
              <w:rPr>
                <w:sz w:val="20"/>
                <w:szCs w:val="20"/>
                <w:color w:val="auto"/>
              </w:rPr>
            </w:pPr>
            <w:r>
              <w:rPr>
                <w:rFonts w:ascii="Arial" w:cs="Arial" w:eastAsia="Arial" w:hAnsi="Arial"/>
                <w:sz w:val="18"/>
                <w:szCs w:val="18"/>
                <w:color w:val="auto"/>
                <w:w w:val="89"/>
              </w:rPr>
              <w:t>Chairman of the Board of Directors</w:t>
            </w:r>
          </w:p>
        </w:tc>
        <w:tc>
          <w:tcPr>
            <w:tcW w:w="1880" w:type="dxa"/>
            <w:vAlign w:val="bottom"/>
            <w:gridSpan w:val="3"/>
          </w:tcPr>
          <w:p>
            <w:pPr>
              <w:jc w:val="center"/>
              <w:ind w:left="472"/>
              <w:spacing w:after="0"/>
              <w:rPr>
                <w:sz w:val="20"/>
                <w:szCs w:val="20"/>
                <w:color w:val="auto"/>
              </w:rPr>
            </w:pPr>
            <w:r>
              <w:rPr>
                <w:rFonts w:ascii="Arial" w:cs="Arial" w:eastAsia="Arial" w:hAnsi="Arial"/>
                <w:sz w:val="18"/>
                <w:szCs w:val="18"/>
                <w:color w:val="auto"/>
                <w:w w:val="86"/>
              </w:rPr>
              <w:t>September 6, 2012</w:t>
            </w:r>
          </w:p>
        </w:tc>
      </w:tr>
      <w:tr>
        <w:trPr>
          <w:trHeight w:val="169"/>
        </w:trPr>
        <w:tc>
          <w:tcPr>
            <w:tcW w:w="1780" w:type="dxa"/>
            <w:vAlign w:val="bottom"/>
          </w:tcPr>
          <w:p>
            <w:pPr>
              <w:spacing w:after="0"/>
              <w:rPr>
                <w:sz w:val="14"/>
                <w:szCs w:val="14"/>
                <w:color w:val="auto"/>
              </w:rPr>
            </w:pPr>
          </w:p>
        </w:tc>
        <w:tc>
          <w:tcPr>
            <w:tcW w:w="284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1"/>
              </w:rPr>
              <w:t>Michael J. Hall</w:t>
            </w:r>
          </w:p>
        </w:tc>
        <w:tc>
          <w:tcPr>
            <w:tcW w:w="2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419"/>
        </w:trPr>
        <w:tc>
          <w:tcPr>
            <w:tcW w:w="178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/S/</w:t>
            </w:r>
          </w:p>
        </w:tc>
        <w:tc>
          <w:tcPr>
            <w:tcW w:w="2840" w:type="dxa"/>
            <w:vAlign w:val="bottom"/>
            <w:tcBorders>
              <w:bottom w:val="single" w:sz="8" w:color="auto"/>
            </w:tcBorders>
            <w:gridSpan w:val="3"/>
          </w:tcPr>
          <w:p>
            <w:pPr>
              <w:jc w:val="center"/>
              <w:ind w:right="1400"/>
              <w:spacing w:after="0"/>
              <w:rPr>
                <w:sz w:val="20"/>
                <w:szCs w:val="20"/>
                <w:color w:val="auto"/>
              </w:rPr>
            </w:pPr>
            <w:r>
              <w:rPr>
                <w:rFonts w:ascii="Arial" w:cs="Arial" w:eastAsia="Arial" w:hAnsi="Arial"/>
                <w:sz w:val="18"/>
                <w:szCs w:val="18"/>
                <w:b w:val="1"/>
                <w:bCs w:val="1"/>
                <w:color w:val="auto"/>
                <w:w w:val="92"/>
              </w:rPr>
              <w:t>I. Edgar Hendrix</w:t>
            </w:r>
          </w:p>
        </w:tc>
        <w:tc>
          <w:tcPr>
            <w:tcW w:w="4660" w:type="dxa"/>
            <w:vAlign w:val="bottom"/>
            <w:gridSpan w:val="3"/>
          </w:tcPr>
          <w:p>
            <w:pPr>
              <w:jc w:val="center"/>
              <w:ind w:left="112"/>
              <w:spacing w:after="0"/>
              <w:rPr>
                <w:sz w:val="20"/>
                <w:szCs w:val="20"/>
                <w:color w:val="auto"/>
              </w:rPr>
            </w:pPr>
            <w:r>
              <w:rPr>
                <w:rFonts w:ascii="Arial" w:cs="Arial" w:eastAsia="Arial" w:hAnsi="Arial"/>
                <w:sz w:val="18"/>
                <w:szCs w:val="18"/>
                <w:color w:val="auto"/>
                <w:w w:val="91"/>
              </w:rPr>
              <w:t>Director</w:t>
            </w:r>
          </w:p>
        </w:tc>
        <w:tc>
          <w:tcPr>
            <w:tcW w:w="1880" w:type="dxa"/>
            <w:vAlign w:val="bottom"/>
            <w:gridSpan w:val="3"/>
          </w:tcPr>
          <w:p>
            <w:pPr>
              <w:jc w:val="center"/>
              <w:ind w:left="472"/>
              <w:spacing w:after="0"/>
              <w:rPr>
                <w:sz w:val="20"/>
                <w:szCs w:val="20"/>
                <w:color w:val="auto"/>
              </w:rPr>
            </w:pPr>
            <w:r>
              <w:rPr>
                <w:rFonts w:ascii="Arial" w:cs="Arial" w:eastAsia="Arial" w:hAnsi="Arial"/>
                <w:sz w:val="18"/>
                <w:szCs w:val="18"/>
                <w:color w:val="auto"/>
                <w:w w:val="86"/>
              </w:rPr>
              <w:t>September 6, 2012</w:t>
            </w:r>
          </w:p>
        </w:tc>
      </w:tr>
      <w:tr>
        <w:trPr>
          <w:trHeight w:val="169"/>
        </w:trPr>
        <w:tc>
          <w:tcPr>
            <w:tcW w:w="1780" w:type="dxa"/>
            <w:vAlign w:val="bottom"/>
          </w:tcPr>
          <w:p>
            <w:pPr>
              <w:spacing w:after="0"/>
              <w:rPr>
                <w:sz w:val="14"/>
                <w:szCs w:val="14"/>
                <w:color w:val="auto"/>
              </w:rPr>
            </w:pPr>
          </w:p>
        </w:tc>
        <w:tc>
          <w:tcPr>
            <w:tcW w:w="284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3"/>
              </w:rPr>
              <w:t>I. Edgar Hendrix</w:t>
            </w:r>
          </w:p>
        </w:tc>
        <w:tc>
          <w:tcPr>
            <w:tcW w:w="2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419"/>
        </w:trPr>
        <w:tc>
          <w:tcPr>
            <w:tcW w:w="1780" w:type="dxa"/>
            <w:vAlign w:val="bottom"/>
            <w:tcBorders>
              <w:bottom w:val="single" w:sz="8" w:color="auto"/>
            </w:tcBorders>
          </w:tcPr>
          <w:p>
            <w:pPr>
              <w:ind w:left="1560"/>
              <w:spacing w:after="0"/>
              <w:rPr>
                <w:sz w:val="20"/>
                <w:szCs w:val="20"/>
                <w:color w:val="auto"/>
              </w:rPr>
            </w:pPr>
            <w:r>
              <w:rPr>
                <w:rFonts w:ascii="Arial" w:cs="Arial" w:eastAsia="Arial" w:hAnsi="Arial"/>
                <w:sz w:val="18"/>
                <w:szCs w:val="18"/>
                <w:b w:val="1"/>
                <w:bCs w:val="1"/>
                <w:color w:val="auto"/>
                <w:w w:val="90"/>
              </w:rPr>
              <w:t>/S/</w:t>
            </w:r>
          </w:p>
        </w:tc>
        <w:tc>
          <w:tcPr>
            <w:tcW w:w="2840" w:type="dxa"/>
            <w:vAlign w:val="bottom"/>
            <w:tcBorders>
              <w:bottom w:val="single" w:sz="8" w:color="auto"/>
            </w:tcBorders>
            <w:gridSpan w:val="3"/>
          </w:tcPr>
          <w:p>
            <w:pPr>
              <w:jc w:val="center"/>
              <w:ind w:right="1400"/>
              <w:spacing w:after="0"/>
              <w:rPr>
                <w:sz w:val="20"/>
                <w:szCs w:val="20"/>
                <w:color w:val="auto"/>
              </w:rPr>
            </w:pPr>
            <w:r>
              <w:rPr>
                <w:rFonts w:ascii="Arial" w:cs="Arial" w:eastAsia="Arial" w:hAnsi="Arial"/>
                <w:sz w:val="18"/>
                <w:szCs w:val="18"/>
                <w:b w:val="1"/>
                <w:bCs w:val="1"/>
                <w:color w:val="auto"/>
                <w:w w:val="91"/>
              </w:rPr>
              <w:t>Paul K. Lackey</w:t>
            </w:r>
          </w:p>
        </w:tc>
        <w:tc>
          <w:tcPr>
            <w:tcW w:w="4660" w:type="dxa"/>
            <w:vAlign w:val="bottom"/>
            <w:gridSpan w:val="3"/>
          </w:tcPr>
          <w:p>
            <w:pPr>
              <w:jc w:val="center"/>
              <w:ind w:left="112"/>
              <w:spacing w:after="0"/>
              <w:rPr>
                <w:sz w:val="20"/>
                <w:szCs w:val="20"/>
                <w:color w:val="auto"/>
              </w:rPr>
            </w:pPr>
            <w:r>
              <w:rPr>
                <w:rFonts w:ascii="Arial" w:cs="Arial" w:eastAsia="Arial" w:hAnsi="Arial"/>
                <w:sz w:val="18"/>
                <w:szCs w:val="18"/>
                <w:color w:val="auto"/>
                <w:w w:val="91"/>
              </w:rPr>
              <w:t>Director</w:t>
            </w:r>
          </w:p>
        </w:tc>
        <w:tc>
          <w:tcPr>
            <w:tcW w:w="1880" w:type="dxa"/>
            <w:vAlign w:val="bottom"/>
            <w:gridSpan w:val="3"/>
          </w:tcPr>
          <w:p>
            <w:pPr>
              <w:jc w:val="center"/>
              <w:ind w:left="472"/>
              <w:spacing w:after="0"/>
              <w:rPr>
                <w:sz w:val="20"/>
                <w:szCs w:val="20"/>
                <w:color w:val="auto"/>
              </w:rPr>
            </w:pPr>
            <w:r>
              <w:rPr>
                <w:rFonts w:ascii="Arial" w:cs="Arial" w:eastAsia="Arial" w:hAnsi="Arial"/>
                <w:sz w:val="18"/>
                <w:szCs w:val="18"/>
                <w:color w:val="auto"/>
                <w:w w:val="86"/>
              </w:rPr>
              <w:t>September 6, 2012</w:t>
            </w:r>
          </w:p>
        </w:tc>
      </w:tr>
      <w:tr>
        <w:trPr>
          <w:trHeight w:val="169"/>
        </w:trPr>
        <w:tc>
          <w:tcPr>
            <w:tcW w:w="1780" w:type="dxa"/>
            <w:vAlign w:val="bottom"/>
          </w:tcPr>
          <w:p>
            <w:pPr>
              <w:spacing w:after="0"/>
              <w:rPr>
                <w:sz w:val="14"/>
                <w:szCs w:val="14"/>
                <w:color w:val="auto"/>
              </w:rPr>
            </w:pPr>
          </w:p>
        </w:tc>
        <w:tc>
          <w:tcPr>
            <w:tcW w:w="284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88"/>
              </w:rPr>
              <w:t>Paul K. Lackey</w:t>
            </w:r>
          </w:p>
        </w:tc>
        <w:tc>
          <w:tcPr>
            <w:tcW w:w="2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419"/>
        </w:trPr>
        <w:tc>
          <w:tcPr>
            <w:tcW w:w="1780" w:type="dxa"/>
            <w:vAlign w:val="bottom"/>
            <w:tcBorders>
              <w:bottom w:val="single" w:sz="8" w:color="auto"/>
            </w:tcBorders>
          </w:tcPr>
          <w:p>
            <w:pPr>
              <w:ind w:left="1520"/>
              <w:spacing w:after="0"/>
              <w:rPr>
                <w:sz w:val="20"/>
                <w:szCs w:val="20"/>
                <w:color w:val="auto"/>
              </w:rPr>
            </w:pPr>
            <w:r>
              <w:rPr>
                <w:rFonts w:ascii="Arial" w:cs="Arial" w:eastAsia="Arial" w:hAnsi="Arial"/>
                <w:sz w:val="18"/>
                <w:szCs w:val="18"/>
                <w:b w:val="1"/>
                <w:bCs w:val="1"/>
                <w:color w:val="auto"/>
              </w:rPr>
              <w:t>/S/</w:t>
            </w:r>
          </w:p>
        </w:tc>
        <w:tc>
          <w:tcPr>
            <w:tcW w:w="2840" w:type="dxa"/>
            <w:vAlign w:val="bottom"/>
            <w:tcBorders>
              <w:bottom w:val="single" w:sz="8" w:color="auto"/>
            </w:tcBorders>
            <w:gridSpan w:val="3"/>
          </w:tcPr>
          <w:p>
            <w:pPr>
              <w:jc w:val="center"/>
              <w:ind w:right="1400"/>
              <w:spacing w:after="0"/>
              <w:rPr>
                <w:sz w:val="20"/>
                <w:szCs w:val="20"/>
                <w:color w:val="auto"/>
              </w:rPr>
            </w:pPr>
            <w:r>
              <w:rPr>
                <w:rFonts w:ascii="Arial" w:cs="Arial" w:eastAsia="Arial" w:hAnsi="Arial"/>
                <w:sz w:val="18"/>
                <w:szCs w:val="18"/>
                <w:b w:val="1"/>
                <w:bCs w:val="1"/>
                <w:color w:val="auto"/>
                <w:w w:val="92"/>
              </w:rPr>
              <w:t>Tom E. Maxwell</w:t>
            </w:r>
          </w:p>
        </w:tc>
        <w:tc>
          <w:tcPr>
            <w:tcW w:w="4660" w:type="dxa"/>
            <w:vAlign w:val="bottom"/>
            <w:gridSpan w:val="3"/>
          </w:tcPr>
          <w:p>
            <w:pPr>
              <w:jc w:val="center"/>
              <w:ind w:left="112"/>
              <w:spacing w:after="0"/>
              <w:rPr>
                <w:sz w:val="20"/>
                <w:szCs w:val="20"/>
                <w:color w:val="auto"/>
              </w:rPr>
            </w:pPr>
            <w:r>
              <w:rPr>
                <w:rFonts w:ascii="Arial" w:cs="Arial" w:eastAsia="Arial" w:hAnsi="Arial"/>
                <w:sz w:val="18"/>
                <w:szCs w:val="18"/>
                <w:color w:val="auto"/>
                <w:w w:val="91"/>
              </w:rPr>
              <w:t>Director</w:t>
            </w:r>
          </w:p>
        </w:tc>
        <w:tc>
          <w:tcPr>
            <w:tcW w:w="1880" w:type="dxa"/>
            <w:vAlign w:val="bottom"/>
            <w:gridSpan w:val="3"/>
          </w:tcPr>
          <w:p>
            <w:pPr>
              <w:jc w:val="center"/>
              <w:ind w:left="472"/>
              <w:spacing w:after="0"/>
              <w:rPr>
                <w:sz w:val="20"/>
                <w:szCs w:val="20"/>
                <w:color w:val="auto"/>
              </w:rPr>
            </w:pPr>
            <w:r>
              <w:rPr>
                <w:rFonts w:ascii="Arial" w:cs="Arial" w:eastAsia="Arial" w:hAnsi="Arial"/>
                <w:sz w:val="18"/>
                <w:szCs w:val="18"/>
                <w:color w:val="auto"/>
                <w:w w:val="86"/>
              </w:rPr>
              <w:t>September 6, 2012</w:t>
            </w:r>
          </w:p>
        </w:tc>
      </w:tr>
      <w:tr>
        <w:trPr>
          <w:trHeight w:val="169"/>
        </w:trPr>
        <w:tc>
          <w:tcPr>
            <w:tcW w:w="1780" w:type="dxa"/>
            <w:vAlign w:val="bottom"/>
          </w:tcPr>
          <w:p>
            <w:pPr>
              <w:spacing w:after="0"/>
              <w:rPr>
                <w:sz w:val="14"/>
                <w:szCs w:val="14"/>
                <w:color w:val="auto"/>
              </w:rPr>
            </w:pPr>
          </w:p>
        </w:tc>
        <w:tc>
          <w:tcPr>
            <w:tcW w:w="284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90"/>
              </w:rPr>
              <w:t>Tom E. Maxwell</w:t>
            </w:r>
          </w:p>
        </w:tc>
        <w:tc>
          <w:tcPr>
            <w:tcW w:w="2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419"/>
        </w:trPr>
        <w:tc>
          <w:tcPr>
            <w:tcW w:w="46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2"/>
              </w:rPr>
              <w:t>/S/  David J. Tippeconnic</w:t>
            </w:r>
          </w:p>
        </w:tc>
        <w:tc>
          <w:tcPr>
            <w:tcW w:w="4660" w:type="dxa"/>
            <w:vAlign w:val="bottom"/>
            <w:gridSpan w:val="3"/>
          </w:tcPr>
          <w:p>
            <w:pPr>
              <w:jc w:val="center"/>
              <w:ind w:left="112"/>
              <w:spacing w:after="0"/>
              <w:rPr>
                <w:sz w:val="20"/>
                <w:szCs w:val="20"/>
                <w:color w:val="auto"/>
              </w:rPr>
            </w:pPr>
            <w:r>
              <w:rPr>
                <w:rFonts w:ascii="Arial" w:cs="Arial" w:eastAsia="Arial" w:hAnsi="Arial"/>
                <w:sz w:val="18"/>
                <w:szCs w:val="18"/>
                <w:color w:val="auto"/>
                <w:w w:val="91"/>
              </w:rPr>
              <w:t>Director</w:t>
            </w:r>
          </w:p>
        </w:tc>
        <w:tc>
          <w:tcPr>
            <w:tcW w:w="1880" w:type="dxa"/>
            <w:vAlign w:val="bottom"/>
            <w:gridSpan w:val="3"/>
          </w:tcPr>
          <w:p>
            <w:pPr>
              <w:jc w:val="center"/>
              <w:ind w:left="472"/>
              <w:spacing w:after="0"/>
              <w:rPr>
                <w:sz w:val="20"/>
                <w:szCs w:val="20"/>
                <w:color w:val="auto"/>
              </w:rPr>
            </w:pPr>
            <w:r>
              <w:rPr>
                <w:rFonts w:ascii="Arial" w:cs="Arial" w:eastAsia="Arial" w:hAnsi="Arial"/>
                <w:sz w:val="18"/>
                <w:szCs w:val="18"/>
                <w:color w:val="auto"/>
                <w:w w:val="86"/>
              </w:rPr>
              <w:t>September 6, 2012</w:t>
            </w:r>
          </w:p>
        </w:tc>
      </w:tr>
      <w:tr>
        <w:trPr>
          <w:trHeight w:val="169"/>
        </w:trPr>
        <w:tc>
          <w:tcPr>
            <w:tcW w:w="4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David J. Tippeconnic</w:t>
            </w:r>
          </w:p>
        </w:tc>
        <w:tc>
          <w:tcPr>
            <w:tcW w:w="2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50"/>
        </w:trPr>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80" w:type="dxa"/>
            <w:vAlign w:val="bottom"/>
          </w:tcPr>
          <w:p>
            <w:pPr>
              <w:jc w:val="right"/>
              <w:ind w:right="912"/>
              <w:spacing w:after="0"/>
              <w:rPr>
                <w:sz w:val="20"/>
                <w:szCs w:val="20"/>
                <w:color w:val="auto"/>
              </w:rPr>
            </w:pPr>
            <w:r>
              <w:rPr>
                <w:rFonts w:ascii="Arial" w:cs="Arial" w:eastAsia="Arial" w:hAnsi="Arial"/>
                <w:sz w:val="18"/>
                <w:szCs w:val="18"/>
                <w:color w:val="auto"/>
              </w:rPr>
              <w:t>- 68 -</w:t>
            </w:r>
          </w:p>
        </w:tc>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 to Exhibits</w:t>
      </w:r>
    </w:p>
    <w:p>
      <w:pPr>
        <w:spacing w:after="0" w:line="285" w:lineRule="exact"/>
        <w:rPr>
          <w:sz w:val="20"/>
          <w:szCs w:val="20"/>
          <w:color w:val="auto"/>
        </w:rPr>
      </w:pPr>
    </w:p>
    <w:p>
      <w:pPr>
        <w:ind w:left="1160" w:right="240" w:hanging="752"/>
        <w:spacing w:after="0" w:line="268" w:lineRule="auto"/>
        <w:tabs>
          <w:tab w:leader="none" w:pos="11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Certificate of Incorporation (Exhibit 4.1 to the Company’s Registration Statement on Form S-3 (File No. 333-156814) filed January 21, 2009, is hereby incorporated by reference).</w:t>
      </w:r>
    </w:p>
    <w:p>
      <w:pPr>
        <w:spacing w:after="0" w:line="37" w:lineRule="exact"/>
        <w:rPr>
          <w:sz w:val="20"/>
          <w:szCs w:val="20"/>
          <w:color w:val="auto"/>
        </w:rPr>
      </w:pPr>
    </w:p>
    <w:p>
      <w:pPr>
        <w:ind w:left="1160" w:hanging="752"/>
        <w:spacing w:after="0" w:line="325" w:lineRule="auto"/>
        <w:tabs>
          <w:tab w:leader="none" w:pos="11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Certification of Designations, Preferences and Rights of Series B Junior Preferred Stock dated November 12, 1999 (Exhibit 3.2 to the Company’s Registration Statement on Form S-3 (File No. 333-117077) filed July 1, 2004, is hereby incorporated by reference).</w:t>
      </w:r>
    </w:p>
    <w:p>
      <w:pPr>
        <w:spacing w:after="0" w:line="1" w:lineRule="exact"/>
        <w:rPr>
          <w:sz w:val="20"/>
          <w:szCs w:val="20"/>
          <w:color w:val="auto"/>
        </w:rPr>
      </w:pPr>
    </w:p>
    <w:p>
      <w:pPr>
        <w:jc w:val="both"/>
        <w:ind w:left="1160" w:right="180" w:hanging="752"/>
        <w:spacing w:after="0" w:line="259" w:lineRule="auto"/>
        <w:tabs>
          <w:tab w:leader="none" w:pos="11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Certificate of Increase of Authorized Number of Shares of Series B Junior Participating Preferred Stock pursuant to Section 151 of the General Corporation Law of the State of Delaware dated May 1, 2005 (Exhibit 3.5 to the Company’s Annual Report on Form 10-K (File No. 1-15461) filed August 17, 2005, is hereby incorporated by reference).</w:t>
      </w:r>
    </w:p>
    <w:p>
      <w:pPr>
        <w:spacing w:after="0" w:line="46" w:lineRule="exact"/>
        <w:rPr>
          <w:sz w:val="20"/>
          <w:szCs w:val="20"/>
          <w:color w:val="auto"/>
        </w:rPr>
      </w:pPr>
    </w:p>
    <w:p>
      <w:pPr>
        <w:ind w:left="1160" w:right="180" w:hanging="752"/>
        <w:spacing w:after="0" w:line="259" w:lineRule="auto"/>
        <w:tabs>
          <w:tab w:leader="none" w:pos="11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Certificate of Increase of Authorized Number of Shares of Series B Junior Participating Preferred Stock pursuant to Section 151 of the General Corporation Law of the State of Delaware dated October 23, 2006 (Exhibit 3.7 to the Company’s Annual Report on Form 10-K (File No. 1-15461) filed August 14, 2007, is hereby incorporated by reference).</w:t>
      </w:r>
    </w:p>
    <w:p>
      <w:pPr>
        <w:spacing w:after="0" w:line="46" w:lineRule="exact"/>
        <w:rPr>
          <w:sz w:val="20"/>
          <w:szCs w:val="20"/>
          <w:color w:val="auto"/>
        </w:rPr>
      </w:pPr>
    </w:p>
    <w:p>
      <w:pPr>
        <w:ind w:left="1160" w:right="480" w:hanging="752"/>
        <w:spacing w:after="0" w:line="268" w:lineRule="auto"/>
        <w:tabs>
          <w:tab w:leader="none" w:pos="11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Amended and Restated Bylaws (Exhibit 3 to the Company’s Current Report on Form 8-K (File No. 1-15461) filed April 9, 2009, is hereby incorporated by reference).</w:t>
      </w:r>
    </w:p>
    <w:p>
      <w:pPr>
        <w:spacing w:after="0" w:line="37" w:lineRule="exact"/>
        <w:rPr>
          <w:sz w:val="20"/>
          <w:szCs w:val="20"/>
          <w:color w:val="auto"/>
        </w:rPr>
      </w:pPr>
    </w:p>
    <w:p>
      <w:pPr>
        <w:ind w:left="1160" w:hanging="537"/>
        <w:spacing w:after="0" w:line="268"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Specimen Common Stock Certificate (Exhibit 4.1 to the Company’s Registration Statement on Form S-1 (File No. 33-36081) filed July 26, 1990, is hereby incorporated by reference).</w:t>
      </w:r>
    </w:p>
    <w:p>
      <w:pPr>
        <w:spacing w:after="0" w:line="37"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Matrix Service Company 1990 Incentive Stock Option Plan (Exhibit 10.14 to the Company’s Registration Statement on Form S-1 (File No. 333-</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56945) filed June 12, 1990, is hereby incorporated by reference).</w:t>
      </w:r>
    </w:p>
    <w:p>
      <w:pPr>
        <w:spacing w:after="0" w:line="70"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Matrix Service Company 1991 Incentive Stock Option Plan (Exhibit 10.1 to the Company’s Registration Statement on Form S-8 (File No. 33-</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36081) filed July 26, 1990, is hereby incorporated by reference).</w:t>
      </w:r>
    </w:p>
    <w:p>
      <w:pPr>
        <w:spacing w:after="0" w:line="70" w:lineRule="exact"/>
        <w:rPr>
          <w:sz w:val="20"/>
          <w:szCs w:val="20"/>
          <w:color w:val="auto"/>
        </w:rPr>
      </w:pPr>
    </w:p>
    <w:p>
      <w:pPr>
        <w:ind w:left="1160" w:right="200" w:hanging="851"/>
        <w:spacing w:after="0" w:line="268" w:lineRule="auto"/>
        <w:tabs>
          <w:tab w:leader="none" w:pos="11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Matrix Service Company 1995 Nonemployee Directors’ Stock Option Plan (Exhibit 4.3 to the Company’s Registration Statement on Form S-8 (File No. 333-2771) filed April 23, 1996, is hereby incorporated by reference).</w:t>
      </w:r>
    </w:p>
    <w:p>
      <w:pPr>
        <w:spacing w:after="0" w:line="37" w:lineRule="exact"/>
        <w:rPr>
          <w:sz w:val="20"/>
          <w:szCs w:val="20"/>
          <w:color w:val="auto"/>
        </w:rPr>
      </w:pPr>
    </w:p>
    <w:p>
      <w:pPr>
        <w:ind w:left="1160" w:right="220" w:hanging="851"/>
        <w:spacing w:after="0" w:line="268" w:lineRule="auto"/>
        <w:tabs>
          <w:tab w:leader="none" w:pos="1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Amendment No. 1 to the Matrix Service 1995 Nonemployee Directors’ Stock Option Plan (Exhibit B to the Company’s 2005 Proxy Statement filed on September 16, 2005 (File No. 1-15461), is hereby incorporated by reference).</w:t>
      </w:r>
    </w:p>
    <w:p>
      <w:pPr>
        <w:spacing w:after="0" w:line="37" w:lineRule="exact"/>
        <w:rPr>
          <w:sz w:val="20"/>
          <w:szCs w:val="20"/>
          <w:color w:val="auto"/>
        </w:rPr>
      </w:pPr>
    </w:p>
    <w:p>
      <w:pPr>
        <w:ind w:left="1160" w:right="100" w:hanging="851"/>
        <w:spacing w:after="0" w:line="268" w:lineRule="auto"/>
        <w:tabs>
          <w:tab w:leader="none" w:pos="11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Form of Stock Option Award Agreement (1995 Directors Plan) (Exhibit 10.6 to the Company’s Annual report on Form 10-K (File No, 1-15461) filed August 4, 2006, is hereby incorporated by reference).</w:t>
      </w:r>
    </w:p>
    <w:p>
      <w:pPr>
        <w:spacing w:after="0" w:line="37"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Matrix Service Company 2004 Stock Incentive Plan (Exhibit B to the Company’s Proxy Statement filed on September 15, 2006 (File No. 1-</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15461), is hereby incorporated by reference).</w:t>
      </w:r>
    </w:p>
    <w:p>
      <w:pPr>
        <w:spacing w:after="0" w:line="70"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Amendment 1 to Matrix Service Company 2004 Stock Incentive Plan (Exhibit 10 to Amended Schedule 14A filed on October 4, 2006 (File No.</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1-15461), is hereby incorporated by reference).</w:t>
      </w:r>
    </w:p>
    <w:p>
      <w:pPr>
        <w:spacing w:after="0" w:line="70"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Amendment 2 to Matrix Service Company 2004 Stock Incentive Plan (Exhibit 10.6 to the Company’s Annual Report on Form 10-K (File No. 1-</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15461) filed August 5, 2008, is hereby incorporated by reference).</w:t>
      </w:r>
    </w:p>
    <w:p>
      <w:pPr>
        <w:spacing w:after="0" w:line="70" w:lineRule="exact"/>
        <w:rPr>
          <w:sz w:val="20"/>
          <w:szCs w:val="20"/>
          <w:color w:val="auto"/>
        </w:rPr>
      </w:pPr>
    </w:p>
    <w:p>
      <w:pPr>
        <w:ind w:left="1160" w:right="20" w:hanging="851"/>
        <w:spacing w:after="0" w:line="268" w:lineRule="auto"/>
        <w:tabs>
          <w:tab w:leader="none" w:pos="11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Amendment 3 to Matrix Service Company 2004 Stock Incentive Plan (Exhibit A to the Company’s Proxy Statement filed on September 11, 2009 (File No. 1-15461), is hereby incorporated by reference).</w:t>
      </w:r>
    </w:p>
    <w:p>
      <w:pPr>
        <w:spacing w:after="0" w:line="37" w:lineRule="exact"/>
        <w:rPr>
          <w:sz w:val="20"/>
          <w:szCs w:val="20"/>
          <w:color w:val="auto"/>
        </w:rPr>
      </w:pPr>
    </w:p>
    <w:p>
      <w:pPr>
        <w:ind w:left="1160" w:hanging="939"/>
        <w:spacing w:after="0" w:line="325" w:lineRule="auto"/>
        <w:tabs>
          <w:tab w:leader="none" w:pos="11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Form of Restricted Stock Unit Award Agreement for non-employee directors (2004 Stock Incentive Plan) (Exhibit 10.8 to the Company’s Annual Report on Form 10-K (File No. 1-15461) filed September 28, 2010 (the “2010 10-K”), is hereby incorporated by reference).</w:t>
      </w:r>
    </w:p>
    <w:p>
      <w:pPr>
        <w:spacing w:after="0" w:line="1" w:lineRule="exact"/>
        <w:rPr>
          <w:sz w:val="20"/>
          <w:szCs w:val="20"/>
          <w:color w:val="auto"/>
        </w:rPr>
      </w:pPr>
    </w:p>
    <w:p>
      <w:pPr>
        <w:ind w:left="240" w:hanging="149"/>
        <w:spacing w:after="0"/>
        <w:tabs>
          <w:tab w:leader="none" w:pos="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*10.11</w:t>
      </w:r>
      <w:r>
        <w:rPr>
          <w:rFonts w:ascii="Arial" w:cs="Arial" w:eastAsia="Arial" w:hAnsi="Arial"/>
          <w:sz w:val="16"/>
          <w:szCs w:val="16"/>
          <w:color w:val="auto"/>
        </w:rPr>
        <w:t>Form of Restricted Stock Unit Award Agreement for employees (2004 Stock Incentive Plan - time-based).</w:t>
      </w:r>
    </w:p>
    <w:p>
      <w:pPr>
        <w:spacing w:after="0" w:line="76" w:lineRule="exact"/>
        <w:rPr>
          <w:rFonts w:ascii="Arial" w:cs="Arial" w:eastAsia="Arial" w:hAnsi="Arial"/>
          <w:sz w:val="18"/>
          <w:szCs w:val="18"/>
          <w:color w:val="auto"/>
        </w:rPr>
      </w:pPr>
    </w:p>
    <w:p>
      <w:pPr>
        <w:ind w:left="1160" w:right="100" w:hanging="988"/>
        <w:spacing w:after="0" w:line="268" w:lineRule="auto"/>
        <w:tabs>
          <w:tab w:leader="none" w:pos="319" w:val="left"/>
        </w:tabs>
        <w:numPr>
          <w:ilvl w:val="1"/>
          <w:numId w:val="46"/>
        </w:numPr>
        <w:rPr>
          <w:rFonts w:ascii="Arial" w:cs="Arial" w:eastAsia="Arial" w:hAnsi="Arial"/>
          <w:sz w:val="18"/>
          <w:szCs w:val="18"/>
          <w:color w:val="auto"/>
        </w:rPr>
      </w:pPr>
      <w:r>
        <w:rPr>
          <w:rFonts w:ascii="Arial" w:cs="Arial" w:eastAsia="Arial" w:hAnsi="Arial"/>
          <w:sz w:val="18"/>
          <w:szCs w:val="18"/>
          <w:color w:val="auto"/>
        </w:rPr>
        <w:t>10.12Form of Restricted Stock Unit Award Agreement for executive management (2004 Stock Incentive Plan – performance based) (Exhibit 10.10 to the 2010 10-K is hereby incorporated by reference).</w:t>
      </w:r>
    </w:p>
    <w:p>
      <w:pPr>
        <w:spacing w:after="0" w:line="37" w:lineRule="exact"/>
        <w:rPr>
          <w:rFonts w:ascii="Arial" w:cs="Arial" w:eastAsia="Arial" w:hAnsi="Arial"/>
          <w:sz w:val="18"/>
          <w:szCs w:val="18"/>
          <w:color w:val="auto"/>
        </w:rPr>
      </w:pPr>
    </w:p>
    <w:p>
      <w:pPr>
        <w:ind w:left="220" w:hanging="135"/>
        <w:spacing w:after="0"/>
        <w:tabs>
          <w:tab w:leader="none" w:pos="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*10.13</w:t>
      </w:r>
      <w:r>
        <w:rPr>
          <w:rFonts w:ascii="Arial" w:cs="Arial" w:eastAsia="Arial" w:hAnsi="Arial"/>
          <w:sz w:val="16"/>
          <w:szCs w:val="16"/>
          <w:color w:val="auto"/>
        </w:rPr>
        <w:t>Form of Stock Option Award Agreement (2004 Stock Incentive Plan – Incentive Stock Options).</w:t>
      </w:r>
    </w:p>
    <w:p>
      <w:pPr>
        <w:spacing w:after="0" w:line="76" w:lineRule="exact"/>
        <w:rPr>
          <w:rFonts w:ascii="Arial" w:cs="Arial" w:eastAsia="Arial" w:hAnsi="Arial"/>
          <w:sz w:val="18"/>
          <w:szCs w:val="18"/>
          <w:color w:val="auto"/>
        </w:rPr>
      </w:pPr>
    </w:p>
    <w:p>
      <w:pPr>
        <w:ind w:left="220" w:hanging="135"/>
        <w:spacing w:after="0"/>
        <w:tabs>
          <w:tab w:leader="none" w:pos="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*10.14</w:t>
      </w:r>
      <w:r>
        <w:rPr>
          <w:rFonts w:ascii="Arial" w:cs="Arial" w:eastAsia="Arial" w:hAnsi="Arial"/>
          <w:sz w:val="16"/>
          <w:szCs w:val="16"/>
          <w:color w:val="auto"/>
        </w:rPr>
        <w:t>Form of Stock Option Award Agreement (2004 Stock Incentive Plan – Non-qualified).</w:t>
      </w:r>
    </w:p>
    <w:p>
      <w:pPr>
        <w:spacing w:after="0" w:line="76" w:lineRule="exact"/>
        <w:rPr>
          <w:rFonts w:ascii="Arial" w:cs="Arial" w:eastAsia="Arial" w:hAnsi="Arial"/>
          <w:sz w:val="18"/>
          <w:szCs w:val="18"/>
          <w:color w:val="auto"/>
        </w:rPr>
      </w:pPr>
    </w:p>
    <w:p>
      <w:pPr>
        <w:ind w:left="1160" w:right="320" w:hanging="940"/>
        <w:spacing w:after="0" w:line="268" w:lineRule="auto"/>
        <w:rPr>
          <w:rFonts w:ascii="Arial" w:cs="Arial" w:eastAsia="Arial" w:hAnsi="Arial"/>
          <w:sz w:val="18"/>
          <w:szCs w:val="18"/>
          <w:color w:val="auto"/>
        </w:rPr>
      </w:pPr>
      <w:r>
        <w:rPr>
          <w:rFonts w:ascii="Arial" w:cs="Arial" w:eastAsia="Arial" w:hAnsi="Arial"/>
          <w:sz w:val="18"/>
          <w:szCs w:val="18"/>
          <w:color w:val="auto"/>
        </w:rPr>
        <w:t>+10.15Form of Severance Agreement (Exhibit 10.6 to the Company’s Current Report on Form 8-K (File No. 1-15461) filed on October 27, 2006, is hereby incorporated by reference).</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46"/>
        </w:numPr>
        <w:rPr>
          <w:rFonts w:ascii="Arial" w:cs="Arial" w:eastAsia="Arial" w:hAnsi="Arial"/>
          <w:sz w:val="18"/>
          <w:szCs w:val="18"/>
          <w:color w:val="auto"/>
        </w:rPr>
      </w:pPr>
      <w:r>
        <w:rPr>
          <w:rFonts w:ascii="Arial" w:cs="Arial" w:eastAsia="Arial" w:hAnsi="Arial"/>
          <w:sz w:val="18"/>
          <w:szCs w:val="18"/>
          <w:color w:val="auto"/>
        </w:rPr>
        <w:t>69 -</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1020" w:type="dxa"/>
            <w:vAlign w:val="bottom"/>
          </w:tcPr>
          <w:p>
            <w:pPr>
              <w:jc w:val="right"/>
              <w:ind w:right="172"/>
              <w:spacing w:after="0"/>
              <w:rPr>
                <w:sz w:val="20"/>
                <w:szCs w:val="20"/>
                <w:color w:val="auto"/>
              </w:rPr>
            </w:pPr>
            <w:r>
              <w:rPr>
                <w:rFonts w:ascii="Arial" w:cs="Arial" w:eastAsia="Arial" w:hAnsi="Arial"/>
                <w:sz w:val="18"/>
                <w:szCs w:val="18"/>
                <w:color w:val="auto"/>
              </w:rPr>
              <w:t>+10.16</w:t>
            </w:r>
          </w:p>
        </w:tc>
        <w:tc>
          <w:tcPr>
            <w:tcW w:w="10280" w:type="dxa"/>
            <w:vAlign w:val="bottom"/>
          </w:tcPr>
          <w:p>
            <w:pPr>
              <w:ind w:left="280"/>
              <w:spacing w:after="0"/>
              <w:rPr>
                <w:sz w:val="20"/>
                <w:szCs w:val="20"/>
                <w:color w:val="auto"/>
              </w:rPr>
            </w:pPr>
            <w:r>
              <w:rPr>
                <w:rFonts w:ascii="Arial" w:cs="Arial" w:eastAsia="Arial" w:hAnsi="Arial"/>
                <w:sz w:val="18"/>
                <w:szCs w:val="18"/>
                <w:color w:val="auto"/>
                <w:w w:val="89"/>
              </w:rPr>
              <w:t>Form of Amendment to Severance Agreement (Senior Executives), (Exhibit 10.2 to the Company’s Quarterly Report on Form 10-Q (File No.</w:t>
            </w:r>
          </w:p>
        </w:tc>
      </w:tr>
      <w:tr>
        <w:trPr>
          <w:trHeight w:val="222"/>
        </w:trPr>
        <w:tc>
          <w:tcPr>
            <w:tcW w:w="1020" w:type="dxa"/>
            <w:vAlign w:val="bottom"/>
          </w:tcPr>
          <w:p>
            <w:pPr>
              <w:spacing w:after="0"/>
              <w:rPr>
                <w:sz w:val="19"/>
                <w:szCs w:val="19"/>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1-15461) filed January 8, 2009, is hereby incorporated by reference).</w:t>
            </w:r>
          </w:p>
        </w:tc>
      </w:tr>
      <w:tr>
        <w:trPr>
          <w:trHeight w:val="277"/>
        </w:trPr>
        <w:tc>
          <w:tcPr>
            <w:tcW w:w="1020" w:type="dxa"/>
            <w:vAlign w:val="bottom"/>
          </w:tcPr>
          <w:p>
            <w:pPr>
              <w:jc w:val="right"/>
              <w:ind w:right="172"/>
              <w:spacing w:after="0"/>
              <w:rPr>
                <w:sz w:val="20"/>
                <w:szCs w:val="20"/>
                <w:color w:val="auto"/>
              </w:rPr>
            </w:pPr>
            <w:r>
              <w:rPr>
                <w:rFonts w:ascii="Arial" w:cs="Arial" w:eastAsia="Arial" w:hAnsi="Arial"/>
                <w:sz w:val="18"/>
                <w:szCs w:val="18"/>
                <w:color w:val="auto"/>
              </w:rPr>
              <w:t>+10.17</w:t>
            </w:r>
          </w:p>
        </w:tc>
        <w:tc>
          <w:tcPr>
            <w:tcW w:w="10280" w:type="dxa"/>
            <w:vAlign w:val="bottom"/>
          </w:tcPr>
          <w:p>
            <w:pPr>
              <w:ind w:left="280"/>
              <w:spacing w:after="0"/>
              <w:rPr>
                <w:sz w:val="20"/>
                <w:szCs w:val="20"/>
                <w:color w:val="auto"/>
              </w:rPr>
            </w:pPr>
            <w:r>
              <w:rPr>
                <w:rFonts w:ascii="Arial" w:cs="Arial" w:eastAsia="Arial" w:hAnsi="Arial"/>
                <w:sz w:val="18"/>
                <w:szCs w:val="18"/>
                <w:color w:val="auto"/>
                <w:w w:val="89"/>
              </w:rPr>
              <w:t>Form of Management Retention Agreement (Exhibit 10.7 to the Company’s Current Report on Form 8-K (File No. 1-15461) filed October 27,</w:t>
            </w:r>
          </w:p>
        </w:tc>
      </w:tr>
      <w:tr>
        <w:trPr>
          <w:trHeight w:val="222"/>
        </w:trPr>
        <w:tc>
          <w:tcPr>
            <w:tcW w:w="1020" w:type="dxa"/>
            <w:vAlign w:val="bottom"/>
          </w:tcPr>
          <w:p>
            <w:pPr>
              <w:spacing w:after="0"/>
              <w:rPr>
                <w:sz w:val="19"/>
                <w:szCs w:val="19"/>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2006, is hereby incorporated by reference).</w:t>
            </w:r>
          </w:p>
        </w:tc>
      </w:tr>
      <w:tr>
        <w:trPr>
          <w:trHeight w:val="277"/>
        </w:trPr>
        <w:tc>
          <w:tcPr>
            <w:tcW w:w="1020" w:type="dxa"/>
            <w:vAlign w:val="bottom"/>
          </w:tcPr>
          <w:p>
            <w:pPr>
              <w:jc w:val="right"/>
              <w:ind w:right="172"/>
              <w:spacing w:after="0"/>
              <w:rPr>
                <w:sz w:val="20"/>
                <w:szCs w:val="20"/>
                <w:color w:val="auto"/>
              </w:rPr>
            </w:pPr>
            <w:r>
              <w:rPr>
                <w:rFonts w:ascii="Arial" w:cs="Arial" w:eastAsia="Arial" w:hAnsi="Arial"/>
                <w:sz w:val="18"/>
                <w:szCs w:val="18"/>
                <w:color w:val="auto"/>
              </w:rPr>
              <w:t>+10.18</w:t>
            </w:r>
          </w:p>
        </w:tc>
        <w:tc>
          <w:tcPr>
            <w:tcW w:w="10280" w:type="dxa"/>
            <w:vAlign w:val="bottom"/>
          </w:tcPr>
          <w:p>
            <w:pPr>
              <w:ind w:left="280"/>
              <w:spacing w:after="0"/>
              <w:rPr>
                <w:sz w:val="20"/>
                <w:szCs w:val="20"/>
                <w:color w:val="auto"/>
              </w:rPr>
            </w:pPr>
            <w:r>
              <w:rPr>
                <w:rFonts w:ascii="Arial" w:cs="Arial" w:eastAsia="Arial" w:hAnsi="Arial"/>
                <w:sz w:val="18"/>
                <w:szCs w:val="18"/>
                <w:color w:val="auto"/>
                <w:w w:val="89"/>
              </w:rPr>
              <w:t>Form of Amendment to Severance Agreement (Key Employees), (Exhibit 10.3 to the Company’s Quarterly Report on Form 10-Q (File No. 1-</w:t>
            </w:r>
          </w:p>
        </w:tc>
      </w:tr>
      <w:tr>
        <w:trPr>
          <w:trHeight w:val="222"/>
        </w:trPr>
        <w:tc>
          <w:tcPr>
            <w:tcW w:w="1020" w:type="dxa"/>
            <w:vAlign w:val="bottom"/>
          </w:tcPr>
          <w:p>
            <w:pPr>
              <w:spacing w:after="0"/>
              <w:rPr>
                <w:sz w:val="19"/>
                <w:szCs w:val="19"/>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15461) filed January 8, 2009, is hereby incorporated by reference).</w:t>
            </w:r>
          </w:p>
        </w:tc>
      </w:tr>
      <w:tr>
        <w:trPr>
          <w:trHeight w:val="277"/>
        </w:trPr>
        <w:tc>
          <w:tcPr>
            <w:tcW w:w="1020" w:type="dxa"/>
            <w:vAlign w:val="bottom"/>
          </w:tcPr>
          <w:p>
            <w:pPr>
              <w:jc w:val="right"/>
              <w:ind w:right="172"/>
              <w:spacing w:after="0"/>
              <w:rPr>
                <w:sz w:val="20"/>
                <w:szCs w:val="20"/>
                <w:color w:val="auto"/>
              </w:rPr>
            </w:pPr>
            <w:r>
              <w:rPr>
                <w:rFonts w:ascii="Arial" w:cs="Arial" w:eastAsia="Arial" w:hAnsi="Arial"/>
                <w:sz w:val="18"/>
                <w:szCs w:val="18"/>
                <w:color w:val="auto"/>
              </w:rPr>
              <w:t>+10.19</w:t>
            </w:r>
          </w:p>
        </w:tc>
        <w:tc>
          <w:tcPr>
            <w:tcW w:w="10280" w:type="dxa"/>
            <w:vAlign w:val="bottom"/>
          </w:tcPr>
          <w:p>
            <w:pPr>
              <w:ind w:left="280"/>
              <w:spacing w:after="0"/>
              <w:rPr>
                <w:sz w:val="20"/>
                <w:szCs w:val="20"/>
                <w:color w:val="auto"/>
              </w:rPr>
            </w:pPr>
            <w:r>
              <w:rPr>
                <w:rFonts w:ascii="Arial" w:cs="Arial" w:eastAsia="Arial" w:hAnsi="Arial"/>
                <w:sz w:val="18"/>
                <w:szCs w:val="18"/>
                <w:color w:val="auto"/>
                <w:w w:val="89"/>
              </w:rPr>
              <w:t>Amended and Restated Deferred Compensation Plan for Members of the Board of Directors (Exhibit 10.1 to the Company’s Quarterly Report</w:t>
            </w:r>
          </w:p>
        </w:tc>
      </w:tr>
      <w:tr>
        <w:trPr>
          <w:trHeight w:val="222"/>
        </w:trPr>
        <w:tc>
          <w:tcPr>
            <w:tcW w:w="1020" w:type="dxa"/>
            <w:vAlign w:val="bottom"/>
          </w:tcPr>
          <w:p>
            <w:pPr>
              <w:spacing w:after="0"/>
              <w:rPr>
                <w:sz w:val="19"/>
                <w:szCs w:val="19"/>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on Form 10-Q (File No. 1-15461) filed January 8, 2009, is hereby incorporated by reference).</w:t>
            </w:r>
          </w:p>
        </w:tc>
      </w:tr>
      <w:tr>
        <w:trPr>
          <w:trHeight w:val="277"/>
        </w:trPr>
        <w:tc>
          <w:tcPr>
            <w:tcW w:w="1020" w:type="dxa"/>
            <w:vAlign w:val="bottom"/>
          </w:tcPr>
          <w:p>
            <w:pPr>
              <w:jc w:val="right"/>
              <w:ind w:right="172"/>
              <w:spacing w:after="0"/>
              <w:rPr>
                <w:sz w:val="20"/>
                <w:szCs w:val="20"/>
                <w:color w:val="auto"/>
              </w:rPr>
            </w:pPr>
            <w:r>
              <w:rPr>
                <w:rFonts w:ascii="Arial" w:cs="Arial" w:eastAsia="Arial" w:hAnsi="Arial"/>
                <w:sz w:val="18"/>
                <w:szCs w:val="18"/>
                <w:color w:val="auto"/>
              </w:rPr>
              <w:t>10.20</w:t>
            </w:r>
          </w:p>
        </w:tc>
        <w:tc>
          <w:tcPr>
            <w:tcW w:w="10280" w:type="dxa"/>
            <w:vAlign w:val="bottom"/>
          </w:tcPr>
          <w:p>
            <w:pPr>
              <w:ind w:left="280"/>
              <w:spacing w:after="0"/>
              <w:rPr>
                <w:sz w:val="20"/>
                <w:szCs w:val="20"/>
                <w:color w:val="auto"/>
              </w:rPr>
            </w:pPr>
            <w:r>
              <w:rPr>
                <w:rFonts w:ascii="Arial" w:cs="Arial" w:eastAsia="Arial" w:hAnsi="Arial"/>
                <w:sz w:val="18"/>
                <w:szCs w:val="18"/>
                <w:color w:val="auto"/>
                <w:w w:val="89"/>
              </w:rPr>
              <w:t>Third Amended and Restated Credit Agreement, dated as of November 7, 2011, among the Company, as Borrower, JPMorgan Chase Bank,</w:t>
            </w:r>
          </w:p>
        </w:tc>
      </w:tr>
      <w:tr>
        <w:trPr>
          <w:trHeight w:val="216"/>
        </w:trPr>
        <w:tc>
          <w:tcPr>
            <w:tcW w:w="1020" w:type="dxa"/>
            <w:vAlign w:val="bottom"/>
          </w:tcPr>
          <w:p>
            <w:pPr>
              <w:spacing w:after="0"/>
              <w:rPr>
                <w:sz w:val="18"/>
                <w:szCs w:val="18"/>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w w:val="89"/>
              </w:rPr>
              <w:t>N.A., as Administrative Agent, Swingline Lender and Issuing Bank, J.P. Morgan Securities LLC, as Sole Bookrunner and Sole Lead Arranger</w:t>
            </w:r>
          </w:p>
        </w:tc>
      </w:tr>
      <w:tr>
        <w:trPr>
          <w:trHeight w:val="216"/>
        </w:trPr>
        <w:tc>
          <w:tcPr>
            <w:tcW w:w="1020" w:type="dxa"/>
            <w:vAlign w:val="bottom"/>
          </w:tcPr>
          <w:p>
            <w:pPr>
              <w:spacing w:after="0"/>
              <w:rPr>
                <w:sz w:val="18"/>
                <w:szCs w:val="18"/>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w w:val="91"/>
              </w:rPr>
              <w:t>and the Lenders party thereto (Exhibit 10 to the Company’s Quarterly Report on Form 10-Q (File No. 1-15461) filed November 8, 2011, is</w:t>
            </w:r>
          </w:p>
        </w:tc>
      </w:tr>
      <w:tr>
        <w:trPr>
          <w:trHeight w:val="222"/>
        </w:trPr>
        <w:tc>
          <w:tcPr>
            <w:tcW w:w="1020" w:type="dxa"/>
            <w:vAlign w:val="bottom"/>
          </w:tcPr>
          <w:p>
            <w:pPr>
              <w:spacing w:after="0"/>
              <w:rPr>
                <w:sz w:val="19"/>
                <w:szCs w:val="19"/>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hereby incorporated by reference).</w:t>
            </w:r>
          </w:p>
        </w:tc>
      </w:tr>
      <w:tr>
        <w:trPr>
          <w:trHeight w:val="284"/>
        </w:trPr>
        <w:tc>
          <w:tcPr>
            <w:tcW w:w="1020" w:type="dxa"/>
            <w:vAlign w:val="bottom"/>
          </w:tcPr>
          <w:p>
            <w:pPr>
              <w:jc w:val="right"/>
              <w:ind w:right="172"/>
              <w:spacing w:after="0"/>
              <w:rPr>
                <w:sz w:val="20"/>
                <w:szCs w:val="20"/>
                <w:color w:val="auto"/>
              </w:rPr>
            </w:pPr>
            <w:r>
              <w:rPr>
                <w:rFonts w:ascii="Arial" w:cs="Arial" w:eastAsia="Arial" w:hAnsi="Arial"/>
                <w:sz w:val="18"/>
                <w:szCs w:val="18"/>
                <w:color w:val="auto"/>
              </w:rPr>
              <w:t>*21</w:t>
            </w:r>
          </w:p>
        </w:tc>
        <w:tc>
          <w:tcPr>
            <w:tcW w:w="10280" w:type="dxa"/>
            <w:vAlign w:val="bottom"/>
          </w:tcPr>
          <w:p>
            <w:pPr>
              <w:ind w:left="280"/>
              <w:spacing w:after="0"/>
              <w:rPr>
                <w:sz w:val="20"/>
                <w:szCs w:val="20"/>
                <w:color w:val="auto"/>
              </w:rPr>
            </w:pPr>
            <w:r>
              <w:rPr>
                <w:rFonts w:ascii="Arial" w:cs="Arial" w:eastAsia="Arial" w:hAnsi="Arial"/>
                <w:sz w:val="18"/>
                <w:szCs w:val="18"/>
                <w:color w:val="auto"/>
              </w:rPr>
              <w:t>Subsidiaries.</w:t>
            </w:r>
          </w:p>
        </w:tc>
      </w:tr>
      <w:tr>
        <w:trPr>
          <w:trHeight w:val="284"/>
        </w:trPr>
        <w:tc>
          <w:tcPr>
            <w:tcW w:w="1020" w:type="dxa"/>
            <w:vAlign w:val="bottom"/>
          </w:tcPr>
          <w:p>
            <w:pPr>
              <w:jc w:val="right"/>
              <w:ind w:right="172"/>
              <w:spacing w:after="0"/>
              <w:rPr>
                <w:sz w:val="20"/>
                <w:szCs w:val="20"/>
                <w:color w:val="auto"/>
              </w:rPr>
            </w:pPr>
            <w:r>
              <w:rPr>
                <w:rFonts w:ascii="Arial" w:cs="Arial" w:eastAsia="Arial" w:hAnsi="Arial"/>
                <w:sz w:val="18"/>
                <w:szCs w:val="18"/>
                <w:color w:val="auto"/>
              </w:rPr>
              <w:t>*23</w:t>
            </w:r>
          </w:p>
        </w:tc>
        <w:tc>
          <w:tcPr>
            <w:tcW w:w="10280" w:type="dxa"/>
            <w:vAlign w:val="bottom"/>
          </w:tcPr>
          <w:p>
            <w:pPr>
              <w:ind w:left="280"/>
              <w:spacing w:after="0"/>
              <w:rPr>
                <w:sz w:val="20"/>
                <w:szCs w:val="20"/>
                <w:color w:val="auto"/>
              </w:rPr>
            </w:pPr>
            <w:r>
              <w:rPr>
                <w:rFonts w:ascii="Arial" w:cs="Arial" w:eastAsia="Arial" w:hAnsi="Arial"/>
                <w:sz w:val="18"/>
                <w:szCs w:val="18"/>
                <w:color w:val="auto"/>
              </w:rPr>
              <w:t>Consent of Independent Registered Public Accounting Firm—Deloitte &amp; Touche LLP.</w:t>
            </w:r>
          </w:p>
        </w:tc>
      </w:tr>
      <w:tr>
        <w:trPr>
          <w:trHeight w:val="284"/>
        </w:trPr>
        <w:tc>
          <w:tcPr>
            <w:tcW w:w="1020" w:type="dxa"/>
            <w:vAlign w:val="bottom"/>
          </w:tcPr>
          <w:p>
            <w:pPr>
              <w:jc w:val="right"/>
              <w:ind w:right="172"/>
              <w:spacing w:after="0"/>
              <w:rPr>
                <w:sz w:val="20"/>
                <w:szCs w:val="20"/>
                <w:color w:val="auto"/>
              </w:rPr>
            </w:pPr>
            <w:r>
              <w:rPr>
                <w:rFonts w:ascii="Arial" w:cs="Arial" w:eastAsia="Arial" w:hAnsi="Arial"/>
                <w:sz w:val="18"/>
                <w:szCs w:val="18"/>
                <w:color w:val="auto"/>
              </w:rPr>
              <w:t>*31.1</w:t>
            </w:r>
          </w:p>
        </w:tc>
        <w:tc>
          <w:tcPr>
            <w:tcW w:w="10280" w:type="dxa"/>
            <w:vAlign w:val="bottom"/>
          </w:tcPr>
          <w:p>
            <w:pPr>
              <w:ind w:left="280"/>
              <w:spacing w:after="0"/>
              <w:rPr>
                <w:sz w:val="20"/>
                <w:szCs w:val="20"/>
                <w:color w:val="auto"/>
              </w:rPr>
            </w:pPr>
            <w:r>
              <w:rPr>
                <w:rFonts w:ascii="Arial" w:cs="Arial" w:eastAsia="Arial" w:hAnsi="Arial"/>
                <w:sz w:val="18"/>
                <w:szCs w:val="18"/>
                <w:color w:val="auto"/>
              </w:rPr>
              <w:t>Certification Pursuant to Section 302 of Sarbanes-Oxley Act of 2002—CEO.</w:t>
            </w:r>
          </w:p>
        </w:tc>
      </w:tr>
      <w:tr>
        <w:trPr>
          <w:trHeight w:val="284"/>
        </w:trPr>
        <w:tc>
          <w:tcPr>
            <w:tcW w:w="1020" w:type="dxa"/>
            <w:vAlign w:val="bottom"/>
          </w:tcPr>
          <w:p>
            <w:pPr>
              <w:jc w:val="right"/>
              <w:ind w:right="172"/>
              <w:spacing w:after="0"/>
              <w:rPr>
                <w:sz w:val="20"/>
                <w:szCs w:val="20"/>
                <w:color w:val="auto"/>
              </w:rPr>
            </w:pPr>
            <w:r>
              <w:rPr>
                <w:rFonts w:ascii="Arial" w:cs="Arial" w:eastAsia="Arial" w:hAnsi="Arial"/>
                <w:sz w:val="18"/>
                <w:szCs w:val="18"/>
                <w:color w:val="auto"/>
              </w:rPr>
              <w:t>*31.2</w:t>
            </w:r>
          </w:p>
        </w:tc>
        <w:tc>
          <w:tcPr>
            <w:tcW w:w="10280" w:type="dxa"/>
            <w:vAlign w:val="bottom"/>
          </w:tcPr>
          <w:p>
            <w:pPr>
              <w:ind w:left="280"/>
              <w:spacing w:after="0"/>
              <w:rPr>
                <w:sz w:val="20"/>
                <w:szCs w:val="20"/>
                <w:color w:val="auto"/>
              </w:rPr>
            </w:pPr>
            <w:r>
              <w:rPr>
                <w:rFonts w:ascii="Arial" w:cs="Arial" w:eastAsia="Arial" w:hAnsi="Arial"/>
                <w:sz w:val="18"/>
                <w:szCs w:val="18"/>
                <w:color w:val="auto"/>
              </w:rPr>
              <w:t>Certification Pursuant to Section 302 of Sarbanes-Oxley Act of 2002—CFO.</w:t>
            </w:r>
          </w:p>
        </w:tc>
      </w:tr>
      <w:tr>
        <w:trPr>
          <w:trHeight w:val="284"/>
        </w:trPr>
        <w:tc>
          <w:tcPr>
            <w:tcW w:w="1020" w:type="dxa"/>
            <w:vAlign w:val="bottom"/>
          </w:tcPr>
          <w:p>
            <w:pPr>
              <w:jc w:val="right"/>
              <w:ind w:right="172"/>
              <w:spacing w:after="0"/>
              <w:rPr>
                <w:sz w:val="20"/>
                <w:szCs w:val="20"/>
                <w:color w:val="auto"/>
              </w:rPr>
            </w:pPr>
            <w:r>
              <w:rPr>
                <w:rFonts w:ascii="Arial" w:cs="Arial" w:eastAsia="Arial" w:hAnsi="Arial"/>
                <w:sz w:val="18"/>
                <w:szCs w:val="18"/>
                <w:color w:val="auto"/>
              </w:rPr>
              <w:t>*32.1</w:t>
            </w:r>
          </w:p>
        </w:tc>
        <w:tc>
          <w:tcPr>
            <w:tcW w:w="10280" w:type="dxa"/>
            <w:vAlign w:val="bottom"/>
          </w:tcPr>
          <w:p>
            <w:pPr>
              <w:ind w:left="280"/>
              <w:spacing w:after="0"/>
              <w:rPr>
                <w:sz w:val="20"/>
                <w:szCs w:val="20"/>
                <w:color w:val="auto"/>
              </w:rPr>
            </w:pPr>
            <w:r>
              <w:rPr>
                <w:rFonts w:ascii="Arial" w:cs="Arial" w:eastAsia="Arial" w:hAnsi="Arial"/>
                <w:sz w:val="18"/>
                <w:szCs w:val="18"/>
                <w:color w:val="auto"/>
              </w:rPr>
              <w:t>Certification Pursuant to 18 U.S.C. 1350 (section 906 of Sarbanes-Oxley Act of 2002)—CEO.</w:t>
            </w:r>
          </w:p>
        </w:tc>
      </w:tr>
      <w:tr>
        <w:trPr>
          <w:trHeight w:val="284"/>
        </w:trPr>
        <w:tc>
          <w:tcPr>
            <w:tcW w:w="1020" w:type="dxa"/>
            <w:vAlign w:val="bottom"/>
          </w:tcPr>
          <w:p>
            <w:pPr>
              <w:jc w:val="right"/>
              <w:ind w:right="172"/>
              <w:spacing w:after="0"/>
              <w:rPr>
                <w:sz w:val="20"/>
                <w:szCs w:val="20"/>
                <w:color w:val="auto"/>
              </w:rPr>
            </w:pPr>
            <w:r>
              <w:rPr>
                <w:rFonts w:ascii="Arial" w:cs="Arial" w:eastAsia="Arial" w:hAnsi="Arial"/>
                <w:sz w:val="18"/>
                <w:szCs w:val="18"/>
                <w:color w:val="auto"/>
              </w:rPr>
              <w:t>*32.2</w:t>
            </w:r>
          </w:p>
        </w:tc>
        <w:tc>
          <w:tcPr>
            <w:tcW w:w="10280" w:type="dxa"/>
            <w:vAlign w:val="bottom"/>
          </w:tcPr>
          <w:p>
            <w:pPr>
              <w:ind w:left="280"/>
              <w:spacing w:after="0"/>
              <w:rPr>
                <w:sz w:val="20"/>
                <w:szCs w:val="20"/>
                <w:color w:val="auto"/>
              </w:rPr>
            </w:pPr>
            <w:r>
              <w:rPr>
                <w:rFonts w:ascii="Arial" w:cs="Arial" w:eastAsia="Arial" w:hAnsi="Arial"/>
                <w:sz w:val="18"/>
                <w:szCs w:val="18"/>
                <w:color w:val="auto"/>
              </w:rPr>
              <w:t>Certification Pursuant to 18 U.S.C. 1350 (section 906 of Sarbanes-Oxley Act of 2002)—CFO.</w:t>
            </w:r>
          </w:p>
        </w:tc>
      </w:tr>
      <w:tr>
        <w:trPr>
          <w:trHeight w:val="284"/>
        </w:trPr>
        <w:tc>
          <w:tcPr>
            <w:tcW w:w="1020" w:type="dxa"/>
            <w:vAlign w:val="bottom"/>
          </w:tcPr>
          <w:p>
            <w:pPr>
              <w:jc w:val="right"/>
              <w:ind w:right="172"/>
              <w:spacing w:after="0"/>
              <w:rPr>
                <w:sz w:val="20"/>
                <w:szCs w:val="20"/>
                <w:color w:val="auto"/>
              </w:rPr>
            </w:pPr>
            <w:r>
              <w:rPr>
                <w:rFonts w:ascii="Arial" w:cs="Arial" w:eastAsia="Arial" w:hAnsi="Arial"/>
                <w:sz w:val="18"/>
                <w:szCs w:val="18"/>
                <w:color w:val="auto"/>
              </w:rPr>
              <w:t>*101.INS</w:t>
            </w:r>
          </w:p>
        </w:tc>
        <w:tc>
          <w:tcPr>
            <w:tcW w:w="1028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284"/>
        </w:trPr>
        <w:tc>
          <w:tcPr>
            <w:tcW w:w="1020" w:type="dxa"/>
            <w:vAlign w:val="bottom"/>
          </w:tcPr>
          <w:p>
            <w:pPr>
              <w:jc w:val="right"/>
              <w:ind w:right="172"/>
              <w:spacing w:after="0"/>
              <w:rPr>
                <w:sz w:val="20"/>
                <w:szCs w:val="20"/>
                <w:color w:val="auto"/>
              </w:rPr>
            </w:pPr>
            <w:r>
              <w:rPr>
                <w:rFonts w:ascii="Arial" w:cs="Arial" w:eastAsia="Arial" w:hAnsi="Arial"/>
                <w:sz w:val="18"/>
                <w:szCs w:val="18"/>
                <w:color w:val="auto"/>
                <w:w w:val="92"/>
              </w:rPr>
              <w:t>*101.SCH</w:t>
            </w:r>
          </w:p>
        </w:tc>
        <w:tc>
          <w:tcPr>
            <w:tcW w:w="10280" w:type="dxa"/>
            <w:vAlign w:val="bottom"/>
          </w:tcPr>
          <w:p>
            <w:pPr>
              <w:ind w:left="280"/>
              <w:spacing w:after="0"/>
              <w:rPr>
                <w:sz w:val="20"/>
                <w:szCs w:val="20"/>
                <w:color w:val="auto"/>
              </w:rPr>
            </w:pPr>
            <w:r>
              <w:rPr>
                <w:rFonts w:ascii="Arial" w:cs="Arial" w:eastAsia="Arial" w:hAnsi="Arial"/>
                <w:sz w:val="18"/>
                <w:szCs w:val="18"/>
                <w:color w:val="auto"/>
              </w:rPr>
              <w:t>XBRL Taxonomy Schema Document.</w:t>
            </w:r>
          </w:p>
        </w:tc>
      </w:tr>
      <w:tr>
        <w:trPr>
          <w:trHeight w:val="284"/>
        </w:trPr>
        <w:tc>
          <w:tcPr>
            <w:tcW w:w="1020" w:type="dxa"/>
            <w:vAlign w:val="bottom"/>
          </w:tcPr>
          <w:p>
            <w:pPr>
              <w:jc w:val="right"/>
              <w:ind w:right="172"/>
              <w:spacing w:after="0"/>
              <w:rPr>
                <w:sz w:val="20"/>
                <w:szCs w:val="20"/>
                <w:color w:val="auto"/>
              </w:rPr>
            </w:pPr>
            <w:r>
              <w:rPr>
                <w:rFonts w:ascii="Arial" w:cs="Arial" w:eastAsia="Arial" w:hAnsi="Arial"/>
                <w:sz w:val="18"/>
                <w:szCs w:val="18"/>
                <w:color w:val="auto"/>
                <w:w w:val="95"/>
              </w:rPr>
              <w:t>*101.CAL</w:t>
            </w:r>
          </w:p>
        </w:tc>
        <w:tc>
          <w:tcPr>
            <w:tcW w:w="1028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4"/>
        </w:trPr>
        <w:tc>
          <w:tcPr>
            <w:tcW w:w="1020" w:type="dxa"/>
            <w:vAlign w:val="bottom"/>
          </w:tcPr>
          <w:p>
            <w:pPr>
              <w:jc w:val="right"/>
              <w:ind w:right="172"/>
              <w:spacing w:after="0"/>
              <w:rPr>
                <w:sz w:val="20"/>
                <w:szCs w:val="20"/>
                <w:color w:val="auto"/>
              </w:rPr>
            </w:pPr>
            <w:r>
              <w:rPr>
                <w:rFonts w:ascii="Arial" w:cs="Arial" w:eastAsia="Arial" w:hAnsi="Arial"/>
                <w:sz w:val="18"/>
                <w:szCs w:val="18"/>
                <w:color w:val="auto"/>
                <w:w w:val="94"/>
              </w:rPr>
              <w:t>*101.DEF</w:t>
            </w:r>
          </w:p>
        </w:tc>
        <w:tc>
          <w:tcPr>
            <w:tcW w:w="1028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 Document.</w:t>
            </w:r>
          </w:p>
        </w:tc>
      </w:tr>
      <w:tr>
        <w:trPr>
          <w:trHeight w:val="284"/>
        </w:trPr>
        <w:tc>
          <w:tcPr>
            <w:tcW w:w="1020" w:type="dxa"/>
            <w:vAlign w:val="bottom"/>
          </w:tcPr>
          <w:p>
            <w:pPr>
              <w:jc w:val="right"/>
              <w:ind w:right="172"/>
              <w:spacing w:after="0"/>
              <w:rPr>
                <w:sz w:val="20"/>
                <w:szCs w:val="20"/>
                <w:color w:val="auto"/>
              </w:rPr>
            </w:pPr>
            <w:r>
              <w:rPr>
                <w:rFonts w:ascii="Arial" w:cs="Arial" w:eastAsia="Arial" w:hAnsi="Arial"/>
                <w:sz w:val="18"/>
                <w:szCs w:val="18"/>
                <w:color w:val="auto"/>
                <w:w w:val="97"/>
              </w:rPr>
              <w:t>*101.LAB</w:t>
            </w:r>
          </w:p>
        </w:tc>
        <w:tc>
          <w:tcPr>
            <w:tcW w:w="10280" w:type="dxa"/>
            <w:vAlign w:val="bottom"/>
          </w:tcPr>
          <w:p>
            <w:pPr>
              <w:ind w:left="280"/>
              <w:spacing w:after="0"/>
              <w:rPr>
                <w:sz w:val="20"/>
                <w:szCs w:val="20"/>
                <w:color w:val="auto"/>
              </w:rPr>
            </w:pPr>
            <w:r>
              <w:rPr>
                <w:rFonts w:ascii="Arial" w:cs="Arial" w:eastAsia="Arial" w:hAnsi="Arial"/>
                <w:sz w:val="18"/>
                <w:szCs w:val="18"/>
                <w:color w:val="auto"/>
              </w:rPr>
              <w:t>XBRL Taxonomy Extension Labels Linkbase Document.</w:t>
            </w:r>
          </w:p>
        </w:tc>
      </w:tr>
      <w:tr>
        <w:trPr>
          <w:trHeight w:val="284"/>
        </w:trPr>
        <w:tc>
          <w:tcPr>
            <w:tcW w:w="1020" w:type="dxa"/>
            <w:vAlign w:val="bottom"/>
          </w:tcPr>
          <w:p>
            <w:pPr>
              <w:jc w:val="right"/>
              <w:ind w:right="172"/>
              <w:spacing w:after="0"/>
              <w:rPr>
                <w:sz w:val="20"/>
                <w:szCs w:val="20"/>
                <w:color w:val="auto"/>
              </w:rPr>
            </w:pPr>
            <w:r>
              <w:rPr>
                <w:rFonts w:ascii="Arial" w:cs="Arial" w:eastAsia="Arial" w:hAnsi="Arial"/>
                <w:sz w:val="18"/>
                <w:szCs w:val="18"/>
                <w:color w:val="auto"/>
                <w:w w:val="93"/>
              </w:rPr>
              <w:t>*101.PRE</w:t>
            </w:r>
          </w:p>
        </w:tc>
        <w:tc>
          <w:tcPr>
            <w:tcW w:w="10280" w:type="dxa"/>
            <w:vAlign w:val="bottom"/>
          </w:tcPr>
          <w:p>
            <w:pPr>
              <w:ind w:left="2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- 70 -</w:t>
      </w:r>
    </w:p>
    <w:p>
      <w:pPr>
        <w:sectPr>
          <w:pgSz w:w="11900" w:h="16838" w:orient="portrait"/>
          <w:cols w:equalWidth="0" w:num="1">
            <w:col w:w="11380"/>
          </w:cols>
          <w:pgMar w:left="240" w:top="459" w:right="279" w:bottom="1440" w:gutter="0" w:footer="0" w:header="0"/>
        </w:sectPr>
      </w:pPr>
    </w:p>
    <w:bookmarkStart w:id="71" w:name="page72"/>
    <w:bookmarkEnd w:id="71"/>
    <w:p>
      <w:pPr>
        <w:ind w:left="10440"/>
        <w:spacing w:after="0"/>
        <w:rPr>
          <w:sz w:val="20"/>
          <w:szCs w:val="20"/>
          <w:color w:val="auto"/>
        </w:rPr>
      </w:pPr>
      <w:r>
        <w:rPr>
          <w:rFonts w:ascii="Arial" w:cs="Arial" w:eastAsia="Arial" w:hAnsi="Arial"/>
          <w:sz w:val="16"/>
          <w:szCs w:val="16"/>
          <w:b w:val="1"/>
          <w:bCs w:val="1"/>
          <w:color w:val="auto"/>
        </w:rPr>
        <w:t>Exhibit 10.11</w:t>
      </w:r>
    </w:p>
    <w:p>
      <w:pPr>
        <w:spacing w:after="0" w:line="200" w:lineRule="exact"/>
        <w:rPr>
          <w:sz w:val="20"/>
          <w:szCs w:val="20"/>
          <w:color w:val="auto"/>
        </w:rPr>
      </w:pPr>
    </w:p>
    <w:p>
      <w:pPr>
        <w:ind w:left="10160"/>
        <w:spacing w:after="0"/>
        <w:rPr>
          <w:sz w:val="20"/>
          <w:szCs w:val="20"/>
          <w:color w:val="auto"/>
        </w:rPr>
      </w:pPr>
      <w:r>
        <w:rPr>
          <w:rFonts w:ascii="Arial" w:cs="Arial" w:eastAsia="Arial" w:hAnsi="Arial"/>
          <w:sz w:val="18"/>
          <w:szCs w:val="18"/>
          <w:color w:val="auto"/>
        </w:rPr>
        <w:t>Grantee:</w:t>
      </w:r>
    </w:p>
    <w:p>
      <w:pPr>
        <w:spacing w:after="0" w:line="15"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Shares: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AGREEMENT</w:t>
      </w:r>
    </w:p>
    <w:p>
      <w:pPr>
        <w:spacing w:after="0" w:line="16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-13970</wp:posOffset>
            </wp:positionV>
            <wp:extent cx="11982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98245"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«Address1»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«Address2»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«City», «State» «PostalCode»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«FirstName»:</w:t>
      </w:r>
    </w:p>
    <w:p>
      <w:pPr>
        <w:spacing w:after="0" w:line="165" w:lineRule="exact"/>
        <w:rPr>
          <w:sz w:val="20"/>
          <w:szCs w:val="20"/>
          <w:color w:val="auto"/>
        </w:rPr>
      </w:pPr>
    </w:p>
    <w:p>
      <w:pPr>
        <w:ind w:right="60" w:firstLine="464"/>
        <w:spacing w:after="0" w:line="291" w:lineRule="auto"/>
        <w:tabs>
          <w:tab w:leader="none" w:pos="632"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Award</w:t>
      </w:r>
      <w:r>
        <w:rPr>
          <w:rFonts w:ascii="Arial" w:cs="Arial" w:eastAsia="Arial" w:hAnsi="Arial"/>
          <w:sz w:val="16"/>
          <w:szCs w:val="16"/>
          <w:color w:val="auto"/>
        </w:rPr>
        <w:t>. The awards set forth in this Award Agreement (the “Award Agreement”) are subject to your acceptance of and agreement to all of the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terms, conditions, and restrictions described in the 2004 Stock Incentive Plan of Matrix Service Company, a Delaware corporation (the “Company”), as amended and restated effective October 23, 2006, and as further amended by Amendments 1, 2 and 3 thereto (the “Plan”), a copy of which is on file with, and may be obtained from, the Secretary of the Company, and to your acceptance of and agreement to the further terms, conditions, and restrictions described in this Award Agreement. To the extent that any provision of this Award Agreement conflicts with the expressly applicable terms of the Plan, it is hereby acknowledged and agreed that those terms of the Plan shall control and, if necessary, the applicable provisions of this Award Agreement shall be hereby deemed amended so as to carry out the purpose and intent of the Plan.</w:t>
      </w:r>
    </w:p>
    <w:p>
      <w:pPr>
        <w:spacing w:after="0" w:line="113" w:lineRule="exact"/>
        <w:rPr>
          <w:rFonts w:ascii="Arial" w:cs="Arial" w:eastAsia="Arial" w:hAnsi="Arial"/>
          <w:sz w:val="16"/>
          <w:szCs w:val="16"/>
          <w:color w:val="auto"/>
        </w:rPr>
      </w:pPr>
    </w:p>
    <w:p>
      <w:pPr>
        <w:ind w:left="640" w:hanging="17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Restricted Stock Units.</w:t>
      </w:r>
    </w:p>
    <w:p>
      <w:pPr>
        <w:spacing w:after="0" w:line="90" w:lineRule="exact"/>
        <w:rPr>
          <w:rFonts w:ascii="Arial" w:cs="Arial" w:eastAsia="Arial" w:hAnsi="Arial"/>
          <w:sz w:val="18"/>
          <w:szCs w:val="18"/>
          <w:color w:val="auto"/>
        </w:rPr>
      </w:pPr>
    </w:p>
    <w:p>
      <w:pPr>
        <w:ind w:left="460" w:right="280" w:firstLine="443"/>
        <w:spacing w:after="0" w:line="310" w:lineRule="auto"/>
        <w:tabs>
          <w:tab w:leader="none" w:pos="1137" w:val="left"/>
        </w:tabs>
        <w:numPr>
          <w:ilvl w:val="1"/>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Restricted Stock Units Award. </w:t>
      </w:r>
      <w:r>
        <w:rPr>
          <w:rFonts w:ascii="Arial" w:cs="Arial" w:eastAsia="Arial" w:hAnsi="Arial"/>
          <w:sz w:val="16"/>
          <w:szCs w:val="16"/>
          <w:color w:val="auto"/>
        </w:rPr>
        <w:t>The Company hereby grants to you an aggregate of up to «Shares» restricted stock units (individually, an</w:t>
      </w:r>
      <w:r>
        <w:rPr>
          <w:rFonts w:ascii="Arial" w:cs="Arial" w:eastAsia="Arial" w:hAnsi="Arial"/>
          <w:sz w:val="16"/>
          <w:szCs w:val="16"/>
          <w:b w:val="1"/>
          <w:bCs w:val="1"/>
          <w:color w:val="auto"/>
        </w:rPr>
        <w:t xml:space="preserve"> </w:t>
      </w:r>
      <w:r>
        <w:rPr>
          <w:rFonts w:ascii="Arial" w:cs="Arial" w:eastAsia="Arial" w:hAnsi="Arial"/>
          <w:sz w:val="16"/>
          <w:szCs w:val="16"/>
          <w:color w:val="auto"/>
        </w:rPr>
        <w:t>“RSU,” and collectively, “RSUs”) as more specifically set forth in Section 2(e). Each RSU entitles you to receive one share of common stock, par value $.01 per share, of the Company (the “Shares”) at such time as the restrictions described in Section 2(d)(ii) lapse as described in Section 2(e).</w:t>
      </w:r>
    </w:p>
    <w:p>
      <w:pPr>
        <w:spacing w:after="0" w:line="16" w:lineRule="exact"/>
        <w:rPr>
          <w:rFonts w:ascii="Arial" w:cs="Arial" w:eastAsia="Arial" w:hAnsi="Arial"/>
          <w:sz w:val="16"/>
          <w:szCs w:val="16"/>
          <w:color w:val="auto"/>
        </w:rPr>
      </w:pPr>
    </w:p>
    <w:p>
      <w:pPr>
        <w:ind w:left="460" w:right="60" w:firstLine="443"/>
        <w:spacing w:after="0" w:line="293" w:lineRule="auto"/>
        <w:tabs>
          <w:tab w:leader="none" w:pos="1147" w:val="left"/>
        </w:tabs>
        <w:numPr>
          <w:ilvl w:val="1"/>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Form of Restricted Stock; Possession of Certificates. </w:t>
      </w:r>
      <w:r>
        <w:rPr>
          <w:rFonts w:ascii="Arial" w:cs="Arial" w:eastAsia="Arial" w:hAnsi="Arial"/>
          <w:sz w:val="16"/>
          <w:szCs w:val="16"/>
          <w:color w:val="auto"/>
        </w:rPr>
        <w:t>The Company shall issue the Shares you become entitled to receive hereunder by book-entry registration or by issuance of a certificate or certificates for the Shares in your name as soon as practicable after the restrictions in Section 2(d)(ii) lapse as described in Section 2(e). In the event the Company issues a certificate or certificates for the Shares, such certificates shall be subject to such stop transfer orders and other restrictions as the committee of the Board of Directors that administers the Plan may deem necessary or advisable under the Plan and rules, regulations and other requirements of the Securities and Exchange Commission, any stock exchange upon which such Shares are then listed, and any applicable foreign, federal or state securities laws.</w:t>
      </w:r>
    </w:p>
    <w:p>
      <w:pPr>
        <w:spacing w:after="0" w:line="29" w:lineRule="exact"/>
        <w:rPr>
          <w:rFonts w:ascii="Arial" w:cs="Arial" w:eastAsia="Arial" w:hAnsi="Arial"/>
          <w:sz w:val="16"/>
          <w:szCs w:val="16"/>
          <w:color w:val="auto"/>
        </w:rPr>
      </w:pPr>
    </w:p>
    <w:p>
      <w:pPr>
        <w:jc w:val="both"/>
        <w:ind w:left="460" w:right="100" w:firstLine="443"/>
        <w:spacing w:after="0" w:line="262" w:lineRule="auto"/>
        <w:tabs>
          <w:tab w:leader="none" w:pos="1137" w:val="left"/>
        </w:tabs>
        <w:numPr>
          <w:ilvl w:val="1"/>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Stockholder Rights Prior to Issuance of Shares. </w:t>
      </w:r>
      <w:r>
        <w:rPr>
          <w:rFonts w:ascii="Arial" w:cs="Arial" w:eastAsia="Arial" w:hAnsi="Arial"/>
          <w:sz w:val="18"/>
          <w:szCs w:val="18"/>
          <w:color w:val="auto"/>
        </w:rPr>
        <w:t>Neither you nor any of your beneficiaries shall be deemed to have any voting rights, rights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dividends or other rights as a stockholder of the Company with respect to any Shares covered by the RSUs until the date of book-entry registration or issuance by the Company of a certificate to you for such Shares.</w:t>
      </w:r>
    </w:p>
    <w:p>
      <w:pPr>
        <w:spacing w:after="0" w:line="51" w:lineRule="exact"/>
        <w:rPr>
          <w:rFonts w:ascii="Arial" w:cs="Arial" w:eastAsia="Arial" w:hAnsi="Arial"/>
          <w:sz w:val="18"/>
          <w:szCs w:val="18"/>
          <w:color w:val="auto"/>
        </w:rPr>
      </w:pPr>
    </w:p>
    <w:p>
      <w:pPr>
        <w:ind w:left="1160" w:hanging="257"/>
        <w:spacing w:after="0"/>
        <w:tabs>
          <w:tab w:leader="none" w:pos="1160" w:val="left"/>
        </w:tabs>
        <w:numPr>
          <w:ilvl w:val="1"/>
          <w:numId w:val="47"/>
        </w:numPr>
        <w:rPr>
          <w:rFonts w:ascii="Arial" w:cs="Arial" w:eastAsia="Arial" w:hAnsi="Arial"/>
          <w:sz w:val="18"/>
          <w:szCs w:val="18"/>
          <w:color w:val="auto"/>
        </w:rPr>
      </w:pPr>
      <w:r>
        <w:rPr>
          <w:rFonts w:ascii="Arial" w:cs="Arial" w:eastAsia="Arial" w:hAnsi="Arial"/>
          <w:sz w:val="18"/>
          <w:szCs w:val="18"/>
          <w:b w:val="1"/>
          <w:bCs w:val="1"/>
          <w:color w:val="auto"/>
        </w:rPr>
        <w:t>Restrictions.</w:t>
      </w:r>
    </w:p>
    <w:p>
      <w:pPr>
        <w:spacing w:after="0" w:line="96" w:lineRule="exact"/>
        <w:rPr>
          <w:rFonts w:ascii="Arial" w:cs="Arial" w:eastAsia="Arial" w:hAnsi="Arial"/>
          <w:sz w:val="18"/>
          <w:szCs w:val="18"/>
          <w:color w:val="auto"/>
        </w:rPr>
      </w:pPr>
    </w:p>
    <w:p>
      <w:pPr>
        <w:ind w:left="920" w:right="260" w:firstLine="421"/>
        <w:spacing w:after="0" w:line="268" w:lineRule="auto"/>
        <w:tabs>
          <w:tab w:leader="none" w:pos="1549" w:val="left"/>
        </w:tabs>
        <w:numPr>
          <w:ilvl w:val="2"/>
          <w:numId w:val="47"/>
        </w:numPr>
        <w:rPr>
          <w:rFonts w:ascii="Arial" w:cs="Arial" w:eastAsia="Arial" w:hAnsi="Arial"/>
          <w:sz w:val="18"/>
          <w:szCs w:val="18"/>
          <w:color w:val="auto"/>
        </w:rPr>
      </w:pPr>
      <w:r>
        <w:rPr>
          <w:rFonts w:ascii="Arial" w:cs="Arial" w:eastAsia="Arial" w:hAnsi="Arial"/>
          <w:sz w:val="18"/>
          <w:szCs w:val="18"/>
          <w:color w:val="auto"/>
        </w:rPr>
        <w:t>Your ownership of the RSUs shall be subject to the restrictions set forth in subsection (ii) of this Section 2(d) until such restrictions lapse pursuant to the terms of Section 2(e).</w:t>
      </w:r>
    </w:p>
    <w:p>
      <w:pPr>
        <w:sectPr>
          <w:pgSz w:w="11900" w:h="16838" w:orient="portrait"/>
          <w:cols w:equalWidth="0" w:num="1">
            <w:col w:w="11420"/>
          </w:cols>
          <w:pgMar w:left="240" w:top="125" w:right="239" w:bottom="1440" w:gutter="0" w:footer="0" w:header="0"/>
        </w:sectPr>
      </w:pPr>
    </w:p>
    <w:bookmarkStart w:id="72" w:name="page73"/>
    <w:bookmarkEnd w:id="72"/>
    <w:p>
      <w:pPr>
        <w:ind w:left="1600" w:hanging="259"/>
        <w:spacing w:after="0"/>
        <w:tabs>
          <w:tab w:leader="none" w:pos="1600" w:val="left"/>
        </w:tabs>
        <w:numPr>
          <w:ilvl w:val="1"/>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restrictions referred to in subsection (i) of this Section 2(d) are as follows:</w:t>
      </w:r>
    </w:p>
    <w:p>
      <w:pPr>
        <w:spacing w:after="0" w:line="90" w:lineRule="exact"/>
        <w:rPr>
          <w:rFonts w:ascii="Arial" w:cs="Arial" w:eastAsia="Arial" w:hAnsi="Arial"/>
          <w:sz w:val="18"/>
          <w:szCs w:val="18"/>
          <w:color w:val="auto"/>
        </w:rPr>
      </w:pPr>
    </w:p>
    <w:p>
      <w:pPr>
        <w:ind w:left="1500" w:right="280" w:firstLine="389"/>
        <w:spacing w:after="0" w:line="259" w:lineRule="auto"/>
        <w:tabs>
          <w:tab w:leader="none" w:pos="2185" w:val="left"/>
        </w:tabs>
        <w:numPr>
          <w:ilvl w:val="2"/>
          <w:numId w:val="48"/>
        </w:numPr>
        <w:rPr>
          <w:rFonts w:ascii="Arial" w:cs="Arial" w:eastAsia="Arial" w:hAnsi="Arial"/>
          <w:sz w:val="18"/>
          <w:szCs w:val="18"/>
          <w:color w:val="auto"/>
        </w:rPr>
      </w:pPr>
      <w:r>
        <w:rPr>
          <w:rFonts w:ascii="Arial" w:cs="Arial" w:eastAsia="Arial" w:hAnsi="Arial"/>
          <w:sz w:val="18"/>
          <w:szCs w:val="18"/>
          <w:color w:val="auto"/>
        </w:rPr>
        <w:t>At the time of your termination of employment with the Company or a Subsidiary, other than a termination of employment that occurs as a result of an event described in Section 2(e)(ii), you shall forfeit the RSUs to the Company and all of your rights thereto shall terminate without any payment of consideration by the Company.</w:t>
      </w:r>
    </w:p>
    <w:p>
      <w:pPr>
        <w:spacing w:after="0" w:line="59" w:lineRule="exact"/>
        <w:rPr>
          <w:rFonts w:ascii="Arial" w:cs="Arial" w:eastAsia="Arial" w:hAnsi="Arial"/>
          <w:sz w:val="18"/>
          <w:szCs w:val="18"/>
          <w:color w:val="auto"/>
        </w:rPr>
      </w:pPr>
    </w:p>
    <w:p>
      <w:pPr>
        <w:ind w:left="1500" w:firstLine="389"/>
        <w:spacing w:after="0" w:line="256" w:lineRule="auto"/>
        <w:tabs>
          <w:tab w:leader="none" w:pos="2175" w:val="left"/>
        </w:tabs>
        <w:numPr>
          <w:ilvl w:val="2"/>
          <w:numId w:val="48"/>
        </w:numPr>
        <w:rPr>
          <w:rFonts w:ascii="Arial" w:cs="Arial" w:eastAsia="Arial" w:hAnsi="Arial"/>
          <w:sz w:val="18"/>
          <w:szCs w:val="18"/>
          <w:color w:val="auto"/>
        </w:rPr>
      </w:pPr>
      <w:r>
        <w:rPr>
          <w:rFonts w:ascii="Arial" w:cs="Arial" w:eastAsia="Arial" w:hAnsi="Arial"/>
          <w:sz w:val="18"/>
          <w:szCs w:val="18"/>
          <w:color w:val="auto"/>
        </w:rPr>
        <w:t>You may not sell, assign, transfer or otherwise dispose of any RSUs or any rights under the RSUs. No RSU and no rights under any such RSU may be pledged, alienated, attached or otherwise encumbered, other than by will or the laws of descent and distribution. If you or anyone claiming under or through you attempts to violate this Section 2(d)(ii)(B), such attempted violation shall be null and void and without effect, and all of the Company’s obligations hereunder shall terminate.</w:t>
      </w:r>
    </w:p>
    <w:p>
      <w:pPr>
        <w:spacing w:after="0" w:line="56" w:lineRule="exact"/>
        <w:rPr>
          <w:rFonts w:ascii="Arial" w:cs="Arial" w:eastAsia="Arial" w:hAnsi="Arial"/>
          <w:sz w:val="18"/>
          <w:szCs w:val="18"/>
          <w:color w:val="auto"/>
        </w:rPr>
      </w:pPr>
    </w:p>
    <w:p>
      <w:pPr>
        <w:ind w:left="1140" w:hanging="237"/>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Lapse of Restrictions.</w:t>
      </w:r>
    </w:p>
    <w:p>
      <w:pPr>
        <w:spacing w:after="0" w:line="96" w:lineRule="exact"/>
        <w:rPr>
          <w:rFonts w:ascii="Arial" w:cs="Arial" w:eastAsia="Arial" w:hAnsi="Arial"/>
          <w:sz w:val="18"/>
          <w:szCs w:val="18"/>
          <w:color w:val="auto"/>
        </w:rPr>
      </w:pPr>
    </w:p>
    <w:p>
      <w:pPr>
        <w:ind w:left="920" w:right="120" w:firstLine="421"/>
        <w:spacing w:after="0" w:line="306" w:lineRule="auto"/>
        <w:tabs>
          <w:tab w:leader="none" w:pos="1549"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restrictions described in Section 2(d)(ii) shall lapse with respect to the RSUs in four equal installments of 25 percent each on each of the first, second, third and fourth anniversaries of the date of this Award Agreement, such that the restrictions set forth in Section 2(d)(ii) shall have lapsed with respect to 100 percent of the RSUs on the fourth anniversary of the date of this Award Agreement.</w:t>
      </w:r>
    </w:p>
    <w:p>
      <w:pPr>
        <w:spacing w:after="0" w:line="26" w:lineRule="exact"/>
        <w:rPr>
          <w:sz w:val="20"/>
          <w:szCs w:val="20"/>
          <w:color w:val="auto"/>
        </w:rPr>
      </w:pPr>
    </w:p>
    <w:p>
      <w:pPr>
        <w:ind w:left="920" w:right="20" w:firstLine="421"/>
        <w:spacing w:after="0" w:line="268" w:lineRule="auto"/>
        <w:tabs>
          <w:tab w:leader="none" w:pos="1598" w:val="left"/>
        </w:tabs>
        <w:numPr>
          <w:ilvl w:val="2"/>
          <w:numId w:val="50"/>
        </w:numPr>
        <w:rPr>
          <w:rFonts w:ascii="Arial" w:cs="Arial" w:eastAsia="Arial" w:hAnsi="Arial"/>
          <w:sz w:val="18"/>
          <w:szCs w:val="18"/>
          <w:color w:val="auto"/>
        </w:rPr>
      </w:pPr>
      <w:r>
        <w:rPr>
          <w:rFonts w:ascii="Arial" w:cs="Arial" w:eastAsia="Arial" w:hAnsi="Arial"/>
          <w:sz w:val="18"/>
          <w:szCs w:val="18"/>
          <w:color w:val="auto"/>
        </w:rPr>
        <w:t>Notwithstanding the provisions of subsection (i) of this Section 2(e), the restrictions described in Section 2(d)(ii) shall lapse with respect to all RSUs upon the occurrence of any of the following events:</w:t>
      </w:r>
    </w:p>
    <w:p>
      <w:pPr>
        <w:spacing w:after="0" w:line="50" w:lineRule="exact"/>
        <w:rPr>
          <w:rFonts w:ascii="Arial" w:cs="Arial" w:eastAsia="Arial" w:hAnsi="Arial"/>
          <w:sz w:val="18"/>
          <w:szCs w:val="18"/>
          <w:color w:val="auto"/>
        </w:rPr>
      </w:pPr>
    </w:p>
    <w:p>
      <w:pPr>
        <w:ind w:left="2180" w:hanging="291"/>
        <w:spacing w:after="0"/>
        <w:tabs>
          <w:tab w:leader="none" w:pos="2180" w:val="left"/>
        </w:tabs>
        <w:numPr>
          <w:ilvl w:val="3"/>
          <w:numId w:val="50"/>
        </w:numPr>
        <w:rPr>
          <w:rFonts w:ascii="Arial" w:cs="Arial" w:eastAsia="Arial" w:hAnsi="Arial"/>
          <w:sz w:val="18"/>
          <w:szCs w:val="18"/>
          <w:color w:val="auto"/>
        </w:rPr>
      </w:pPr>
      <w:r>
        <w:rPr>
          <w:rFonts w:ascii="Arial" w:cs="Arial" w:eastAsia="Arial" w:hAnsi="Arial"/>
          <w:sz w:val="18"/>
          <w:szCs w:val="18"/>
          <w:color w:val="auto"/>
        </w:rPr>
        <w:t>Your death or Disability; or</w:t>
      </w:r>
    </w:p>
    <w:p>
      <w:pPr>
        <w:spacing w:after="0" w:line="90" w:lineRule="exact"/>
        <w:rPr>
          <w:rFonts w:ascii="Arial" w:cs="Arial" w:eastAsia="Arial" w:hAnsi="Arial"/>
          <w:sz w:val="18"/>
          <w:szCs w:val="18"/>
          <w:color w:val="auto"/>
        </w:rPr>
      </w:pPr>
    </w:p>
    <w:p>
      <w:pPr>
        <w:ind w:left="2160" w:hanging="271"/>
        <w:spacing w:after="0"/>
        <w:tabs>
          <w:tab w:leader="none" w:pos="2160" w:val="left"/>
        </w:tabs>
        <w:numPr>
          <w:ilvl w:val="3"/>
          <w:numId w:val="50"/>
        </w:numPr>
        <w:rPr>
          <w:rFonts w:ascii="Arial" w:cs="Arial" w:eastAsia="Arial" w:hAnsi="Arial"/>
          <w:sz w:val="18"/>
          <w:szCs w:val="18"/>
          <w:color w:val="auto"/>
        </w:rPr>
      </w:pPr>
      <w:r>
        <w:rPr>
          <w:rFonts w:ascii="Arial" w:cs="Arial" w:eastAsia="Arial" w:hAnsi="Arial"/>
          <w:sz w:val="18"/>
          <w:szCs w:val="18"/>
          <w:color w:val="auto"/>
        </w:rPr>
        <w:t>A Change in Control of the Company.</w:t>
      </w:r>
    </w:p>
    <w:p>
      <w:pPr>
        <w:spacing w:after="0" w:line="90" w:lineRule="exact"/>
        <w:rPr>
          <w:rFonts w:ascii="Arial" w:cs="Arial" w:eastAsia="Arial" w:hAnsi="Arial"/>
          <w:sz w:val="18"/>
          <w:szCs w:val="18"/>
          <w:color w:val="auto"/>
        </w:rPr>
      </w:pPr>
    </w:p>
    <w:p>
      <w:pPr>
        <w:ind w:left="920" w:right="20" w:firstLine="421"/>
        <w:spacing w:after="0" w:line="256" w:lineRule="auto"/>
        <w:tabs>
          <w:tab w:leader="none" w:pos="1647" w:val="left"/>
        </w:tabs>
        <w:numPr>
          <w:ilvl w:val="2"/>
          <w:numId w:val="50"/>
        </w:numPr>
        <w:rPr>
          <w:rFonts w:ascii="Arial" w:cs="Arial" w:eastAsia="Arial" w:hAnsi="Arial"/>
          <w:sz w:val="18"/>
          <w:szCs w:val="18"/>
          <w:color w:val="auto"/>
        </w:rPr>
      </w:pPr>
      <w:r>
        <w:rPr>
          <w:rFonts w:ascii="Arial" w:cs="Arial" w:eastAsia="Arial" w:hAnsi="Arial"/>
          <w:sz w:val="18"/>
          <w:szCs w:val="18"/>
          <w:color w:val="auto"/>
        </w:rPr>
        <w:t>On the date of the lapse of the restrictions in accordance with this Section 2(e), or in any event, no later than the earlier of ninety (90) days after such date or two and one half months following the end of the calendar year in which the restrictions lapsed in accordance with Section 2(e), the Company will make a book-entry registration or will issue you a certificate as provided in Section 2(b) of this Award Agreement for the Shares covered by such RSUs in redemption of such RSUs.</w:t>
      </w:r>
    </w:p>
    <w:p>
      <w:pPr>
        <w:spacing w:after="0" w:line="137" w:lineRule="exact"/>
        <w:rPr>
          <w:rFonts w:ascii="Arial" w:cs="Arial" w:eastAsia="Arial" w:hAnsi="Arial"/>
          <w:sz w:val="18"/>
          <w:szCs w:val="18"/>
          <w:color w:val="auto"/>
        </w:rPr>
      </w:pPr>
    </w:p>
    <w:p>
      <w:pPr>
        <w:ind w:left="640" w:hanging="17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Agreement with Respect to Taxes; Share Withholding</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right="20" w:firstLine="921"/>
        <w:spacing w:after="0" w:line="298" w:lineRule="auto"/>
        <w:tabs>
          <w:tab w:leader="none" w:pos="1152" w:val="left"/>
        </w:tabs>
        <w:numPr>
          <w:ilvl w:val="1"/>
          <w:numId w:val="51"/>
        </w:numPr>
        <w:rPr>
          <w:rFonts w:ascii="Arial" w:cs="Arial" w:eastAsia="Arial" w:hAnsi="Arial"/>
          <w:sz w:val="16"/>
          <w:szCs w:val="16"/>
          <w:color w:val="auto"/>
        </w:rPr>
      </w:pPr>
      <w:r>
        <w:rPr>
          <w:rFonts w:ascii="Arial" w:cs="Arial" w:eastAsia="Arial" w:hAnsi="Arial"/>
          <w:sz w:val="16"/>
          <w:szCs w:val="16"/>
          <w:color w:val="auto"/>
        </w:rPr>
        <w:t>You agree that (1) you will pay to the Company or an Affiliate, as the case may be, in cash, or make arrangements satisfactory to the Company or such Affiliate regarding the payment of any taxes of any kind required by law to be withheld by the Company or any of its Affiliates with respect to the RSUs and/or the Shares and (2) the Company or any of its Affiliates shall, to the extent permitted by law, have the right to deduct from any payments of any kind otherwise due to you any taxes of any kind required by law to be withheld with respect to the RSUs and/or the Shares.</w:t>
      </w:r>
    </w:p>
    <w:p>
      <w:pPr>
        <w:spacing w:after="0" w:line="31" w:lineRule="exact"/>
        <w:rPr>
          <w:rFonts w:ascii="Arial" w:cs="Arial" w:eastAsia="Arial" w:hAnsi="Arial"/>
          <w:sz w:val="16"/>
          <w:szCs w:val="16"/>
          <w:color w:val="auto"/>
        </w:rPr>
      </w:pPr>
    </w:p>
    <w:p>
      <w:pPr>
        <w:ind w:firstLine="921"/>
        <w:spacing w:after="0" w:line="312" w:lineRule="auto"/>
        <w:tabs>
          <w:tab w:leader="none" w:pos="1162" w:val="left"/>
        </w:tabs>
        <w:numPr>
          <w:ilvl w:val="1"/>
          <w:numId w:val="51"/>
        </w:numPr>
        <w:rPr>
          <w:rFonts w:ascii="Arial" w:cs="Arial" w:eastAsia="Arial" w:hAnsi="Arial"/>
          <w:sz w:val="15"/>
          <w:szCs w:val="15"/>
          <w:color w:val="auto"/>
        </w:rPr>
      </w:pPr>
      <w:r>
        <w:rPr>
          <w:rFonts w:ascii="Arial" w:cs="Arial" w:eastAsia="Arial" w:hAnsi="Arial"/>
          <w:sz w:val="15"/>
          <w:szCs w:val="15"/>
          <w:color w:val="auto"/>
        </w:rPr>
        <w:t>You agree that, if required by applicable law, you shall pay any taxes no later than the date as of which the value of the RSUs and/or Shares first become includible in your gross income for income tax purposes; provided, however, that the Committee may, in accordance with Section 11(b) of the Plan, permit you to: (i) elect withholding by the Company of Shares otherwise deliverable to you pursuant to this Award Agreement (provided, however, that the amount of any Shares so withheld shall not exceed the amount necessary to satisfy the Company’s or any Affiliate’s required tax withholding of obligations using the minimum statutory withholding rates for Federal, state and/or local tax purposes, including payroll taxes, that are applicable to supplemental taxable income) and/or (ii) tender to the Company shares of Stock owned by you (or by you and your spouse jointly) and acquired more than six (6) months prior to such tender in full or partial satisfaction of such tax obligations, based, in each case, on the Fair Market Value of the Stock on the payment date as determined by the Committee.</w:t>
      </w:r>
    </w:p>
    <w:p>
      <w:pPr>
        <w:spacing w:after="0" w:line="99" w:lineRule="exact"/>
        <w:rPr>
          <w:rFonts w:ascii="Arial" w:cs="Arial" w:eastAsia="Arial" w:hAnsi="Arial"/>
          <w:sz w:val="15"/>
          <w:szCs w:val="15"/>
          <w:color w:val="auto"/>
        </w:rPr>
      </w:pPr>
    </w:p>
    <w:p>
      <w:pPr>
        <w:ind w:left="640" w:hanging="176"/>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 xml:space="preserve">Adjustment of Shares. </w:t>
      </w:r>
      <w:r>
        <w:rPr>
          <w:rFonts w:ascii="Arial" w:cs="Arial" w:eastAsia="Arial" w:hAnsi="Arial"/>
          <w:sz w:val="16"/>
          <w:szCs w:val="16"/>
          <w:color w:val="auto"/>
        </w:rPr>
        <w:t>The number of Shares subject to the RSUs awarded to you under this Award Agreement may be adjusted as provided in the</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73" w:name="page74"/>
    <w:bookmarkEnd w:id="73"/>
    <w:p>
      <w:pPr>
        <w:ind w:right="60" w:firstLine="464"/>
        <w:spacing w:after="0" w:line="301" w:lineRule="auto"/>
        <w:tabs>
          <w:tab w:leader="none" w:pos="632"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Agreement With Respect to Securities Matters. </w:t>
      </w:r>
      <w:r>
        <w:rPr>
          <w:rFonts w:ascii="Arial" w:cs="Arial" w:eastAsia="Arial" w:hAnsi="Arial"/>
          <w:sz w:val="16"/>
          <w:szCs w:val="16"/>
          <w:color w:val="auto"/>
        </w:rPr>
        <w:t>You agree that you will not sell or otherwise transfer any Shares received pursuant to this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except pursuant to an effective registration statement under the U.S. Securities Act of 1933, as amended, or pursuant to an applicable exemption from such registration. Unless a registration statement relating to the Shares issuable upon the lapse of the restrictions on the RSUs pursuant to this Award Agreement is in effect at the time of issuance of such Shares, the certificate(s) for the Shares shall contain the following legend:</w:t>
      </w:r>
    </w:p>
    <w:p>
      <w:pPr>
        <w:spacing w:after="0" w:line="28" w:lineRule="exact"/>
        <w:rPr>
          <w:sz w:val="20"/>
          <w:szCs w:val="20"/>
          <w:color w:val="auto"/>
        </w:rPr>
      </w:pPr>
    </w:p>
    <w:p>
      <w:pPr>
        <w:ind w:left="460" w:right="160"/>
        <w:spacing w:after="0" w:line="256" w:lineRule="auto"/>
        <w:rPr>
          <w:sz w:val="20"/>
          <w:szCs w:val="20"/>
          <w:color w:val="auto"/>
        </w:rPr>
      </w:pPr>
      <w:r>
        <w:rPr>
          <w:rFonts w:ascii="Arial" w:cs="Arial" w:eastAsia="Arial" w:hAnsi="Arial"/>
          <w:sz w:val="18"/>
          <w:szCs w:val="18"/>
          <w:color w:val="auto"/>
        </w:rPr>
        <w:t>The securities evidenced by this certificate have not been registered under the Securities Act of 1933 or any other securities laws. These securities have been acquired for investment and may not be sold or transferred for value in the absence of an effective registration of them under the U.S. Securities Act of 1933 and any other applicable securities laws, or receipt by the Company of an opinion of counsel or other evidence acceptable to the Company that such registration is not required under such acts.</w:t>
      </w:r>
    </w:p>
    <w:p>
      <w:pPr>
        <w:spacing w:after="0" w:line="137" w:lineRule="exact"/>
        <w:rPr>
          <w:sz w:val="20"/>
          <w:szCs w:val="20"/>
          <w:color w:val="auto"/>
        </w:rPr>
      </w:pPr>
    </w:p>
    <w:p>
      <w:pPr>
        <w:ind w:left="640" w:hanging="176"/>
        <w:spacing w:after="0"/>
        <w:tabs>
          <w:tab w:leader="none" w:pos="640" w:val="left"/>
        </w:tabs>
        <w:numPr>
          <w:ilvl w:val="1"/>
          <w:numId w:val="53"/>
        </w:numPr>
        <w:rPr>
          <w:rFonts w:ascii="Arial" w:cs="Arial" w:eastAsia="Arial" w:hAnsi="Arial"/>
          <w:sz w:val="16"/>
          <w:szCs w:val="16"/>
          <w:color w:val="auto"/>
        </w:rPr>
      </w:pPr>
      <w:r>
        <w:rPr>
          <w:rFonts w:ascii="Arial" w:cs="Arial" w:eastAsia="Arial" w:hAnsi="Arial"/>
          <w:sz w:val="16"/>
          <w:szCs w:val="16"/>
          <w:b w:val="1"/>
          <w:bCs w:val="1"/>
          <w:color w:val="auto"/>
        </w:rPr>
        <w:t xml:space="preserve">Certain Definitions. </w:t>
      </w:r>
      <w:r>
        <w:rPr>
          <w:rFonts w:ascii="Arial" w:cs="Arial" w:eastAsia="Arial" w:hAnsi="Arial"/>
          <w:sz w:val="16"/>
          <w:szCs w:val="16"/>
          <w:color w:val="auto"/>
        </w:rPr>
        <w:t>Capitalized terms used in this Award Agreement and not otherwise defined herein shall have the respective meanings provided in</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Plan.</w:t>
      </w:r>
    </w:p>
    <w:p>
      <w:pPr>
        <w:spacing w:after="0" w:line="158" w:lineRule="exact"/>
        <w:rPr>
          <w:rFonts w:ascii="Arial" w:cs="Arial" w:eastAsia="Arial" w:hAnsi="Arial"/>
          <w:sz w:val="16"/>
          <w:szCs w:val="16"/>
          <w:color w:val="auto"/>
        </w:rPr>
      </w:pPr>
    </w:p>
    <w:p>
      <w:pPr>
        <w:ind w:left="640" w:hanging="176"/>
        <w:spacing w:after="0"/>
        <w:tabs>
          <w:tab w:leader="none" w:pos="640" w:val="left"/>
        </w:tabs>
        <w:numPr>
          <w:ilvl w:val="1"/>
          <w:numId w:val="53"/>
        </w:numPr>
        <w:rPr>
          <w:rFonts w:ascii="Arial" w:cs="Arial" w:eastAsia="Arial" w:hAnsi="Arial"/>
          <w:sz w:val="15"/>
          <w:szCs w:val="15"/>
          <w:color w:val="auto"/>
        </w:rPr>
      </w:pPr>
      <w:r>
        <w:rPr>
          <w:rFonts w:ascii="Arial" w:cs="Arial" w:eastAsia="Arial" w:hAnsi="Arial"/>
          <w:sz w:val="15"/>
          <w:szCs w:val="15"/>
          <w:b w:val="1"/>
          <w:bCs w:val="1"/>
          <w:color w:val="auto"/>
        </w:rPr>
        <w:t>Compliance with 409A</w:t>
      </w:r>
      <w:r>
        <w:rPr>
          <w:rFonts w:ascii="Arial" w:cs="Arial" w:eastAsia="Arial" w:hAnsi="Arial"/>
          <w:sz w:val="15"/>
          <w:szCs w:val="15"/>
          <w:color w:val="auto"/>
        </w:rPr>
        <w:t>. The Company intends that this Award Agreement and the Plan either (1) comply with Section 409A and guidance thereunder or</w:t>
      </w:r>
    </w:p>
    <w:p>
      <w:pPr>
        <w:spacing w:after="0" w:line="55" w:lineRule="exact"/>
        <w:rPr>
          <w:rFonts w:ascii="Arial" w:cs="Arial" w:eastAsia="Arial" w:hAnsi="Arial"/>
          <w:sz w:val="15"/>
          <w:szCs w:val="15"/>
          <w:color w:val="auto"/>
        </w:rPr>
      </w:pPr>
    </w:p>
    <w:p>
      <w:pPr>
        <w:ind w:right="120" w:firstLine="8"/>
        <w:spacing w:after="0" w:line="302" w:lineRule="auto"/>
        <w:tabs>
          <w:tab w:leader="none" w:pos="249" w:val="left"/>
        </w:tabs>
        <w:numPr>
          <w:ilvl w:val="0"/>
          <w:numId w:val="54"/>
        </w:numPr>
        <w:rPr>
          <w:rFonts w:ascii="Arial" w:cs="Arial" w:eastAsia="Arial" w:hAnsi="Arial"/>
          <w:sz w:val="16"/>
          <w:szCs w:val="16"/>
          <w:color w:val="auto"/>
        </w:rPr>
      </w:pPr>
      <w:r>
        <w:rPr>
          <w:rFonts w:ascii="Arial" w:cs="Arial" w:eastAsia="Arial" w:hAnsi="Arial"/>
          <w:sz w:val="16"/>
          <w:szCs w:val="16"/>
          <w:color w:val="auto"/>
        </w:rPr>
        <w:t>be excepted from the provisions of Section 409A. Accordingly, the Company reserves the right and you agree that the Company shall have the right, without your consent and without prior notice to you, to amend either or both this Award Agreement and the Plan to cause this Award Agreement and the Plan to be so compliant or so excepted and to take such other actions under the Plan and this Award Agreement to achieve such compliance or exception.</w:t>
      </w:r>
    </w:p>
    <w:p>
      <w:pPr>
        <w:spacing w:after="0" w:line="103" w:lineRule="exact"/>
        <w:rPr>
          <w:rFonts w:ascii="Arial" w:cs="Arial" w:eastAsia="Arial" w:hAnsi="Arial"/>
          <w:sz w:val="16"/>
          <w:szCs w:val="16"/>
          <w:color w:val="auto"/>
        </w:rPr>
      </w:pPr>
    </w:p>
    <w:p>
      <w:pPr>
        <w:ind w:left="640" w:hanging="176"/>
        <w:spacing w:after="0"/>
        <w:tabs>
          <w:tab w:leader="none" w:pos="640" w:val="left"/>
        </w:tabs>
        <w:numPr>
          <w:ilvl w:val="1"/>
          <w:numId w:val="54"/>
        </w:numPr>
        <w:rPr>
          <w:rFonts w:ascii="Arial" w:cs="Arial" w:eastAsia="Arial" w:hAnsi="Arial"/>
          <w:sz w:val="18"/>
          <w:szCs w:val="18"/>
          <w:color w:val="auto"/>
        </w:rPr>
      </w:pPr>
      <w:r>
        <w:rPr>
          <w:rFonts w:ascii="Arial" w:cs="Arial" w:eastAsia="Arial" w:hAnsi="Arial"/>
          <w:sz w:val="18"/>
          <w:szCs w:val="18"/>
          <w:b w:val="1"/>
          <w:bCs w:val="1"/>
          <w:color w:val="auto"/>
        </w:rPr>
        <w:t>Forfeiture and Clawback.</w:t>
      </w:r>
    </w:p>
    <w:p>
      <w:pPr>
        <w:spacing w:after="0" w:line="96" w:lineRule="exact"/>
        <w:rPr>
          <w:rFonts w:ascii="Arial" w:cs="Arial" w:eastAsia="Arial" w:hAnsi="Arial"/>
          <w:sz w:val="18"/>
          <w:szCs w:val="18"/>
          <w:color w:val="auto"/>
        </w:rPr>
      </w:pPr>
    </w:p>
    <w:p>
      <w:pPr>
        <w:ind w:left="460" w:right="180" w:firstLine="443"/>
        <w:spacing w:after="0" w:line="298" w:lineRule="auto"/>
        <w:tabs>
          <w:tab w:leader="none" w:pos="1137" w:val="left"/>
        </w:tabs>
        <w:numPr>
          <w:ilvl w:val="2"/>
          <w:numId w:val="54"/>
        </w:numPr>
        <w:rPr>
          <w:rFonts w:ascii="Arial" w:cs="Arial" w:eastAsia="Arial" w:hAnsi="Arial"/>
          <w:sz w:val="16"/>
          <w:szCs w:val="16"/>
          <w:color w:val="auto"/>
        </w:rPr>
      </w:pPr>
      <w:r>
        <w:rPr>
          <w:rFonts w:ascii="Arial" w:cs="Arial" w:eastAsia="Arial" w:hAnsi="Arial"/>
          <w:sz w:val="16"/>
          <w:szCs w:val="16"/>
          <w:color w:val="auto"/>
        </w:rPr>
        <w:t>You agree that in the event you violate the confidentiality, non-competition, non-solicitation or non-disparagement provisions of any agreement between you and the Company or any Subsidiary, or any plan of the Company or any Affiliate in which you participate, all of your RSUs for which the restrictions have not previously lapsed in accordance with Section 2 shall be forfeited to the Company and all of your rights to receive any Shares in the future pursuant to the RSUs shall automatically terminate without any payment of consideration by the Company.</w:t>
      </w:r>
    </w:p>
    <w:p>
      <w:pPr>
        <w:spacing w:after="0" w:line="31" w:lineRule="exact"/>
        <w:rPr>
          <w:rFonts w:ascii="Arial" w:cs="Arial" w:eastAsia="Arial" w:hAnsi="Arial"/>
          <w:sz w:val="16"/>
          <w:szCs w:val="16"/>
          <w:color w:val="auto"/>
        </w:rPr>
      </w:pPr>
    </w:p>
    <w:p>
      <w:pPr>
        <w:ind w:left="460" w:firstLine="443"/>
        <w:spacing w:after="0" w:line="291" w:lineRule="auto"/>
        <w:tabs>
          <w:tab w:leader="none" w:pos="1147" w:val="left"/>
        </w:tabs>
        <w:numPr>
          <w:ilvl w:val="2"/>
          <w:numId w:val="54"/>
        </w:numPr>
        <w:rPr>
          <w:rFonts w:ascii="Arial" w:cs="Arial" w:eastAsia="Arial" w:hAnsi="Arial"/>
          <w:sz w:val="16"/>
          <w:szCs w:val="16"/>
          <w:color w:val="auto"/>
        </w:rPr>
      </w:pPr>
      <w:r>
        <w:rPr>
          <w:rFonts w:ascii="Arial" w:cs="Arial" w:eastAsia="Arial" w:hAnsi="Arial"/>
          <w:sz w:val="16"/>
          <w:szCs w:val="16"/>
          <w:color w:val="auto"/>
        </w:rPr>
        <w:t>Notwithstanding any other provision of the Plan or this Award Agreement to the contrary, you acknowledge that any incentive-based compensation paid to you hereunder may be subject to recovery by the Company under any clawback policy which the Company may adopt from time to time, including without limitation the Company’s existing policy and any policy which the Company may be required to adopt under Section 954 of the Dodd-Frank Wall Street Reform and Consumer Protection Act and the rules and regulations of the U.S. Securities and Exchange Commission thereunder or the requirements of any national securities exchange on which the Company’s common stock may be listed. You agree to promptly return any such incentive-based compensation which the Company determines it is required to recover from you under any such clawback policy.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74" w:name="page75"/>
    <w:bookmarkEnd w:id="74"/>
    <w:p>
      <w:pPr>
        <w:ind w:right="1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 accept this Award Agreement and agree to the foregoing terms and conditions, please so confirm by signing and returning the duplicate copy of this Award Agreement enclosed for that purpose.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20" w:type="dxa"/>
            <w:vAlign w:val="bottom"/>
          </w:tcPr>
          <w:p>
            <w:pPr>
              <w:spacing w:after="0"/>
              <w:rPr>
                <w:sz w:val="19"/>
                <w:szCs w:val="19"/>
                <w:color w:val="auto"/>
              </w:rPr>
            </w:pPr>
          </w:p>
        </w:tc>
        <w:tc>
          <w:tcPr>
            <w:tcW w:w="6900" w:type="dxa"/>
            <w:vAlign w:val="bottom"/>
            <w:gridSpan w:val="4"/>
          </w:tcPr>
          <w:p>
            <w:pPr>
              <w:ind w:left="860"/>
              <w:spacing w:after="0"/>
              <w:rPr>
                <w:sz w:val="20"/>
                <w:szCs w:val="20"/>
                <w:color w:val="auto"/>
              </w:rPr>
            </w:pPr>
            <w:r>
              <w:rPr>
                <w:rFonts w:ascii="Arial" w:cs="Arial" w:eastAsia="Arial" w:hAnsi="Arial"/>
                <w:sz w:val="18"/>
                <w:szCs w:val="18"/>
                <w:color w:val="auto"/>
              </w:rPr>
              <w:t>MATRIX SERVICE COMPANY</w:t>
            </w:r>
          </w:p>
        </w:tc>
      </w:tr>
      <w:tr>
        <w:trPr>
          <w:trHeight w:val="488"/>
        </w:trPr>
        <w:tc>
          <w:tcPr>
            <w:tcW w:w="4520" w:type="dxa"/>
            <w:vAlign w:val="bottom"/>
          </w:tcPr>
          <w:p>
            <w:pPr>
              <w:spacing w:after="0"/>
              <w:rPr>
                <w:sz w:val="24"/>
                <w:szCs w:val="24"/>
                <w:color w:val="auto"/>
              </w:rPr>
            </w:pPr>
          </w:p>
        </w:tc>
        <w:tc>
          <w:tcPr>
            <w:tcW w:w="1320" w:type="dxa"/>
            <w:vAlign w:val="bottom"/>
            <w:gridSpan w:val="2"/>
          </w:tcPr>
          <w:p>
            <w:pPr>
              <w:ind w:left="860"/>
              <w:spacing w:after="0"/>
              <w:rPr>
                <w:sz w:val="20"/>
                <w:szCs w:val="20"/>
                <w:color w:val="auto"/>
              </w:rPr>
            </w:pPr>
            <w:r>
              <w:rPr>
                <w:rFonts w:ascii="Arial" w:cs="Arial" w:eastAsia="Arial" w:hAnsi="Arial"/>
                <w:sz w:val="18"/>
                <w:szCs w:val="18"/>
                <w:color w:val="auto"/>
              </w:rPr>
              <w:t>By:</w:t>
            </w:r>
          </w:p>
        </w:tc>
        <w:tc>
          <w:tcPr>
            <w:tcW w:w="5580" w:type="dxa"/>
            <w:vAlign w:val="bottom"/>
            <w:tcBorders>
              <w:bottom w:val="single" w:sz="8" w:color="auto"/>
            </w:tcBorders>
            <w:gridSpan w:val="2"/>
          </w:tcPr>
          <w:p>
            <w:pPr>
              <w:spacing w:after="0"/>
              <w:rPr>
                <w:sz w:val="24"/>
                <w:szCs w:val="24"/>
                <w:color w:val="auto"/>
              </w:rPr>
            </w:pPr>
          </w:p>
        </w:tc>
      </w:tr>
      <w:tr>
        <w:trPr>
          <w:trHeight w:val="221"/>
        </w:trPr>
        <w:tc>
          <w:tcPr>
            <w:tcW w:w="4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60" w:type="dxa"/>
            <w:vAlign w:val="bottom"/>
            <w:gridSpan w:val="3"/>
          </w:tcPr>
          <w:p>
            <w:pPr>
              <w:ind w:left="280"/>
              <w:spacing w:after="0"/>
              <w:rPr>
                <w:sz w:val="20"/>
                <w:szCs w:val="20"/>
                <w:color w:val="auto"/>
              </w:rPr>
            </w:pPr>
            <w:r>
              <w:rPr>
                <w:rFonts w:ascii="Arial" w:cs="Arial" w:eastAsia="Arial" w:hAnsi="Arial"/>
                <w:sz w:val="18"/>
                <w:szCs w:val="18"/>
                <w:color w:val="auto"/>
              </w:rPr>
              <w:t>Name:</w:t>
            </w:r>
          </w:p>
        </w:tc>
      </w:tr>
      <w:tr>
        <w:trPr>
          <w:trHeight w:val="202"/>
        </w:trPr>
        <w:tc>
          <w:tcPr>
            <w:tcW w:w="4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Title:</w:t>
            </w:r>
          </w:p>
        </w:tc>
        <w:tc>
          <w:tcPr>
            <w:tcW w:w="4900" w:type="dxa"/>
            <w:vAlign w:val="bottom"/>
            <w:tcBorders>
              <w:top w:val="single" w:sz="8" w:color="auto"/>
            </w:tcBorders>
          </w:tcPr>
          <w:p>
            <w:pPr>
              <w:spacing w:after="0"/>
              <w:rPr>
                <w:sz w:val="17"/>
                <w:szCs w:val="17"/>
                <w:color w:val="auto"/>
              </w:rPr>
            </w:pPr>
          </w:p>
        </w:tc>
      </w:tr>
      <w:tr>
        <w:trPr>
          <w:trHeight w:val="36"/>
        </w:trPr>
        <w:tc>
          <w:tcPr>
            <w:tcW w:w="4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r>
      <w:tr>
        <w:trPr>
          <w:trHeight w:val="345"/>
        </w:trPr>
        <w:tc>
          <w:tcPr>
            <w:tcW w:w="4520" w:type="dxa"/>
            <w:vAlign w:val="bottom"/>
          </w:tcPr>
          <w:p>
            <w:pPr>
              <w:ind w:left="460"/>
              <w:spacing w:after="0"/>
              <w:rPr>
                <w:sz w:val="20"/>
                <w:szCs w:val="20"/>
                <w:color w:val="auto"/>
              </w:rPr>
            </w:pPr>
            <w:r>
              <w:rPr>
                <w:rFonts w:ascii="Arial" w:cs="Arial" w:eastAsia="Arial" w:hAnsi="Arial"/>
                <w:sz w:val="18"/>
                <w:szCs w:val="18"/>
                <w:color w:val="auto"/>
                <w:w w:val="88"/>
              </w:rPr>
              <w:t>The foregoing Award Agreement is accepted by me as of</w:t>
            </w:r>
          </w:p>
        </w:tc>
        <w:tc>
          <w:tcPr>
            <w:tcW w:w="1040" w:type="dxa"/>
            <w:vAlign w:val="bottom"/>
            <w:tcBorders>
              <w:bottom w:val="single" w:sz="8" w:color="auto"/>
            </w:tcBorders>
          </w:tcPr>
          <w:p>
            <w:pPr>
              <w:spacing w:after="0"/>
              <w:rPr>
                <w:sz w:val="24"/>
                <w:szCs w:val="24"/>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w w:val="88"/>
              </w:rPr>
              <w:t>, and I hereby agree to the terms, conditions, and restrictions set forth above and in</w:t>
            </w:r>
          </w:p>
        </w:tc>
      </w:tr>
      <w:tr>
        <w:trPr>
          <w:trHeight w:val="235"/>
        </w:trPr>
        <w:tc>
          <w:tcPr>
            <w:tcW w:w="4520" w:type="dxa"/>
            <w:vAlign w:val="bottom"/>
          </w:tcPr>
          <w:p>
            <w:pPr>
              <w:spacing w:after="0"/>
              <w:rPr>
                <w:sz w:val="20"/>
                <w:szCs w:val="20"/>
                <w:color w:val="auto"/>
              </w:rPr>
            </w:pPr>
            <w:r>
              <w:rPr>
                <w:rFonts w:ascii="Arial" w:cs="Arial" w:eastAsia="Arial" w:hAnsi="Arial"/>
                <w:sz w:val="18"/>
                <w:szCs w:val="18"/>
                <w:color w:val="auto"/>
              </w:rPr>
              <w:t>the Plan.</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335915</wp:posOffset>
            </wp:positionV>
            <wp:extent cx="36188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«Grantee»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28"/>
        </w:trPr>
        <w:tc>
          <w:tcPr>
            <w:tcW w:w="6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ind w:left="80"/>
              <w:spacing w:after="0"/>
              <w:rPr>
                <w:sz w:val="20"/>
                <w:szCs w:val="20"/>
                <w:color w:val="auto"/>
              </w:rPr>
            </w:pPr>
            <w:r>
              <w:rPr>
                <w:rFonts w:ascii="Arial" w:cs="Arial" w:eastAsia="Arial" w:hAnsi="Arial"/>
                <w:sz w:val="18"/>
                <w:szCs w:val="18"/>
                <w:b w:val="1"/>
                <w:bCs w:val="1"/>
                <w:color w:val="auto"/>
                <w:w w:val="89"/>
              </w:rPr>
              <w:t>Exhibit 10.13</w:t>
            </w:r>
          </w:p>
        </w:tc>
      </w:tr>
      <w:tr>
        <w:trPr>
          <w:trHeight w:val="366"/>
        </w:trPr>
        <w:tc>
          <w:tcPr>
            <w:tcW w:w="7900" w:type="dxa"/>
            <w:vAlign w:val="bottom"/>
            <w:gridSpan w:val="2"/>
          </w:tcPr>
          <w:p>
            <w:pPr>
              <w:ind w:left="4480"/>
              <w:spacing w:after="0"/>
              <w:rPr>
                <w:sz w:val="20"/>
                <w:szCs w:val="20"/>
                <w:color w:val="auto"/>
              </w:rPr>
            </w:pPr>
            <w:r>
              <w:rPr>
                <w:rFonts w:ascii="Arial" w:cs="Arial" w:eastAsia="Arial" w:hAnsi="Arial"/>
                <w:sz w:val="18"/>
                <w:szCs w:val="18"/>
                <w:b w:val="1"/>
                <w:bCs w:val="1"/>
                <w:color w:val="auto"/>
              </w:rPr>
              <w:t>MATRIX SERVICE COMPANY</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8"/>
        </w:trPr>
        <w:tc>
          <w:tcPr>
            <w:tcW w:w="7900" w:type="dxa"/>
            <w:vAlign w:val="bottom"/>
            <w:gridSpan w:val="2"/>
          </w:tcPr>
          <w:p>
            <w:pPr>
              <w:ind w:left="3920"/>
              <w:spacing w:after="0"/>
              <w:rPr>
                <w:sz w:val="20"/>
                <w:szCs w:val="20"/>
                <w:color w:val="auto"/>
              </w:rPr>
            </w:pPr>
            <w:r>
              <w:rPr>
                <w:rFonts w:ascii="Arial" w:cs="Arial" w:eastAsia="Arial" w:hAnsi="Arial"/>
                <w:sz w:val="18"/>
                <w:szCs w:val="18"/>
                <w:b w:val="1"/>
                <w:bCs w:val="1"/>
                <w:color w:val="auto"/>
              </w:rPr>
              <w:t>INCENTIVE STOCK OPTION AGREEMENT</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72"/>
        </w:trPr>
        <w:tc>
          <w:tcPr>
            <w:tcW w:w="7900" w:type="dxa"/>
            <w:vAlign w:val="bottom"/>
            <w:gridSpan w:val="2"/>
          </w:tcPr>
          <w:p>
            <w:pPr>
              <w:spacing w:after="0"/>
              <w:rPr>
                <w:sz w:val="20"/>
                <w:szCs w:val="20"/>
                <w:color w:val="auto"/>
              </w:rPr>
            </w:pPr>
            <w:r>
              <w:rPr>
                <w:rFonts w:ascii="Arial" w:cs="Arial" w:eastAsia="Arial" w:hAnsi="Arial"/>
                <w:sz w:val="18"/>
                <w:szCs w:val="18"/>
                <w:color w:val="auto"/>
              </w:rPr>
              <w:t>«Optionee»</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«Address1»</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«Address2»</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7900" w:type="dxa"/>
            <w:vAlign w:val="bottom"/>
            <w:gridSpan w:val="2"/>
          </w:tcPr>
          <w:p>
            <w:pPr>
              <w:spacing w:after="0"/>
              <w:rPr>
                <w:sz w:val="20"/>
                <w:szCs w:val="20"/>
                <w:color w:val="auto"/>
              </w:rPr>
            </w:pPr>
            <w:r>
              <w:rPr>
                <w:rFonts w:ascii="Arial" w:cs="Arial" w:eastAsia="Arial" w:hAnsi="Arial"/>
                <w:sz w:val="18"/>
                <w:szCs w:val="18"/>
                <w:color w:val="auto"/>
              </w:rPr>
              <w:t>«City», «State» «PostalCode»</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78"/>
        </w:trPr>
        <w:tc>
          <w:tcPr>
            <w:tcW w:w="7900" w:type="dxa"/>
            <w:vAlign w:val="bottom"/>
            <w:gridSpan w:val="2"/>
          </w:tcPr>
          <w:p>
            <w:pPr>
              <w:spacing w:after="0"/>
              <w:rPr>
                <w:sz w:val="20"/>
                <w:szCs w:val="20"/>
                <w:color w:val="auto"/>
              </w:rPr>
            </w:pPr>
            <w:r>
              <w:rPr>
                <w:rFonts w:ascii="Arial" w:cs="Arial" w:eastAsia="Arial" w:hAnsi="Arial"/>
                <w:sz w:val="18"/>
                <w:szCs w:val="18"/>
                <w:color w:val="auto"/>
              </w:rPr>
              <w:t>Dear «FirstName»:</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0"/>
        </w:trPr>
        <w:tc>
          <w:tcPr>
            <w:tcW w:w="8320" w:type="dxa"/>
            <w:vAlign w:val="bottom"/>
            <w:gridSpan w:val="3"/>
          </w:tcPr>
          <w:p>
            <w:pPr>
              <w:ind w:left="460"/>
              <w:spacing w:after="0"/>
              <w:rPr>
                <w:sz w:val="20"/>
                <w:szCs w:val="20"/>
                <w:color w:val="auto"/>
              </w:rPr>
            </w:pPr>
            <w:r>
              <w:rPr>
                <w:rFonts w:ascii="Arial" w:cs="Arial" w:eastAsia="Arial" w:hAnsi="Arial"/>
                <w:sz w:val="18"/>
                <w:szCs w:val="18"/>
                <w:color w:val="auto"/>
                <w:w w:val="89"/>
              </w:rPr>
              <w:t>This Incentive Stock Option Agreement (this “Award Agreement”), is made and entered into effective as of the</w:t>
            </w:r>
          </w:p>
        </w:tc>
        <w:tc>
          <w:tcPr>
            <w:tcW w:w="34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7"/>
              </w:rPr>
              <w:t>day of</w:t>
            </w:r>
          </w:p>
        </w:tc>
        <w:tc>
          <w:tcPr>
            <w:tcW w:w="2220" w:type="dxa"/>
            <w:vAlign w:val="bottom"/>
            <w:gridSpan w:val="4"/>
          </w:tcPr>
          <w:p>
            <w:pPr>
              <w:ind w:left="700"/>
              <w:spacing w:after="0"/>
              <w:rPr>
                <w:sz w:val="20"/>
                <w:szCs w:val="20"/>
                <w:color w:val="auto"/>
              </w:rPr>
            </w:pPr>
            <w:r>
              <w:rPr>
                <w:rFonts w:ascii="Arial" w:cs="Arial" w:eastAsia="Arial" w:hAnsi="Arial"/>
                <w:sz w:val="18"/>
                <w:szCs w:val="18"/>
                <w:color w:val="auto"/>
              </w:rPr>
              <w:t>, 201  (the “Grant</w:t>
            </w:r>
          </w:p>
        </w:tc>
      </w:tr>
      <w:tr>
        <w:trPr>
          <w:trHeight w:val="20"/>
        </w:trPr>
        <w:tc>
          <w:tcPr>
            <w:tcW w:w="6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6860" w:type="dxa"/>
            <w:vAlign w:val="bottom"/>
          </w:tcPr>
          <w:p>
            <w:pPr>
              <w:spacing w:after="0" w:line="196" w:lineRule="exact"/>
              <w:rPr>
                <w:sz w:val="20"/>
                <w:szCs w:val="20"/>
                <w:color w:val="auto"/>
              </w:rPr>
            </w:pPr>
            <w:r>
              <w:rPr>
                <w:rFonts w:ascii="Arial" w:cs="Arial" w:eastAsia="Arial" w:hAnsi="Arial"/>
                <w:sz w:val="18"/>
                <w:szCs w:val="18"/>
                <w:color w:val="auto"/>
                <w:w w:val="89"/>
              </w:rPr>
              <w:t>Date”), by and between Matrix Service Company, a Delaware corporation (the “Company”), and</w:t>
            </w:r>
          </w:p>
        </w:tc>
        <w:tc>
          <w:tcPr>
            <w:tcW w:w="1040" w:type="dxa"/>
            <w:vAlign w:val="bottom"/>
            <w:tcBorders>
              <w:bottom w:val="single" w:sz="8" w:color="auto"/>
            </w:tcBorders>
          </w:tcPr>
          <w:p>
            <w:pPr>
              <w:spacing w:after="0"/>
              <w:rPr>
                <w:sz w:val="17"/>
                <w:szCs w:val="17"/>
                <w:color w:val="auto"/>
              </w:rPr>
            </w:pPr>
          </w:p>
        </w:tc>
        <w:tc>
          <w:tcPr>
            <w:tcW w:w="3520" w:type="dxa"/>
            <w:vAlign w:val="bottom"/>
            <w:gridSpan w:val="7"/>
          </w:tcPr>
          <w:p>
            <w:pPr>
              <w:spacing w:after="0" w:line="196" w:lineRule="exact"/>
              <w:rPr>
                <w:sz w:val="20"/>
                <w:szCs w:val="20"/>
                <w:color w:val="auto"/>
              </w:rPr>
            </w:pPr>
            <w:r>
              <w:rPr>
                <w:rFonts w:ascii="Arial" w:cs="Arial" w:eastAsia="Arial" w:hAnsi="Arial"/>
                <w:sz w:val="18"/>
                <w:szCs w:val="18"/>
                <w:color w:val="auto"/>
                <w:w w:val="96"/>
              </w:rPr>
              <w:t>, an individual. You are a key employee of the</w:t>
            </w:r>
          </w:p>
        </w:tc>
      </w:tr>
    </w:tbl>
    <w:p>
      <w:pPr>
        <w:spacing w:after="0" w:line="1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Company or a “Subsidiary” (for this purpose, a “subsidiary corporation” as such term is defined in Section 424(f) of the Internal Revenue Code of 1986, as amended (the “Code”), and the Compensation Committee of the Board of Directors (the “Committee”), has granted you an option under the Plan which qualifies as an “incentive stock option” within the meaning of Section 422 of the Code.</w:t>
      </w:r>
    </w:p>
    <w:p>
      <w:pPr>
        <w:spacing w:after="0" w:line="134" w:lineRule="exact"/>
        <w:rPr>
          <w:sz w:val="20"/>
          <w:szCs w:val="20"/>
          <w:color w:val="auto"/>
        </w:rPr>
      </w:pPr>
    </w:p>
    <w:p>
      <w:pPr>
        <w:ind w:right="100" w:firstLine="464"/>
        <w:spacing w:after="0" w:line="293" w:lineRule="auto"/>
        <w:tabs>
          <w:tab w:leader="none" w:pos="632"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Award</w:t>
      </w:r>
      <w:r>
        <w:rPr>
          <w:rFonts w:ascii="Arial" w:cs="Arial" w:eastAsia="Arial" w:hAnsi="Arial"/>
          <w:sz w:val="16"/>
          <w:szCs w:val="16"/>
          <w:color w:val="auto"/>
        </w:rPr>
        <w:t>. The awards set forth in this Award Agreement are subject to your acceptance of and agreement to all of the applicable terms, conditions,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restrictions described in the 2004 Stock Incentive Plan of the Company, as amended and restated effective October 23, 2006, and as further amended by Amendments 1, 2 and 3 thereto (the “Plan”), a copy of which is on file with, and may be obtained from, the Secretary of the Company, and to your acceptance of and agreement to the further terms, conditions, and restrictions described in this Award Agreement. To the extent that any provision of this Award Agreement conflicts with the expressly applicable terms of the Plan, it is hereby acknowledged and agreed that those terms of the Plan shall control and, if necessary, the applicable provisions of this Award Agreement shall be hereby deemed amended so as to carry out the purpose and intent of the Plan.</w:t>
      </w:r>
    </w:p>
    <w:p>
      <w:pPr>
        <w:spacing w:after="0" w:line="110" w:lineRule="exact"/>
        <w:rPr>
          <w:rFonts w:ascii="Arial" w:cs="Arial" w:eastAsia="Arial" w:hAnsi="Arial"/>
          <w:sz w:val="16"/>
          <w:szCs w:val="16"/>
          <w:b w:val="1"/>
          <w:bCs w:val="1"/>
          <w:color w:val="auto"/>
        </w:rPr>
      </w:pPr>
    </w:p>
    <w:p>
      <w:pPr>
        <w:ind w:right="440" w:firstLine="464"/>
        <w:spacing w:after="0" w:line="275" w:lineRule="auto"/>
        <w:tabs>
          <w:tab w:leader="none" w:pos="632"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Grant of Option</w:t>
      </w:r>
      <w:r>
        <w:rPr>
          <w:rFonts w:ascii="Arial" w:cs="Arial" w:eastAsia="Arial" w:hAnsi="Arial"/>
          <w:sz w:val="18"/>
          <w:szCs w:val="18"/>
          <w:color w:val="auto"/>
        </w:rPr>
        <w:t>. The Company hereby grants to you the right and option (the “Option”) to purchase all or any part of an aggregate of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shares of Stock, on the terms and conditions set forth herein and in the Plan.</w:t>
      </w:r>
    </w:p>
    <w:p>
      <w:pPr>
        <w:spacing w:after="0" w:line="12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Option, if not previously exercised, shall expire and not be exercisable after the expiration of ten (10) years from the date of grant hereof, unless earlier terminated as provided below.</w:t>
      </w:r>
    </w:p>
    <w:p>
      <w:pPr>
        <w:spacing w:after="0" w:line="126" w:lineRule="exact"/>
        <w:rPr>
          <w:sz w:val="20"/>
          <w:szCs w:val="20"/>
          <w:color w:val="auto"/>
        </w:rPr>
      </w:pPr>
    </w:p>
    <w:p>
      <w:pPr>
        <w:ind w:right="200" w:firstLine="464"/>
        <w:spacing w:after="0" w:line="275" w:lineRule="auto"/>
        <w:tabs>
          <w:tab w:leader="none" w:pos="632" w:val="left"/>
        </w:tabs>
        <w:numPr>
          <w:ilvl w:val="1"/>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Purchase Price</w:t>
      </w:r>
      <w:r>
        <w:rPr>
          <w:rFonts w:ascii="Arial" w:cs="Arial" w:eastAsia="Arial" w:hAnsi="Arial"/>
          <w:sz w:val="18"/>
          <w:szCs w:val="18"/>
          <w:color w:val="auto"/>
        </w:rPr>
        <w:t>. The purchase price of Stock purchased upon exercise of the Option shall be [Purchase Price] per share, which has been determined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not less than the Fair Market Value (as defined in the Plan) on the Grant Date.</w:t>
      </w:r>
    </w:p>
    <w:p>
      <w:pPr>
        <w:spacing w:after="0" w:line="119" w:lineRule="exact"/>
        <w:rPr>
          <w:rFonts w:ascii="Arial" w:cs="Arial" w:eastAsia="Arial" w:hAnsi="Arial"/>
          <w:sz w:val="18"/>
          <w:szCs w:val="18"/>
          <w:b w:val="1"/>
          <w:bCs w:val="1"/>
          <w:color w:val="auto"/>
        </w:rPr>
      </w:pPr>
    </w:p>
    <w:p>
      <w:pPr>
        <w:ind w:right="60" w:firstLine="464"/>
        <w:spacing w:after="0" w:line="285" w:lineRule="auto"/>
        <w:tabs>
          <w:tab w:leader="none" w:pos="632" w:val="left"/>
        </w:tabs>
        <w:numPr>
          <w:ilvl w:val="1"/>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Exercise of Option</w:t>
      </w:r>
      <w:r>
        <w:rPr>
          <w:rFonts w:ascii="Arial" w:cs="Arial" w:eastAsia="Arial" w:hAnsi="Arial"/>
          <w:sz w:val="16"/>
          <w:szCs w:val="16"/>
          <w:color w:val="auto"/>
        </w:rPr>
        <w:t>. Subject to the earlier expiration of the Option as herein provided and subject to the terms and conditions contained herein,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 may be exercised, in whole or in part, by written notice (which complies in all respects with the provisions of this Award Agreement) to the Company at its principal executive office addressed to the attention of the [Secretary] of the Company, at any time and from time to time on and after the Grant Date, such exercise to be effective at the time of receipt of such written notice at the Company’s principal executive office during normal business hours; provided, however,</w:t>
      </w:r>
    </w:p>
    <w:p>
      <w:pPr>
        <w:spacing w:after="0" w:line="2" w:lineRule="exact"/>
        <w:rPr>
          <w:rFonts w:ascii="Arial" w:cs="Arial" w:eastAsia="Arial" w:hAnsi="Arial"/>
          <w:sz w:val="16"/>
          <w:szCs w:val="16"/>
          <w:b w:val="1"/>
          <w:bCs w:val="1"/>
          <w:color w:val="auto"/>
        </w:rPr>
      </w:pPr>
    </w:p>
    <w:p>
      <w:pPr>
        <w:ind w:firstLine="8"/>
        <w:spacing w:after="0" w:line="292" w:lineRule="auto"/>
        <w:tabs>
          <w:tab w:leader="none" w:pos="21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any exercise of the Option must be for a minimum of 100 shares of Stock unless the number purchased is the total number purchasable under the Option at that time, (ii) the Option shall only be exercisable in accordance with, and to the extent set forth, in the attached vesting schedule and (iii) the Option may be exercised only so long as you remain, on or after the Grant Date, continuously in the employ of the Company or any of its Subsidiaries, except as otherwise provided in this Award Agreement. The Option shall not be exercisable with respect to fractions of a share. No exercise or failure to exercise as to a portion of the shares shall preclude a later exercise or exercises as to additional portions.</w:t>
      </w:r>
    </w:p>
    <w:p>
      <w:pPr>
        <w:sectPr>
          <w:pgSz w:w="11900" w:h="16838" w:orient="portrait"/>
          <w:cols w:equalWidth="0" w:num="1">
            <w:col w:w="11420"/>
          </w:cols>
          <w:pgMar w:left="240" w:top="125" w:right="239" w:bottom="1440" w:gutter="0" w:footer="0" w:header="0"/>
        </w:sectPr>
      </w:pPr>
    </w:p>
    <w:bookmarkStart w:id="76" w:name="page77"/>
    <w:bookmarkEnd w:id="76"/>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Neither you nor any of your heirs, legal representatives or beneficiaries shall be deemed to have any rights as a stockholder of the Company with respect to any shares covered by the Option until the date of the issuance by the Company of a certificate or evidence of book entry registration for such shares. You (or the person permitted to exercise the Option in the event of your death) shall be and have all of the rights and privileges of a stockholder of the Company with respect to shares acquired upon exercise of the Option, effective upon the date of the issuance by the Company of a certificate or evidence of book entry registration for such shares.</w:t>
      </w:r>
    </w:p>
    <w:p>
      <w:pPr>
        <w:spacing w:after="0" w:line="137" w:lineRule="exact"/>
        <w:rPr>
          <w:sz w:val="20"/>
          <w:szCs w:val="20"/>
          <w:color w:val="auto"/>
        </w:rPr>
      </w:pPr>
    </w:p>
    <w:p>
      <w:pPr>
        <w:ind w:right="160" w:firstLine="464"/>
        <w:spacing w:after="0" w:line="326" w:lineRule="auto"/>
        <w:tabs>
          <w:tab w:leader="none" w:pos="632" w:val="left"/>
        </w:tabs>
        <w:numPr>
          <w:ilvl w:val="0"/>
          <w:numId w:val="58"/>
        </w:numPr>
        <w:rPr>
          <w:rFonts w:ascii="Arial" w:cs="Arial" w:eastAsia="Arial" w:hAnsi="Arial"/>
          <w:sz w:val="15"/>
          <w:szCs w:val="15"/>
          <w:b w:val="1"/>
          <w:bCs w:val="1"/>
          <w:color w:val="auto"/>
        </w:rPr>
      </w:pPr>
      <w:r>
        <w:rPr>
          <w:rFonts w:ascii="Arial" w:cs="Arial" w:eastAsia="Arial" w:hAnsi="Arial"/>
          <w:sz w:val="15"/>
          <w:szCs w:val="15"/>
          <w:b w:val="1"/>
          <w:bCs w:val="1"/>
          <w:color w:val="auto"/>
        </w:rPr>
        <w:t>Payment of Exercise Price</w:t>
      </w:r>
      <w:r>
        <w:rPr>
          <w:rFonts w:ascii="Arial" w:cs="Arial" w:eastAsia="Arial" w:hAnsi="Arial"/>
          <w:sz w:val="15"/>
          <w:szCs w:val="15"/>
          <w:color w:val="auto"/>
        </w:rPr>
        <w:t>. The purchase price of shares as to which the Option is exercised shall be paid in full at the time of exercise (a) in cash (or</w:t>
      </w:r>
      <w:r>
        <w:rPr>
          <w:rFonts w:ascii="Arial" w:cs="Arial" w:eastAsia="Arial" w:hAnsi="Arial"/>
          <w:sz w:val="15"/>
          <w:szCs w:val="15"/>
          <w:b w:val="1"/>
          <w:bCs w:val="1"/>
          <w:color w:val="auto"/>
        </w:rPr>
        <w:t xml:space="preserve"> </w:t>
      </w:r>
      <w:r>
        <w:rPr>
          <w:rFonts w:ascii="Arial" w:cs="Arial" w:eastAsia="Arial" w:hAnsi="Arial"/>
          <w:sz w:val="15"/>
          <w:szCs w:val="15"/>
          <w:color w:val="auto"/>
        </w:rPr>
        <w:t>certified or bank cashier’s check payable to the order of the Company); (b) by delivery of shares of common stock of the Company then owned by you (such shares being valued at their Fair Market Value at the time of such exercise); (c) by a combination of such methods; or (d) by other means that the Committee deems appropriate; plus, in each case, any applicable withholding tax thereon, whereupon certificates or evidence of book entry shares will be delivered to you.</w:t>
      </w:r>
    </w:p>
    <w:p>
      <w:pPr>
        <w:spacing w:after="0" w:line="89" w:lineRule="exact"/>
        <w:rPr>
          <w:rFonts w:ascii="Arial" w:cs="Arial" w:eastAsia="Arial" w:hAnsi="Arial"/>
          <w:sz w:val="15"/>
          <w:szCs w:val="15"/>
          <w:b w:val="1"/>
          <w:bCs w:val="1"/>
          <w:color w:val="auto"/>
        </w:rPr>
      </w:pPr>
    </w:p>
    <w:p>
      <w:pPr>
        <w:ind w:right="20" w:firstLine="464"/>
        <w:spacing w:after="0" w:line="310" w:lineRule="auto"/>
        <w:tabs>
          <w:tab w:leader="none" w:pos="632"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Non-Transferability. </w:t>
      </w:r>
      <w:r>
        <w:rPr>
          <w:rFonts w:ascii="Arial" w:cs="Arial" w:eastAsia="Arial" w:hAnsi="Arial"/>
          <w:sz w:val="16"/>
          <w:szCs w:val="16"/>
          <w:color w:val="auto"/>
        </w:rPr>
        <w:t>The Option (including the rights hereunder) may not be sold, transferred, pledged, assigned, encumbered or otherwise alienated or</w:t>
      </w:r>
      <w:r>
        <w:rPr>
          <w:rFonts w:ascii="Arial" w:cs="Arial" w:eastAsia="Arial" w:hAnsi="Arial"/>
          <w:sz w:val="16"/>
          <w:szCs w:val="16"/>
          <w:b w:val="1"/>
          <w:bCs w:val="1"/>
          <w:color w:val="auto"/>
        </w:rPr>
        <w:t xml:space="preserve"> </w:t>
      </w:r>
      <w:r>
        <w:rPr>
          <w:rFonts w:ascii="Arial" w:cs="Arial" w:eastAsia="Arial" w:hAnsi="Arial"/>
          <w:sz w:val="16"/>
          <w:szCs w:val="16"/>
          <w:color w:val="auto"/>
        </w:rPr>
        <w:t>hypothecated, other than by will or the laws of descent and distribution. If you or anyone claiming under or through you attempts to violate this Section 6, such attempted violation shall be null and void and without effect, and all of the Company’s obligations hereunder shall terminate.</w:t>
      </w:r>
    </w:p>
    <w:p>
      <w:pPr>
        <w:spacing w:after="0" w:line="97" w:lineRule="exact"/>
        <w:rPr>
          <w:rFonts w:ascii="Arial" w:cs="Arial" w:eastAsia="Arial" w:hAnsi="Arial"/>
          <w:sz w:val="16"/>
          <w:szCs w:val="16"/>
          <w:b w:val="1"/>
          <w:bCs w:val="1"/>
          <w:color w:val="auto"/>
        </w:rPr>
      </w:pPr>
    </w:p>
    <w:p>
      <w:pPr>
        <w:ind w:right="40" w:firstLine="464"/>
        <w:spacing w:after="0" w:line="290" w:lineRule="auto"/>
        <w:tabs>
          <w:tab w:leader="none" w:pos="632"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 of Employment</w:t>
      </w:r>
      <w:r>
        <w:rPr>
          <w:rFonts w:ascii="Arial" w:cs="Arial" w:eastAsia="Arial" w:hAnsi="Arial"/>
          <w:sz w:val="16"/>
          <w:szCs w:val="16"/>
          <w:color w:val="auto"/>
        </w:rPr>
        <w:t>. In the event your employment with the Company or any of its Subsidiaries terminates for any reason other than death or</w:t>
      </w:r>
      <w:r>
        <w:rPr>
          <w:rFonts w:ascii="Arial" w:cs="Arial" w:eastAsia="Arial" w:hAnsi="Arial"/>
          <w:sz w:val="16"/>
          <w:szCs w:val="16"/>
          <w:b w:val="1"/>
          <w:bCs w:val="1"/>
          <w:color w:val="auto"/>
        </w:rPr>
        <w:t xml:space="preserve"> </w:t>
      </w:r>
      <w:r>
        <w:rPr>
          <w:rFonts w:ascii="Arial" w:cs="Arial" w:eastAsia="Arial" w:hAnsi="Arial"/>
          <w:sz w:val="16"/>
          <w:szCs w:val="16"/>
          <w:color w:val="auto"/>
        </w:rPr>
        <w:t>Disability (as defined in the Plan), the Option may be exercised by you to the full extent that you were entitled to exercise the Option on the day immediately prior to such termination at any time within the three-month period commencing on the day of such termination (but not beyond 10 years from the Grant Date). The Option, to the extent not exercised during such period, shall terminate. In the event that your employment with the Company or any of its Subsidiaries shall terminate due to your death or Disability (each of such two events being an “Acceleration Termination”), all of the remaining shares then subject to the Option held by you shall immediately vest in full and the Option as so accelerated may be exercised by you (or your estate, beneficiary, guardian or legal representative) at any time prior to the earlier of (i) the one-year anniversary of the day of such Acceleration Termination or (ii) 10 years from the Grant Date. The Option, to the extent not exercised during such period, shall terminate upon the expiration of such period.</w:t>
      </w:r>
    </w:p>
    <w:p>
      <w:pPr>
        <w:spacing w:after="0" w:line="118"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Committee shall determine whether, for purposes of the Plan, any termination of employment is due to Disability. The Committee shall determine whether an authorized leave of absence on military or government service or for other reasons shall constitute a termination of employment.</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Committee may, in its discretion, (i) accelerate the exercisability of all or part of an Option that is not otherwise exercisable or (ii) provide that an Option shall remain outstanding and be exercisable following termination of employment on such other terms and conditions as the Committee shall approve, but not beyond 10 years from the Grant Date.</w:t>
      </w:r>
    </w:p>
    <w:p>
      <w:pPr>
        <w:spacing w:after="0" w:line="134" w:lineRule="exact"/>
        <w:rPr>
          <w:sz w:val="20"/>
          <w:szCs w:val="20"/>
          <w:color w:val="auto"/>
        </w:rPr>
      </w:pPr>
    </w:p>
    <w:p>
      <w:pPr>
        <w:ind w:right="60" w:firstLine="464"/>
        <w:spacing w:after="0" w:line="291" w:lineRule="auto"/>
        <w:tabs>
          <w:tab w:leader="none" w:pos="632"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Incentive Stock Option. </w:t>
      </w:r>
      <w:r>
        <w:rPr>
          <w:rFonts w:ascii="Arial" w:cs="Arial" w:eastAsia="Arial" w:hAnsi="Arial"/>
          <w:sz w:val="16"/>
          <w:szCs w:val="16"/>
          <w:color w:val="auto"/>
        </w:rPr>
        <w:t>The Option is intended to qualify as an “incentive stock option,” as such term is defined at Section 422 of the Code, and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construed in accordance with such intent, and any provision of this Award Agreement which may be inconsistent with such intent is deemed to be modified to the extent necessary to be consistent with such intent; provided, however, you acknowledge and understand that the status of the Option as an “incentive stock option” depends on various factors relating to the Plan, the Option and the grant thereof (including the exercise price of the Option), and that the Option may be determined not to qualify as an “incentive stock option.” In addition, certain decisions, amendments, interpretations and actions of the Committee, including without limitation any extension of the period in which the Option may be exercised under Section 7 hereof, may cause the Option to cease to qualify as an incentive stock option pursuant to the Code and, by accepting the Option, you agree in advance to such disqualifying action.</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77" w:name="page78"/>
    <w:bookmarkEnd w:id="77"/>
    <w:p>
      <w:pPr>
        <w:ind w:left="-40" w:right="240" w:firstLine="464"/>
        <w:spacing w:after="0" w:line="275" w:lineRule="auto"/>
        <w:tabs>
          <w:tab w:leader="none" w:pos="592"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Change in Control. </w:t>
      </w:r>
      <w:r>
        <w:rPr>
          <w:rFonts w:ascii="Arial" w:cs="Arial" w:eastAsia="Arial" w:hAnsi="Arial"/>
          <w:sz w:val="18"/>
          <w:szCs w:val="18"/>
          <w:color w:val="auto"/>
        </w:rPr>
        <w:t>Notwithstanding the vesting provisions contained in the attached schedule, in the event of a Change in Control (as defined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Option shall become immediately and fully exercisable in the manner provided in Section 4 hereof.</w:t>
      </w:r>
    </w:p>
    <w:p>
      <w:pPr>
        <w:spacing w:after="0" w:line="119" w:lineRule="exact"/>
        <w:rPr>
          <w:rFonts w:ascii="Arial" w:cs="Arial" w:eastAsia="Arial" w:hAnsi="Arial"/>
          <w:sz w:val="18"/>
          <w:szCs w:val="18"/>
          <w:b w:val="1"/>
          <w:bCs w:val="1"/>
          <w:color w:val="auto"/>
        </w:rPr>
      </w:pPr>
    </w:p>
    <w:p>
      <w:pPr>
        <w:ind w:left="-40" w:right="40" w:firstLine="464"/>
        <w:spacing w:after="0" w:line="339" w:lineRule="auto"/>
        <w:tabs>
          <w:tab w:leader="none" w:pos="680" w:val="left"/>
        </w:tabs>
        <w:numPr>
          <w:ilvl w:val="0"/>
          <w:numId w:val="60"/>
        </w:numPr>
        <w:rPr>
          <w:rFonts w:ascii="Arial" w:cs="Arial" w:eastAsia="Arial" w:hAnsi="Arial"/>
          <w:sz w:val="15"/>
          <w:szCs w:val="15"/>
          <w:b w:val="1"/>
          <w:bCs w:val="1"/>
          <w:color w:val="auto"/>
        </w:rPr>
      </w:pPr>
      <w:r>
        <w:rPr>
          <w:rFonts w:ascii="Arial" w:cs="Arial" w:eastAsia="Arial" w:hAnsi="Arial"/>
          <w:sz w:val="15"/>
          <w:szCs w:val="15"/>
          <w:b w:val="1"/>
          <w:bCs w:val="1"/>
          <w:color w:val="auto"/>
        </w:rPr>
        <w:t>Withholding of Tax</w:t>
      </w:r>
      <w:r>
        <w:rPr>
          <w:rFonts w:ascii="Arial" w:cs="Arial" w:eastAsia="Arial" w:hAnsi="Arial"/>
          <w:sz w:val="15"/>
          <w:szCs w:val="15"/>
          <w:color w:val="auto"/>
        </w:rPr>
        <w:t>. To the extent that the exercise of the Option is a taxable event with respect to which the Company has a duty to withhold taxes</w:t>
      </w:r>
      <w:r>
        <w:rPr>
          <w:rFonts w:ascii="Arial" w:cs="Arial" w:eastAsia="Arial" w:hAnsi="Arial"/>
          <w:sz w:val="15"/>
          <w:szCs w:val="15"/>
          <w:b w:val="1"/>
          <w:bCs w:val="1"/>
          <w:color w:val="auto"/>
        </w:rPr>
        <w:t xml:space="preserve"> </w:t>
      </w:r>
      <w:r>
        <w:rPr>
          <w:rFonts w:ascii="Arial" w:cs="Arial" w:eastAsia="Arial" w:hAnsi="Arial"/>
          <w:sz w:val="15"/>
          <w:szCs w:val="15"/>
          <w:color w:val="auto"/>
        </w:rPr>
        <w:t>under applicable federal, state, local or other laws, the Company is authorized to withhold from any cash remuneration then or thereafter payable to you any tax required to be withheld by reason of such exercise or otherwise refuse to issue or transfer any shares otherwise required to be issued pursuant to the terms hereof.</w:t>
      </w:r>
    </w:p>
    <w:p>
      <w:pPr>
        <w:spacing w:after="0" w:line="79" w:lineRule="exact"/>
        <w:rPr>
          <w:rFonts w:ascii="Arial" w:cs="Arial" w:eastAsia="Arial" w:hAnsi="Arial"/>
          <w:sz w:val="15"/>
          <w:szCs w:val="15"/>
          <w:b w:val="1"/>
          <w:bCs w:val="1"/>
          <w:color w:val="auto"/>
        </w:rPr>
      </w:pPr>
    </w:p>
    <w:p>
      <w:pPr>
        <w:ind w:left="-40" w:firstLine="464"/>
        <w:spacing w:after="0" w:line="313" w:lineRule="auto"/>
        <w:tabs>
          <w:tab w:leader="none" w:pos="670" w:val="left"/>
        </w:tabs>
        <w:numPr>
          <w:ilvl w:val="0"/>
          <w:numId w:val="60"/>
        </w:numPr>
        <w:rPr>
          <w:rFonts w:ascii="Arial" w:cs="Arial" w:eastAsia="Arial" w:hAnsi="Arial"/>
          <w:sz w:val="15"/>
          <w:szCs w:val="15"/>
          <w:b w:val="1"/>
          <w:bCs w:val="1"/>
          <w:color w:val="auto"/>
        </w:rPr>
      </w:pPr>
      <w:r>
        <w:rPr>
          <w:rFonts w:ascii="Arial" w:cs="Arial" w:eastAsia="Arial" w:hAnsi="Arial"/>
          <w:sz w:val="15"/>
          <w:szCs w:val="15"/>
          <w:b w:val="1"/>
          <w:bCs w:val="1"/>
          <w:color w:val="auto"/>
        </w:rPr>
        <w:t>Investment Representation</w:t>
      </w:r>
      <w:r>
        <w:rPr>
          <w:rFonts w:ascii="Arial" w:cs="Arial" w:eastAsia="Arial" w:hAnsi="Arial"/>
          <w:sz w:val="15"/>
          <w:szCs w:val="15"/>
          <w:color w:val="auto"/>
        </w:rPr>
        <w:t>. You represent to the Company and agree that if you exercise the Option, in whole or in part, at a time when there is not in</w:t>
      </w:r>
      <w:r>
        <w:rPr>
          <w:rFonts w:ascii="Arial" w:cs="Arial" w:eastAsia="Arial" w:hAnsi="Arial"/>
          <w:sz w:val="15"/>
          <w:szCs w:val="15"/>
          <w:b w:val="1"/>
          <w:bCs w:val="1"/>
          <w:color w:val="auto"/>
        </w:rPr>
        <w:t xml:space="preserve"> </w:t>
      </w:r>
      <w:r>
        <w:rPr>
          <w:rFonts w:ascii="Arial" w:cs="Arial" w:eastAsia="Arial" w:hAnsi="Arial"/>
          <w:sz w:val="15"/>
          <w:szCs w:val="15"/>
          <w:color w:val="auto"/>
        </w:rPr>
        <w:t>effect under the U.S. Securities Act of 1933, as amended, a registration statement relating to the shares issuable upon exercise hereof and available for delivery a prospectus meeting the requirements of Section 10 of said Act, you will acquire such shares upon such exercise for the purpose of investment and not with a view to their resale or distribution and that, upon each such exercise of the Option, you will furnish to the Company a written statement to such effect, satisfactory to the Company in form and substance. Such written agreement shall also state that such shares shall not be transferred except pursuant to an effective registration statement under said Act or in accordance with an exemption from registration thereunder. If certificates are provided for shares issued hereunder, they shall bear the following legend if a registration statement relating to the shares issuable upon exercise hereof is not in effect at the time of exercise of the Option:</w:t>
      </w:r>
    </w:p>
    <w:p>
      <w:pPr>
        <w:spacing w:after="0" w:line="25" w:lineRule="exact"/>
        <w:rPr>
          <w:sz w:val="20"/>
          <w:szCs w:val="20"/>
          <w:color w:val="auto"/>
        </w:rPr>
      </w:pPr>
    </w:p>
    <w:p>
      <w:pPr>
        <w:ind w:left="420"/>
        <w:spacing w:after="0" w:line="298" w:lineRule="auto"/>
        <w:rPr>
          <w:sz w:val="20"/>
          <w:szCs w:val="20"/>
          <w:color w:val="auto"/>
        </w:rPr>
      </w:pPr>
      <w:r>
        <w:rPr>
          <w:rFonts w:ascii="Arial" w:cs="Arial" w:eastAsia="Arial" w:hAnsi="Arial"/>
          <w:sz w:val="16"/>
          <w:szCs w:val="16"/>
          <w:color w:val="auto"/>
        </w:rPr>
        <w:t>The securities evidenced by this certificate have not been registered under the U.S. Securities Act of 1933 or any other securities laws. These securities have been acquired for investment and may not be sold or transferred for value in the absence of an effective registration of them under the U.S. Securities Act of 1933 and any other applicable securities laws, or receipt by the Company of an opinion of counsel or other evidence acceptable to the Company that such sale or transfer is exempt from registration under such acts and laws.</w:t>
      </w:r>
    </w:p>
    <w:p>
      <w:pPr>
        <w:spacing w:after="0" w:line="107" w:lineRule="exact"/>
        <w:rPr>
          <w:sz w:val="20"/>
          <w:szCs w:val="20"/>
          <w:color w:val="auto"/>
        </w:rPr>
      </w:pPr>
    </w:p>
    <w:p>
      <w:pPr>
        <w:ind w:left="-40" w:right="40" w:firstLine="464"/>
        <w:spacing w:after="0" w:line="293" w:lineRule="auto"/>
        <w:tabs>
          <w:tab w:leader="none" w:pos="680"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Employment Relationship</w:t>
      </w:r>
      <w:r>
        <w:rPr>
          <w:rFonts w:ascii="Arial" w:cs="Arial" w:eastAsia="Arial" w:hAnsi="Arial"/>
          <w:sz w:val="16"/>
          <w:szCs w:val="16"/>
          <w:color w:val="auto"/>
        </w:rPr>
        <w:t>. For purposes of this Award Agreement, you shall be considered to be in the employment of the Company as long as you</w:t>
      </w:r>
      <w:r>
        <w:rPr>
          <w:rFonts w:ascii="Arial" w:cs="Arial" w:eastAsia="Arial" w:hAnsi="Arial"/>
          <w:sz w:val="16"/>
          <w:szCs w:val="16"/>
          <w:b w:val="1"/>
          <w:bCs w:val="1"/>
          <w:color w:val="auto"/>
        </w:rPr>
        <w:t xml:space="preserve"> </w:t>
      </w:r>
      <w:r>
        <w:rPr>
          <w:rFonts w:ascii="Arial" w:cs="Arial" w:eastAsia="Arial" w:hAnsi="Arial"/>
          <w:sz w:val="16"/>
          <w:szCs w:val="16"/>
          <w:color w:val="auto"/>
        </w:rPr>
        <w:t>remain an employee of either the Company, a parent or subsidiary corporation (as defined in section 424 of the Code) of the Company, or a corporation or a parent or subsidiary of such corporation. Any question as to whether and when there has been a termination of such employment, for purposes of this Award Agreement, and the cause of such termination, for purposes of this Award Agreement, shall be determined by the Committee, and its determination shall be final. Nothing herein shall give you any right to continued employment or affect in any manner the right of the Company or any subsidiary or parent corporation to terminate your employment at any time with or without cause.</w:t>
      </w:r>
    </w:p>
    <w:p>
      <w:pPr>
        <w:spacing w:after="0" w:line="110" w:lineRule="exact"/>
        <w:rPr>
          <w:rFonts w:ascii="Arial" w:cs="Arial" w:eastAsia="Arial" w:hAnsi="Arial"/>
          <w:sz w:val="16"/>
          <w:szCs w:val="16"/>
          <w:b w:val="1"/>
          <w:bCs w:val="1"/>
          <w:color w:val="auto"/>
        </w:rPr>
      </w:pPr>
    </w:p>
    <w:p>
      <w:pPr>
        <w:ind w:left="-40" w:right="80" w:firstLine="464"/>
        <w:spacing w:after="0" w:line="289" w:lineRule="auto"/>
        <w:tabs>
          <w:tab w:leader="none" w:pos="680"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Binding Effect</w:t>
      </w:r>
      <w:r>
        <w:rPr>
          <w:rFonts w:ascii="Arial" w:cs="Arial" w:eastAsia="Arial" w:hAnsi="Arial"/>
          <w:sz w:val="16"/>
          <w:szCs w:val="16"/>
          <w:color w:val="auto"/>
        </w:rPr>
        <w:t>. This Award Agreement shall be binding upon and inure to the benefit of any successors to the Company and all persons lawfully</w:t>
      </w:r>
      <w:r>
        <w:rPr>
          <w:rFonts w:ascii="Arial" w:cs="Arial" w:eastAsia="Arial" w:hAnsi="Arial"/>
          <w:sz w:val="16"/>
          <w:szCs w:val="16"/>
          <w:b w:val="1"/>
          <w:bCs w:val="1"/>
          <w:color w:val="auto"/>
        </w:rPr>
        <w:t xml:space="preserve"> </w:t>
      </w:r>
      <w:r>
        <w:rPr>
          <w:rFonts w:ascii="Arial" w:cs="Arial" w:eastAsia="Arial" w:hAnsi="Arial"/>
          <w:sz w:val="16"/>
          <w:szCs w:val="16"/>
          <w:color w:val="auto"/>
        </w:rPr>
        <w:t>claiming under you. This Award Agreement and all actions taken shall be governed by and construed in accordance with the laws of the State of Delaware. The Committee shall have authority to construe the terms of this Award Agreement, and the Committee’s determinations shall be final and binding on you and the Company. This Award Agreement shall be subject to the terms and conditions of the Plan as presently constituted and as may be amended hereafter from time to time, including the discretion therein provided to the Committee. Except as may be otherwise provided by the Plan, amendments to the Plan shall constitute amendments to this Award Agreement and shall be incorporated herein without the execution of any amendment or supplement hereto by the parties. The parties further agree to any amendment of this Award Agreement, without the execution of any amendment or supplement, upon notice from the Company to Employee that the terms and conditions of this Award Agreement shall be amended to conform to any formal guidelines published by the Secretary of the Treasury of the United States or his or her delegate prescribing the requirements for “incentive stock options.”</w:t>
      </w:r>
    </w:p>
    <w:p>
      <w:pPr>
        <w:spacing w:after="0" w:line="112" w:lineRule="exact"/>
        <w:rPr>
          <w:rFonts w:ascii="Arial" w:cs="Arial" w:eastAsia="Arial" w:hAnsi="Arial"/>
          <w:sz w:val="16"/>
          <w:szCs w:val="16"/>
          <w:b w:val="1"/>
          <w:bCs w:val="1"/>
          <w:color w:val="auto"/>
        </w:rPr>
      </w:pPr>
    </w:p>
    <w:p>
      <w:pPr>
        <w:ind w:left="680" w:hanging="256"/>
        <w:spacing w:after="0"/>
        <w:tabs>
          <w:tab w:leader="none" w:pos="6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 and Clawback.</w:t>
      </w:r>
    </w:p>
    <w:p>
      <w:pPr>
        <w:spacing w:after="0" w:line="96" w:lineRule="exact"/>
        <w:rPr>
          <w:rFonts w:ascii="Arial" w:cs="Arial" w:eastAsia="Arial" w:hAnsi="Arial"/>
          <w:sz w:val="18"/>
          <w:szCs w:val="18"/>
          <w:b w:val="1"/>
          <w:bCs w:val="1"/>
          <w:color w:val="auto"/>
        </w:rPr>
      </w:pPr>
    </w:p>
    <w:p>
      <w:pPr>
        <w:ind w:left="420" w:right="160" w:firstLine="443"/>
        <w:spacing w:after="0" w:line="268" w:lineRule="auto"/>
        <w:tabs>
          <w:tab w:leader="none" w:pos="1097" w:val="left"/>
        </w:tabs>
        <w:numPr>
          <w:ilvl w:val="1"/>
          <w:numId w:val="61"/>
        </w:numPr>
        <w:rPr>
          <w:rFonts w:ascii="Arial" w:cs="Arial" w:eastAsia="Arial" w:hAnsi="Arial"/>
          <w:sz w:val="18"/>
          <w:szCs w:val="18"/>
          <w:color w:val="auto"/>
        </w:rPr>
      </w:pPr>
      <w:r>
        <w:rPr>
          <w:rFonts w:ascii="Arial" w:cs="Arial" w:eastAsia="Arial" w:hAnsi="Arial"/>
          <w:sz w:val="18"/>
          <w:szCs w:val="18"/>
          <w:color w:val="auto"/>
        </w:rPr>
        <w:t>You agree that in the event you violate the confidentiality, non-competition, non-solicitation or non-disparagement provisions of any agreement between you and the Company or any Subsidiary, or 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74" w:right="279" w:bottom="1440" w:gutter="0" w:footer="0" w:header="0"/>
        </w:sectPr>
      </w:pPr>
    </w:p>
    <w:bookmarkStart w:id="78" w:name="page79"/>
    <w:bookmarkEnd w:id="78"/>
    <w:p>
      <w:pPr>
        <w:ind w:left="460" w:right="3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plan of the Company or any Subsidiary in which you participate, you will forfeit in its entirety any remaining portion of the Option which has not previously been exercised under Section 3, irrespective of whether the remaining portion of the Option is currently exercisable in whole or in part at the time when it is forfeited, and all of your rights thereto shall terminate without any payment of consideration by the Company.</w:t>
      </w:r>
    </w:p>
    <w:p>
      <w:pPr>
        <w:spacing w:after="0" w:line="107" w:lineRule="exact"/>
        <w:rPr>
          <w:sz w:val="20"/>
          <w:szCs w:val="20"/>
          <w:color w:val="auto"/>
        </w:rPr>
      </w:pPr>
    </w:p>
    <w:p>
      <w:pPr>
        <w:ind w:left="460" w:right="20" w:firstLine="443"/>
        <w:spacing w:after="0" w:line="291" w:lineRule="auto"/>
        <w:tabs>
          <w:tab w:leader="none" w:pos="1147" w:val="left"/>
        </w:tabs>
        <w:numPr>
          <w:ilvl w:val="0"/>
          <w:numId w:val="62"/>
        </w:numPr>
        <w:rPr>
          <w:rFonts w:ascii="Arial" w:cs="Arial" w:eastAsia="Arial" w:hAnsi="Arial"/>
          <w:sz w:val="16"/>
          <w:szCs w:val="16"/>
          <w:color w:val="auto"/>
        </w:rPr>
      </w:pPr>
      <w:r>
        <w:rPr>
          <w:rFonts w:ascii="Arial" w:cs="Arial" w:eastAsia="Arial" w:hAnsi="Arial"/>
          <w:sz w:val="16"/>
          <w:szCs w:val="16"/>
          <w:color w:val="auto"/>
        </w:rPr>
        <w:t>Notwithstanding any other provision of the Plan or this Award Agreement to the contrary, you acknowledge that any incentive-based compensation paid to you hereunder may be subject to recovery by the Company under any clawback policy which the Company may adopt from time to time, including without limitation the Company’s existing policy and any policy which the Company may be required to adopt under Section 954 of the Dodd-Frank Wall Street Reform and Consumer Protection Act and the rules and regulations of the U.S. Securities and Exchange Commission thereunder or the requirements of any national securities exchange on which the Company’s common stock may be listed. You agree to promptly return any such incentive-based compensation which the Company determines it is required to recover from you under any such clawback policy.</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you accept this Award Agreement and agree to the foregoing terms and conditions, please so confirm by signing and returning the duplicate copy of this Award Agreement enclosed for that purpose.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20" w:type="dxa"/>
            <w:vAlign w:val="bottom"/>
          </w:tcPr>
          <w:p>
            <w:pPr>
              <w:spacing w:after="0"/>
              <w:rPr>
                <w:sz w:val="19"/>
                <w:szCs w:val="19"/>
                <w:color w:val="auto"/>
              </w:rPr>
            </w:pPr>
          </w:p>
        </w:tc>
        <w:tc>
          <w:tcPr>
            <w:tcW w:w="6900" w:type="dxa"/>
            <w:vAlign w:val="bottom"/>
            <w:gridSpan w:val="4"/>
          </w:tcPr>
          <w:p>
            <w:pPr>
              <w:ind w:left="860"/>
              <w:spacing w:after="0"/>
              <w:rPr>
                <w:sz w:val="20"/>
                <w:szCs w:val="20"/>
                <w:color w:val="auto"/>
              </w:rPr>
            </w:pPr>
            <w:r>
              <w:rPr>
                <w:rFonts w:ascii="Arial" w:cs="Arial" w:eastAsia="Arial" w:hAnsi="Arial"/>
                <w:sz w:val="18"/>
                <w:szCs w:val="18"/>
                <w:color w:val="auto"/>
              </w:rPr>
              <w:t>MATRIX SERVICE COMPANY</w:t>
            </w:r>
          </w:p>
        </w:tc>
      </w:tr>
      <w:tr>
        <w:trPr>
          <w:trHeight w:val="488"/>
        </w:trPr>
        <w:tc>
          <w:tcPr>
            <w:tcW w:w="4520" w:type="dxa"/>
            <w:vAlign w:val="bottom"/>
          </w:tcPr>
          <w:p>
            <w:pPr>
              <w:spacing w:after="0"/>
              <w:rPr>
                <w:sz w:val="24"/>
                <w:szCs w:val="24"/>
                <w:color w:val="auto"/>
              </w:rPr>
            </w:pPr>
          </w:p>
        </w:tc>
        <w:tc>
          <w:tcPr>
            <w:tcW w:w="1320" w:type="dxa"/>
            <w:vAlign w:val="bottom"/>
            <w:gridSpan w:val="2"/>
          </w:tcPr>
          <w:p>
            <w:pPr>
              <w:ind w:left="860"/>
              <w:spacing w:after="0"/>
              <w:rPr>
                <w:sz w:val="20"/>
                <w:szCs w:val="20"/>
                <w:color w:val="auto"/>
              </w:rPr>
            </w:pPr>
            <w:r>
              <w:rPr>
                <w:rFonts w:ascii="Arial" w:cs="Arial" w:eastAsia="Arial" w:hAnsi="Arial"/>
                <w:sz w:val="18"/>
                <w:szCs w:val="18"/>
                <w:color w:val="auto"/>
              </w:rPr>
              <w:t>By:</w:t>
            </w:r>
          </w:p>
        </w:tc>
        <w:tc>
          <w:tcPr>
            <w:tcW w:w="5580" w:type="dxa"/>
            <w:vAlign w:val="bottom"/>
            <w:tcBorders>
              <w:bottom w:val="single" w:sz="8" w:color="auto"/>
            </w:tcBorders>
            <w:gridSpan w:val="2"/>
          </w:tcPr>
          <w:p>
            <w:pPr>
              <w:spacing w:after="0"/>
              <w:rPr>
                <w:sz w:val="24"/>
                <w:szCs w:val="24"/>
                <w:color w:val="auto"/>
              </w:rPr>
            </w:pPr>
          </w:p>
        </w:tc>
      </w:tr>
      <w:tr>
        <w:trPr>
          <w:trHeight w:val="221"/>
        </w:trPr>
        <w:tc>
          <w:tcPr>
            <w:tcW w:w="4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60" w:type="dxa"/>
            <w:vAlign w:val="bottom"/>
            <w:gridSpan w:val="3"/>
          </w:tcPr>
          <w:p>
            <w:pPr>
              <w:ind w:left="280"/>
              <w:spacing w:after="0"/>
              <w:rPr>
                <w:sz w:val="20"/>
                <w:szCs w:val="20"/>
                <w:color w:val="auto"/>
              </w:rPr>
            </w:pPr>
            <w:r>
              <w:rPr>
                <w:rFonts w:ascii="Arial" w:cs="Arial" w:eastAsia="Arial" w:hAnsi="Arial"/>
                <w:sz w:val="18"/>
                <w:szCs w:val="18"/>
                <w:color w:val="auto"/>
              </w:rPr>
              <w:t>Name:</w:t>
            </w:r>
          </w:p>
        </w:tc>
      </w:tr>
      <w:tr>
        <w:trPr>
          <w:trHeight w:val="202"/>
        </w:trPr>
        <w:tc>
          <w:tcPr>
            <w:tcW w:w="4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Title:</w:t>
            </w:r>
          </w:p>
        </w:tc>
        <w:tc>
          <w:tcPr>
            <w:tcW w:w="4900" w:type="dxa"/>
            <w:vAlign w:val="bottom"/>
            <w:tcBorders>
              <w:top w:val="single" w:sz="8" w:color="auto"/>
            </w:tcBorders>
          </w:tcPr>
          <w:p>
            <w:pPr>
              <w:spacing w:after="0"/>
              <w:rPr>
                <w:sz w:val="17"/>
                <w:szCs w:val="17"/>
                <w:color w:val="auto"/>
              </w:rPr>
            </w:pPr>
          </w:p>
        </w:tc>
      </w:tr>
      <w:tr>
        <w:trPr>
          <w:trHeight w:val="36"/>
        </w:trPr>
        <w:tc>
          <w:tcPr>
            <w:tcW w:w="4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r>
      <w:tr>
        <w:trPr>
          <w:trHeight w:val="345"/>
        </w:trPr>
        <w:tc>
          <w:tcPr>
            <w:tcW w:w="4520" w:type="dxa"/>
            <w:vAlign w:val="bottom"/>
          </w:tcPr>
          <w:p>
            <w:pPr>
              <w:ind w:left="460"/>
              <w:spacing w:after="0"/>
              <w:rPr>
                <w:sz w:val="20"/>
                <w:szCs w:val="20"/>
                <w:color w:val="auto"/>
              </w:rPr>
            </w:pPr>
            <w:r>
              <w:rPr>
                <w:rFonts w:ascii="Arial" w:cs="Arial" w:eastAsia="Arial" w:hAnsi="Arial"/>
                <w:sz w:val="18"/>
                <w:szCs w:val="18"/>
                <w:color w:val="auto"/>
                <w:w w:val="88"/>
              </w:rPr>
              <w:t>The foregoing Award Agreement is accepted by me as of</w:t>
            </w:r>
          </w:p>
        </w:tc>
        <w:tc>
          <w:tcPr>
            <w:tcW w:w="1040" w:type="dxa"/>
            <w:vAlign w:val="bottom"/>
            <w:tcBorders>
              <w:bottom w:val="single" w:sz="8" w:color="auto"/>
            </w:tcBorders>
          </w:tcPr>
          <w:p>
            <w:pPr>
              <w:spacing w:after="0"/>
              <w:rPr>
                <w:sz w:val="24"/>
                <w:szCs w:val="24"/>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w w:val="88"/>
              </w:rPr>
              <w:t>, and I hereby agree to the terms, conditions, and restrictions set forth above and in</w:t>
            </w:r>
          </w:p>
        </w:tc>
      </w:tr>
      <w:tr>
        <w:trPr>
          <w:trHeight w:val="235"/>
        </w:trPr>
        <w:tc>
          <w:tcPr>
            <w:tcW w:w="4520" w:type="dxa"/>
            <w:vAlign w:val="bottom"/>
          </w:tcPr>
          <w:p>
            <w:pPr>
              <w:spacing w:after="0"/>
              <w:rPr>
                <w:sz w:val="20"/>
                <w:szCs w:val="20"/>
                <w:color w:val="auto"/>
              </w:rPr>
            </w:pPr>
            <w:r>
              <w:rPr>
                <w:rFonts w:ascii="Arial" w:cs="Arial" w:eastAsia="Arial" w:hAnsi="Arial"/>
                <w:sz w:val="18"/>
                <w:szCs w:val="18"/>
                <w:color w:val="auto"/>
              </w:rPr>
              <w:t>the Plan.</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335915</wp:posOffset>
            </wp:positionV>
            <wp:extent cx="36188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«Optionee»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Option Vesting Schedule</w:t>
      </w:r>
    </w:p>
    <w:p>
      <w:pPr>
        <w:sectPr>
          <w:pgSz w:w="11900" w:h="16838" w:orient="portrait"/>
          <w:cols w:equalWidth="0" w:num="1">
            <w:col w:w="9019"/>
          </w:cols>
          <w:pgMar w:left="1440" w:top="261" w:right="1440" w:bottom="1440" w:gutter="0" w:footer="0" w:header="0"/>
        </w:sectPr>
      </w:pP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261" w:right="1440"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28"/>
        </w:trPr>
        <w:tc>
          <w:tcPr>
            <w:tcW w:w="7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gridSpan w:val="3"/>
          </w:tcPr>
          <w:p>
            <w:pPr>
              <w:ind w:left="160"/>
              <w:spacing w:after="0"/>
              <w:rPr>
                <w:sz w:val="20"/>
                <w:szCs w:val="20"/>
                <w:color w:val="auto"/>
              </w:rPr>
            </w:pPr>
            <w:r>
              <w:rPr>
                <w:rFonts w:ascii="Arial" w:cs="Arial" w:eastAsia="Arial" w:hAnsi="Arial"/>
                <w:sz w:val="18"/>
                <w:szCs w:val="18"/>
                <w:b w:val="1"/>
                <w:bCs w:val="1"/>
                <w:color w:val="auto"/>
                <w:w w:val="89"/>
              </w:rPr>
              <w:t>Exhibit 10.14</w:t>
            </w:r>
          </w:p>
        </w:tc>
      </w:tr>
      <w:tr>
        <w:trPr>
          <w:trHeight w:val="366"/>
        </w:trPr>
        <w:tc>
          <w:tcPr>
            <w:tcW w:w="8420" w:type="dxa"/>
            <w:vAlign w:val="bottom"/>
            <w:gridSpan w:val="2"/>
          </w:tcPr>
          <w:p>
            <w:pPr>
              <w:ind w:left="4480"/>
              <w:spacing w:after="0"/>
              <w:rPr>
                <w:sz w:val="20"/>
                <w:szCs w:val="20"/>
                <w:color w:val="auto"/>
              </w:rPr>
            </w:pPr>
            <w:r>
              <w:rPr>
                <w:rFonts w:ascii="Arial" w:cs="Arial" w:eastAsia="Arial" w:hAnsi="Arial"/>
                <w:sz w:val="18"/>
                <w:szCs w:val="18"/>
                <w:b w:val="1"/>
                <w:bCs w:val="1"/>
                <w:color w:val="auto"/>
              </w:rPr>
              <w:t>MATRIX SERVICE COMPANY</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8"/>
        </w:trPr>
        <w:tc>
          <w:tcPr>
            <w:tcW w:w="8420" w:type="dxa"/>
            <w:vAlign w:val="bottom"/>
            <w:gridSpan w:val="2"/>
          </w:tcPr>
          <w:p>
            <w:pPr>
              <w:ind w:left="3700"/>
              <w:spacing w:after="0"/>
              <w:rPr>
                <w:sz w:val="20"/>
                <w:szCs w:val="20"/>
                <w:color w:val="auto"/>
              </w:rPr>
            </w:pPr>
            <w:r>
              <w:rPr>
                <w:rFonts w:ascii="Arial" w:cs="Arial" w:eastAsia="Arial" w:hAnsi="Arial"/>
                <w:sz w:val="18"/>
                <w:szCs w:val="18"/>
                <w:b w:val="1"/>
                <w:bCs w:val="1"/>
                <w:color w:val="auto"/>
              </w:rPr>
              <w:t>NON-QUALIFIED STOCK OPTION AGREEMENT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72"/>
        </w:trPr>
        <w:tc>
          <w:tcPr>
            <w:tcW w:w="8420" w:type="dxa"/>
            <w:vAlign w:val="bottom"/>
            <w:gridSpan w:val="2"/>
          </w:tcPr>
          <w:p>
            <w:pPr>
              <w:spacing w:after="0"/>
              <w:rPr>
                <w:sz w:val="20"/>
                <w:szCs w:val="20"/>
                <w:color w:val="auto"/>
              </w:rPr>
            </w:pPr>
            <w:r>
              <w:rPr>
                <w:rFonts w:ascii="Arial" w:cs="Arial" w:eastAsia="Arial" w:hAnsi="Arial"/>
                <w:sz w:val="18"/>
                <w:szCs w:val="18"/>
                <w:color w:val="auto"/>
              </w:rPr>
              <w:t>«Optionee»</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8420" w:type="dxa"/>
            <w:vAlign w:val="bottom"/>
            <w:gridSpan w:val="2"/>
          </w:tcPr>
          <w:p>
            <w:pPr>
              <w:spacing w:after="0"/>
              <w:rPr>
                <w:sz w:val="20"/>
                <w:szCs w:val="20"/>
                <w:color w:val="auto"/>
              </w:rPr>
            </w:pPr>
            <w:r>
              <w:rPr>
                <w:rFonts w:ascii="Arial" w:cs="Arial" w:eastAsia="Arial" w:hAnsi="Arial"/>
                <w:sz w:val="18"/>
                <w:szCs w:val="18"/>
                <w:color w:val="auto"/>
              </w:rPr>
              <w:t>«Address1»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420" w:type="dxa"/>
            <w:vAlign w:val="bottom"/>
            <w:gridSpan w:val="2"/>
          </w:tcPr>
          <w:p>
            <w:pPr>
              <w:spacing w:after="0"/>
              <w:rPr>
                <w:sz w:val="20"/>
                <w:szCs w:val="20"/>
                <w:color w:val="auto"/>
              </w:rPr>
            </w:pPr>
            <w:r>
              <w:rPr>
                <w:rFonts w:ascii="Arial" w:cs="Arial" w:eastAsia="Arial" w:hAnsi="Arial"/>
                <w:sz w:val="18"/>
                <w:szCs w:val="18"/>
                <w:color w:val="auto"/>
              </w:rPr>
              <w:t>«Address2»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8420" w:type="dxa"/>
            <w:vAlign w:val="bottom"/>
            <w:gridSpan w:val="2"/>
          </w:tcPr>
          <w:p>
            <w:pPr>
              <w:spacing w:after="0"/>
              <w:rPr>
                <w:sz w:val="20"/>
                <w:szCs w:val="20"/>
                <w:color w:val="auto"/>
              </w:rPr>
            </w:pPr>
            <w:r>
              <w:rPr>
                <w:rFonts w:ascii="Arial" w:cs="Arial" w:eastAsia="Arial" w:hAnsi="Arial"/>
                <w:sz w:val="18"/>
                <w:szCs w:val="18"/>
                <w:color w:val="auto"/>
              </w:rPr>
              <w:t>«City», «State» «PostalCode»</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78"/>
        </w:trPr>
        <w:tc>
          <w:tcPr>
            <w:tcW w:w="8420" w:type="dxa"/>
            <w:vAlign w:val="bottom"/>
            <w:gridSpan w:val="2"/>
          </w:tcPr>
          <w:p>
            <w:pPr>
              <w:spacing w:after="0"/>
              <w:rPr>
                <w:sz w:val="20"/>
                <w:szCs w:val="20"/>
                <w:color w:val="auto"/>
              </w:rPr>
            </w:pPr>
            <w:r>
              <w:rPr>
                <w:rFonts w:ascii="Arial" w:cs="Arial" w:eastAsia="Arial" w:hAnsi="Arial"/>
                <w:sz w:val="18"/>
                <w:szCs w:val="18"/>
                <w:color w:val="auto"/>
              </w:rPr>
              <w:t>Dear «FirstName»:</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0"/>
        </w:trPr>
        <w:tc>
          <w:tcPr>
            <w:tcW w:w="8680" w:type="dxa"/>
            <w:vAlign w:val="bottom"/>
            <w:gridSpan w:val="3"/>
          </w:tcPr>
          <w:p>
            <w:pPr>
              <w:ind w:left="460"/>
              <w:spacing w:after="0"/>
              <w:rPr>
                <w:sz w:val="20"/>
                <w:szCs w:val="20"/>
                <w:color w:val="auto"/>
              </w:rPr>
            </w:pPr>
            <w:r>
              <w:rPr>
                <w:rFonts w:ascii="Arial" w:cs="Arial" w:eastAsia="Arial" w:hAnsi="Arial"/>
                <w:sz w:val="18"/>
                <w:szCs w:val="18"/>
                <w:color w:val="auto"/>
                <w:w w:val="90"/>
              </w:rPr>
              <w:t>This Non-Qualified Stock Option Agreement (this “Award Agreement”), is made and entered into effective as of the</w:t>
            </w:r>
          </w:p>
        </w:tc>
        <w:tc>
          <w:tcPr>
            <w:tcW w:w="36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w w:val="93"/>
              </w:rPr>
              <w:t>day of</w:t>
            </w:r>
          </w:p>
        </w:tc>
        <w:tc>
          <w:tcPr>
            <w:tcW w:w="70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auto"/>
              </w:rPr>
              <w:t>, 201  (the</w:t>
            </w:r>
          </w:p>
        </w:tc>
      </w:tr>
      <w:tr>
        <w:trPr>
          <w:trHeight w:val="20"/>
        </w:trPr>
        <w:tc>
          <w:tcPr>
            <w:tcW w:w="7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7380" w:type="dxa"/>
            <w:vAlign w:val="bottom"/>
          </w:tcPr>
          <w:p>
            <w:pPr>
              <w:spacing w:after="0" w:line="196" w:lineRule="exact"/>
              <w:rPr>
                <w:sz w:val="20"/>
                <w:szCs w:val="20"/>
                <w:color w:val="auto"/>
              </w:rPr>
            </w:pPr>
            <w:r>
              <w:rPr>
                <w:rFonts w:ascii="Arial" w:cs="Arial" w:eastAsia="Arial" w:hAnsi="Arial"/>
                <w:sz w:val="18"/>
                <w:szCs w:val="18"/>
                <w:color w:val="auto"/>
                <w:w w:val="90"/>
              </w:rPr>
              <w:t>“Grant Date”), by and between Matrix Service Company, a Delaware corporation (the “Company”), and</w:t>
            </w:r>
          </w:p>
        </w:tc>
        <w:tc>
          <w:tcPr>
            <w:tcW w:w="1040" w:type="dxa"/>
            <w:vAlign w:val="bottom"/>
            <w:tcBorders>
              <w:bottom w:val="single" w:sz="8" w:color="auto"/>
            </w:tcBorders>
          </w:tcPr>
          <w:p>
            <w:pPr>
              <w:spacing w:after="0"/>
              <w:rPr>
                <w:sz w:val="17"/>
                <w:szCs w:val="17"/>
                <w:color w:val="auto"/>
              </w:rPr>
            </w:pPr>
          </w:p>
        </w:tc>
        <w:tc>
          <w:tcPr>
            <w:tcW w:w="3000" w:type="dxa"/>
            <w:vAlign w:val="bottom"/>
            <w:gridSpan w:val="7"/>
          </w:tcPr>
          <w:p>
            <w:pPr>
              <w:spacing w:after="0" w:line="196" w:lineRule="exact"/>
              <w:rPr>
                <w:sz w:val="20"/>
                <w:szCs w:val="20"/>
                <w:color w:val="auto"/>
              </w:rPr>
            </w:pPr>
            <w:r>
              <w:rPr>
                <w:rFonts w:ascii="Arial" w:cs="Arial" w:eastAsia="Arial" w:hAnsi="Arial"/>
                <w:sz w:val="18"/>
                <w:szCs w:val="18"/>
                <w:color w:val="auto"/>
                <w:w w:val="89"/>
              </w:rPr>
              <w:t>, an individual. You are a key employee of</w:t>
            </w:r>
          </w:p>
        </w:tc>
      </w:tr>
    </w:tbl>
    <w:p>
      <w:pPr>
        <w:spacing w:after="0" w:line="1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Company or an Affiliate, and the Compensation Committee of the Board of Directors (the “Committee”), has granted you a non-qualified stock option under the Plan (as defined below).</w:t>
      </w:r>
    </w:p>
    <w:p>
      <w:pPr>
        <w:spacing w:after="0" w:line="126" w:lineRule="exact"/>
        <w:rPr>
          <w:sz w:val="20"/>
          <w:szCs w:val="20"/>
          <w:color w:val="auto"/>
        </w:rPr>
      </w:pPr>
    </w:p>
    <w:p>
      <w:pPr>
        <w:ind w:right="100" w:firstLine="464"/>
        <w:spacing w:after="0" w:line="293" w:lineRule="auto"/>
        <w:tabs>
          <w:tab w:leader="none" w:pos="632"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Award</w:t>
      </w:r>
      <w:r>
        <w:rPr>
          <w:rFonts w:ascii="Arial" w:cs="Arial" w:eastAsia="Arial" w:hAnsi="Arial"/>
          <w:sz w:val="16"/>
          <w:szCs w:val="16"/>
          <w:color w:val="auto"/>
        </w:rPr>
        <w:t>. The awards set forth in this Award Agreement are subject to your acceptance of and agreement to all of the applicable terms, conditions,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restrictions described in the 2004 Stock Incentive Plan of the Company, as amended and restated effective October 23, 2006, and as further amended by Amendments 1, 2 and 3 thereto (the “Plan”), a copy of which is on file with, and may be obtained from, the Secretary of the Company, and to your acceptance of and agreement to the further terms, conditions, and restrictions described in this Award Agreement. To the extent that any provision of this Award Agreement conflicts with the expressly applicable terms of the Plan, it is hereby acknowledged and agreed that those terms of the Plan shall control and, if necessary, the applicable provisions of this Award Agreement shall be hereby deemed amended so as to carry out the purpose and intent of the Plan.</w:t>
      </w:r>
    </w:p>
    <w:p>
      <w:pPr>
        <w:spacing w:after="0" w:line="110" w:lineRule="exact"/>
        <w:rPr>
          <w:rFonts w:ascii="Arial" w:cs="Arial" w:eastAsia="Arial" w:hAnsi="Arial"/>
          <w:sz w:val="16"/>
          <w:szCs w:val="16"/>
          <w:b w:val="1"/>
          <w:bCs w:val="1"/>
          <w:color w:val="auto"/>
        </w:rPr>
      </w:pPr>
    </w:p>
    <w:p>
      <w:pPr>
        <w:ind w:right="440" w:firstLine="464"/>
        <w:spacing w:after="0" w:line="275" w:lineRule="auto"/>
        <w:tabs>
          <w:tab w:leader="none" w:pos="63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Grant of Option</w:t>
      </w:r>
      <w:r>
        <w:rPr>
          <w:rFonts w:ascii="Arial" w:cs="Arial" w:eastAsia="Arial" w:hAnsi="Arial"/>
          <w:sz w:val="18"/>
          <w:szCs w:val="18"/>
          <w:color w:val="auto"/>
        </w:rPr>
        <w:t>. The Company hereby grants to you the right and option (the “Option”) to purchase all or any part of an aggregate of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shares of Stock, on the terms and conditions set forth herein and in the Plan.</w:t>
      </w:r>
    </w:p>
    <w:p>
      <w:pPr>
        <w:spacing w:after="0" w:line="12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Option, if not previously exercised, shall expire and not be exercisable after the expiration of ten (10) years from the date of grant hereof, unless earlier terminated as provided below.</w:t>
      </w:r>
    </w:p>
    <w:p>
      <w:pPr>
        <w:spacing w:after="0" w:line="126" w:lineRule="exact"/>
        <w:rPr>
          <w:sz w:val="20"/>
          <w:szCs w:val="20"/>
          <w:color w:val="auto"/>
        </w:rPr>
      </w:pPr>
    </w:p>
    <w:p>
      <w:pPr>
        <w:ind w:right="200" w:firstLine="464"/>
        <w:spacing w:after="0" w:line="275" w:lineRule="auto"/>
        <w:tabs>
          <w:tab w:leader="none" w:pos="632" w:val="left"/>
        </w:tabs>
        <w:numPr>
          <w:ilvl w:val="1"/>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Purchase Price</w:t>
      </w:r>
      <w:r>
        <w:rPr>
          <w:rFonts w:ascii="Arial" w:cs="Arial" w:eastAsia="Arial" w:hAnsi="Arial"/>
          <w:sz w:val="18"/>
          <w:szCs w:val="18"/>
          <w:color w:val="auto"/>
        </w:rPr>
        <w:t>. The purchase price of Stock purchased upon exercise of the Option shall be [Purchase Price] per share, which has been determined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not less than the Fair Market Value (as defined in the Plan) on the Grant Date.</w:t>
      </w:r>
    </w:p>
    <w:p>
      <w:pPr>
        <w:spacing w:after="0" w:line="119" w:lineRule="exact"/>
        <w:rPr>
          <w:rFonts w:ascii="Arial" w:cs="Arial" w:eastAsia="Arial" w:hAnsi="Arial"/>
          <w:sz w:val="18"/>
          <w:szCs w:val="18"/>
          <w:b w:val="1"/>
          <w:bCs w:val="1"/>
          <w:color w:val="auto"/>
        </w:rPr>
      </w:pPr>
    </w:p>
    <w:p>
      <w:pPr>
        <w:ind w:right="60" w:firstLine="464"/>
        <w:spacing w:after="0" w:line="285" w:lineRule="auto"/>
        <w:tabs>
          <w:tab w:leader="none" w:pos="632" w:val="left"/>
        </w:tabs>
        <w:numPr>
          <w:ilvl w:val="1"/>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Exercise of Option</w:t>
      </w:r>
      <w:r>
        <w:rPr>
          <w:rFonts w:ascii="Arial" w:cs="Arial" w:eastAsia="Arial" w:hAnsi="Arial"/>
          <w:sz w:val="16"/>
          <w:szCs w:val="16"/>
          <w:color w:val="auto"/>
        </w:rPr>
        <w:t>. Subject to the earlier expiration of the Option as herein provided and subject to the terms and conditions contained herein,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 may be exercised, in whole or in part, by written notice (which complies in all respects with the provisions of this Award Agreement) to the Company at its principal executive office addressed to the attention of the [Secretary] of the Company, at any time and from time to time on and after the Grant Date, such exercise to be effective at the time of receipt of such written notice at the Company’s principal executive office during normal business hours; provided, however,</w:t>
      </w:r>
    </w:p>
    <w:p>
      <w:pPr>
        <w:spacing w:after="0" w:line="2" w:lineRule="exact"/>
        <w:rPr>
          <w:rFonts w:ascii="Arial" w:cs="Arial" w:eastAsia="Arial" w:hAnsi="Arial"/>
          <w:sz w:val="16"/>
          <w:szCs w:val="16"/>
          <w:b w:val="1"/>
          <w:bCs w:val="1"/>
          <w:color w:val="auto"/>
        </w:rPr>
      </w:pPr>
    </w:p>
    <w:p>
      <w:pPr>
        <w:ind w:firstLine="8"/>
        <w:spacing w:after="0" w:line="292" w:lineRule="auto"/>
        <w:tabs>
          <w:tab w:leader="none" w:pos="21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exercise of the Option must be for a minimum of 100 shares of Stock unless the number purchased is the total number purchasable under the Option at that time, (ii) the Option shall only be exercisable in accordance with, and to the extent set forth, in the attached vesting schedule and (iii) the Option may be exercised only so long as you remain, on or after the Grant Date, continuously in the employ of the Company or any of its Affiliates (as defined in the Plan), except as otherwise provided in this Award Agreement. The Option shall not be exercisable with respect to fractions of a share. No exercise or failure to exercise as to a portion of the shares shall preclude a later exercise or exercises as to additional portions.</w:t>
      </w:r>
    </w:p>
    <w:p>
      <w:pPr>
        <w:spacing w:after="0" w:line="11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Neither you nor any of your heirs, legal representatives or beneficiaries shall be deemed to have any rights as a stockholder of the Company with respect to any shares covered by the Option until the date of the issuance</w:t>
      </w:r>
    </w:p>
    <w:p>
      <w:pPr>
        <w:sectPr>
          <w:pgSz w:w="11900" w:h="16838" w:orient="portrait"/>
          <w:cols w:equalWidth="0" w:num="1">
            <w:col w:w="11420"/>
          </w:cols>
          <w:pgMar w:left="240" w:top="125" w:right="239" w:bottom="1440" w:gutter="0" w:footer="0" w:header="0"/>
        </w:sectPr>
      </w:pPr>
    </w:p>
    <w:bookmarkStart w:id="81" w:name="page82"/>
    <w:bookmarkEnd w:id="81"/>
    <w:p>
      <w:pPr>
        <w:jc w:val="both"/>
        <w:ind w:right="2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the Company of a certificate or evidence of book entry registration for such shares. You (or the person permitted to exercise the Option in the event of your death) shall be and have all of the rights and privileges of a stockholder of the Company with respect to shares acquired upon exercise of the Option, effective upon the date of the issuance by the Company of a certificate or evidence of book entry registration for such shares.</w:t>
      </w:r>
    </w:p>
    <w:p>
      <w:pPr>
        <w:spacing w:after="0" w:line="101" w:lineRule="exact"/>
        <w:rPr>
          <w:sz w:val="20"/>
          <w:szCs w:val="20"/>
          <w:color w:val="auto"/>
        </w:rPr>
      </w:pPr>
    </w:p>
    <w:p>
      <w:pPr>
        <w:ind w:right="100" w:firstLine="464"/>
        <w:spacing w:after="0" w:line="302" w:lineRule="auto"/>
        <w:tabs>
          <w:tab w:leader="none" w:pos="632" w:val="left"/>
        </w:tabs>
        <w:numPr>
          <w:ilvl w:val="1"/>
          <w:numId w:val="66"/>
        </w:numPr>
        <w:rPr>
          <w:rFonts w:ascii="Arial" w:cs="Arial" w:eastAsia="Arial" w:hAnsi="Arial"/>
          <w:sz w:val="15"/>
          <w:szCs w:val="15"/>
          <w:b w:val="1"/>
          <w:bCs w:val="1"/>
          <w:color w:val="auto"/>
        </w:rPr>
      </w:pPr>
      <w:r>
        <w:rPr>
          <w:rFonts w:ascii="Arial" w:cs="Arial" w:eastAsia="Arial" w:hAnsi="Arial"/>
          <w:sz w:val="15"/>
          <w:szCs w:val="15"/>
          <w:b w:val="1"/>
          <w:bCs w:val="1"/>
          <w:color w:val="auto"/>
        </w:rPr>
        <w:t>Payment of Exercise Price</w:t>
      </w:r>
      <w:r>
        <w:rPr>
          <w:rFonts w:ascii="Arial" w:cs="Arial" w:eastAsia="Arial" w:hAnsi="Arial"/>
          <w:sz w:val="15"/>
          <w:szCs w:val="15"/>
          <w:color w:val="auto"/>
        </w:rPr>
        <w:t>. The purchase price of shares as to which the Option is exercised shall be paid in full at the time of exercise (a) in cash (or</w:t>
      </w:r>
      <w:r>
        <w:rPr>
          <w:rFonts w:ascii="Arial" w:cs="Arial" w:eastAsia="Arial" w:hAnsi="Arial"/>
          <w:sz w:val="15"/>
          <w:szCs w:val="15"/>
          <w:b w:val="1"/>
          <w:bCs w:val="1"/>
          <w:color w:val="auto"/>
        </w:rPr>
        <w:t xml:space="preserve"> </w:t>
      </w:r>
      <w:r>
        <w:rPr>
          <w:rFonts w:ascii="Arial" w:cs="Arial" w:eastAsia="Arial" w:hAnsi="Arial"/>
          <w:sz w:val="15"/>
          <w:szCs w:val="15"/>
          <w:color w:val="auto"/>
        </w:rPr>
        <w:t>certified or bank cashier’s check payable to the order of the Company); (b) by delivery of shares of common stock of the Company then owned by you (such shares being valued at their Fair Market Value at the time of such exercise); (c) by withholding by the Company of shares from the shares issuable upon such exercise (such withheld shares being valued at their Fair Market Value at the time of such exercise); (d) in the discretion of the Committee, by delivery of properly executed irrevocable instructions to a securities broker (or, in the case of pledges, lender) to (i) sell shares subject to the Option and to deliver promptly to the Company a sufficient portion of the proceeds of such sale transaction on behalf of Employee to pay the exercise price of said shares or (ii) pledge Shares subject to the Option to a margin account maintained with such broker or lender, as security for a loan, and such broker or lender, pursuant to irrevocable instructions, delivers to the Company a sufficient portion of the loan proceeds to pay the exercise price of said shares; (e) by a combination of such methods; or</w:t>
      </w:r>
    </w:p>
    <w:p>
      <w:pPr>
        <w:spacing w:after="0" w:line="4" w:lineRule="exact"/>
        <w:rPr>
          <w:rFonts w:ascii="Arial" w:cs="Arial" w:eastAsia="Arial" w:hAnsi="Arial"/>
          <w:sz w:val="15"/>
          <w:szCs w:val="15"/>
          <w:b w:val="1"/>
          <w:bCs w:val="1"/>
          <w:color w:val="auto"/>
        </w:rPr>
      </w:pPr>
    </w:p>
    <w:p>
      <w:pPr>
        <w:ind w:right="60" w:firstLine="8"/>
        <w:spacing w:after="0" w:line="261" w:lineRule="auto"/>
        <w:tabs>
          <w:tab w:leader="none" w:pos="219" w:val="left"/>
        </w:tabs>
        <w:numPr>
          <w:ilvl w:val="0"/>
          <w:numId w:val="67"/>
        </w:numPr>
        <w:rPr>
          <w:rFonts w:ascii="Arial" w:cs="Arial" w:eastAsia="Arial" w:hAnsi="Arial"/>
          <w:sz w:val="18"/>
          <w:szCs w:val="18"/>
          <w:color w:val="auto"/>
        </w:rPr>
      </w:pPr>
      <w:r>
        <w:rPr>
          <w:rFonts w:ascii="Arial" w:cs="Arial" w:eastAsia="Arial" w:hAnsi="Arial"/>
          <w:sz w:val="18"/>
          <w:szCs w:val="18"/>
          <w:color w:val="auto"/>
        </w:rPr>
        <w:t>by other means that the Committee deems appropriate; plus, in each case, any applicable withholding tax thereon, whereupon certificates therefor or evidence of book entry Shares will be issued to you.</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1"/>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No Transferability; Limited Exceptions to Transfer Restrictions.</w:t>
      </w:r>
    </w:p>
    <w:p>
      <w:pPr>
        <w:spacing w:after="0" w:line="96" w:lineRule="exact"/>
        <w:rPr>
          <w:rFonts w:ascii="Arial" w:cs="Arial" w:eastAsia="Arial" w:hAnsi="Arial"/>
          <w:sz w:val="18"/>
          <w:szCs w:val="18"/>
          <w:b w:val="1"/>
          <w:bCs w:val="1"/>
          <w:color w:val="auto"/>
        </w:rPr>
      </w:pPr>
    </w:p>
    <w:p>
      <w:pPr>
        <w:ind w:left="1140" w:hanging="237"/>
        <w:spacing w:after="0"/>
        <w:tabs>
          <w:tab w:leader="none" w:pos="1140" w:val="left"/>
        </w:tabs>
        <w:numPr>
          <w:ilvl w:val="2"/>
          <w:numId w:val="67"/>
        </w:numPr>
        <w:rPr>
          <w:rFonts w:ascii="Arial" w:cs="Arial" w:eastAsia="Arial" w:hAnsi="Arial"/>
          <w:sz w:val="18"/>
          <w:szCs w:val="18"/>
          <w:color w:val="auto"/>
        </w:rPr>
      </w:pPr>
      <w:r>
        <w:rPr>
          <w:rFonts w:ascii="Arial" w:cs="Arial" w:eastAsia="Arial" w:hAnsi="Arial"/>
          <w:sz w:val="18"/>
          <w:szCs w:val="18"/>
          <w:color w:val="auto"/>
        </w:rPr>
        <w:t>Unless otherwise expressly provided in this Section 6, the Option shall not be transferable.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2"/>
          <w:numId w:val="67"/>
        </w:numPr>
        <w:rPr>
          <w:rFonts w:ascii="Arial" w:cs="Arial" w:eastAsia="Arial" w:hAnsi="Arial"/>
          <w:sz w:val="16"/>
          <w:szCs w:val="16"/>
          <w:color w:val="auto"/>
        </w:rPr>
      </w:pPr>
      <w:r>
        <w:rPr>
          <w:rFonts w:ascii="Arial" w:cs="Arial" w:eastAsia="Arial" w:hAnsi="Arial"/>
          <w:sz w:val="16"/>
          <w:szCs w:val="16"/>
          <w:color w:val="auto"/>
        </w:rPr>
        <w:t>All or a portion of the Option may be transferred by you to (i) your spouse, children, stepchildren or grandchildren (“Immediate Family</w:t>
      </w:r>
    </w:p>
    <w:p>
      <w:pPr>
        <w:spacing w:after="0" w:line="38" w:lineRule="exact"/>
        <w:rPr>
          <w:rFonts w:ascii="Arial" w:cs="Arial" w:eastAsia="Arial" w:hAnsi="Arial"/>
          <w:sz w:val="16"/>
          <w:szCs w:val="16"/>
          <w:color w:val="auto"/>
        </w:rPr>
      </w:pPr>
    </w:p>
    <w:p>
      <w:pPr>
        <w:ind w:left="460"/>
        <w:spacing w:after="0" w:line="281" w:lineRule="auto"/>
        <w:rPr>
          <w:rFonts w:ascii="Arial" w:cs="Arial" w:eastAsia="Arial" w:hAnsi="Arial"/>
          <w:sz w:val="16"/>
          <w:szCs w:val="16"/>
          <w:color w:val="auto"/>
        </w:rPr>
      </w:pPr>
      <w:r>
        <w:rPr>
          <w:rFonts w:ascii="Arial" w:cs="Arial" w:eastAsia="Arial" w:hAnsi="Arial"/>
          <w:sz w:val="16"/>
          <w:szCs w:val="16"/>
          <w:color w:val="auto"/>
        </w:rPr>
        <w:t>Members”), (ii) a trust or trusts for the benefit of you and/or Immediate Family Members, (iii) an entity or entities whose beneficiaries or beneficial owners are you and/or Immediate Family Members, or (iv) such other persons or entities as may be approved by the Committee, in its sole discretion; provided, that, in each case, subsequent transfers of such transferred Option shall be prohibited except for transfers to the transferees described in this paragraph</w:t>
      </w:r>
    </w:p>
    <w:p>
      <w:pPr>
        <w:spacing w:after="0" w:line="2" w:lineRule="exact"/>
        <w:rPr>
          <w:rFonts w:ascii="Arial" w:cs="Arial" w:eastAsia="Arial" w:hAnsi="Arial"/>
          <w:sz w:val="16"/>
          <w:szCs w:val="16"/>
          <w:color w:val="auto"/>
        </w:rPr>
      </w:pPr>
    </w:p>
    <w:p>
      <w:pPr>
        <w:ind w:left="460"/>
        <w:spacing w:after="0" w:line="252" w:lineRule="auto"/>
        <w:rPr>
          <w:rFonts w:ascii="Arial" w:cs="Arial" w:eastAsia="Arial" w:hAnsi="Arial"/>
          <w:sz w:val="16"/>
          <w:szCs w:val="16"/>
          <w:color w:val="auto"/>
        </w:rPr>
      </w:pPr>
      <w:r>
        <w:rPr>
          <w:rFonts w:ascii="Arial" w:cs="Arial" w:eastAsia="Arial" w:hAnsi="Arial"/>
          <w:sz w:val="18"/>
          <w:szCs w:val="18"/>
          <w:color w:val="auto"/>
        </w:rPr>
        <w:t>(b) or by will or the laws of descent and distribution. Following transfer, any such Option shall continue to be subject to the same terms and conditions as were applicable immediately prior to transfer; provided, that the term “you” shall be deemed to refer to the transferee except for the events of termination of employment and other employment aspects hereof which shall continue to refer to you. The events of termination of employment of Section 7 shall continue to be applied with respect to you, following which the Option shall be exercisable by the transferee only to the extent, and for the periods specified in Section 7. The events of forfeiture of Section 13 shall continue to be applied with respect to you, following which the Option shall be forfeited and shall no longer be exercisable by the transferee. You shall remain subject to any withholding taxes incurred upon exercise by transferee of a transferred Option.</w:t>
      </w:r>
    </w:p>
    <w:p>
      <w:pPr>
        <w:spacing w:after="0" w:line="65" w:lineRule="exact"/>
        <w:rPr>
          <w:rFonts w:ascii="Arial" w:cs="Arial" w:eastAsia="Arial" w:hAnsi="Arial"/>
          <w:sz w:val="16"/>
          <w:szCs w:val="16"/>
          <w:color w:val="auto"/>
        </w:rPr>
      </w:pPr>
    </w:p>
    <w:p>
      <w:pPr>
        <w:ind w:left="1140" w:hanging="237"/>
        <w:spacing w:after="0"/>
        <w:tabs>
          <w:tab w:leader="none" w:pos="1140" w:val="left"/>
        </w:tabs>
        <w:numPr>
          <w:ilvl w:val="2"/>
          <w:numId w:val="67"/>
        </w:numPr>
        <w:rPr>
          <w:rFonts w:ascii="Arial" w:cs="Arial" w:eastAsia="Arial" w:hAnsi="Arial"/>
          <w:sz w:val="18"/>
          <w:szCs w:val="18"/>
          <w:color w:val="auto"/>
        </w:rPr>
      </w:pPr>
      <w:r>
        <w:rPr>
          <w:rFonts w:ascii="Arial" w:cs="Arial" w:eastAsia="Arial" w:hAnsi="Arial"/>
          <w:sz w:val="18"/>
          <w:szCs w:val="18"/>
          <w:color w:val="auto"/>
        </w:rPr>
        <w:t>The transfer restrictions set forth in paragraph (a) of this Section 6 shall not apply to:</w:t>
      </w:r>
    </w:p>
    <w:p>
      <w:pPr>
        <w:spacing w:after="0" w:line="90" w:lineRule="exact"/>
        <w:rPr>
          <w:sz w:val="20"/>
          <w:szCs w:val="20"/>
          <w:color w:val="auto"/>
        </w:rPr>
      </w:pPr>
    </w:p>
    <w:p>
      <w:pPr>
        <w:ind w:left="1120" w:hanging="217"/>
        <w:spacing w:after="0"/>
        <w:tabs>
          <w:tab w:leader="none" w:pos="11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transfers to the Company;</w:t>
      </w:r>
    </w:p>
    <w:p>
      <w:pPr>
        <w:spacing w:after="0" w:line="90" w:lineRule="exact"/>
        <w:rPr>
          <w:rFonts w:ascii="Arial" w:cs="Arial" w:eastAsia="Arial" w:hAnsi="Arial"/>
          <w:sz w:val="18"/>
          <w:szCs w:val="18"/>
          <w:color w:val="auto"/>
        </w:rPr>
      </w:pPr>
    </w:p>
    <w:p>
      <w:pPr>
        <w:ind w:left="920" w:right="220" w:firstLine="421"/>
        <w:spacing w:after="0" w:line="268" w:lineRule="auto"/>
        <w:tabs>
          <w:tab w:leader="none" w:pos="1598"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designation of a beneficiary to receive benefits in the event of your death or, if you have died, transfers to your beneficiary, or, in the absence of a validly designated beneficiary, transfers by will or the laws of descent and distribution;</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2"/>
          <w:numId w:val="68"/>
        </w:numPr>
        <w:rPr>
          <w:rFonts w:ascii="Arial" w:cs="Arial" w:eastAsia="Arial" w:hAnsi="Arial"/>
          <w:sz w:val="18"/>
          <w:szCs w:val="18"/>
          <w:color w:val="auto"/>
        </w:rPr>
      </w:pPr>
      <w:r>
        <w:rPr>
          <w:rFonts w:ascii="Arial" w:cs="Arial" w:eastAsia="Arial" w:hAnsi="Arial"/>
          <w:sz w:val="18"/>
          <w:szCs w:val="18"/>
          <w:color w:val="auto"/>
        </w:rPr>
        <w:t>transfers pursuant to a domestic relations order; or</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2"/>
          <w:numId w:val="68"/>
        </w:numPr>
        <w:rPr>
          <w:rFonts w:ascii="Arial" w:cs="Arial" w:eastAsia="Arial" w:hAnsi="Arial"/>
          <w:sz w:val="16"/>
          <w:szCs w:val="16"/>
          <w:color w:val="auto"/>
        </w:rPr>
      </w:pPr>
      <w:r>
        <w:rPr>
          <w:rFonts w:ascii="Arial" w:cs="Arial" w:eastAsia="Arial" w:hAnsi="Arial"/>
          <w:sz w:val="16"/>
          <w:szCs w:val="16"/>
          <w:color w:val="auto"/>
        </w:rPr>
        <w:t>if you have suffered a Disability (as defined in the Plan), permitted transfers on your behalf by your guardian or legal representative.</w:t>
      </w:r>
    </w:p>
    <w:p>
      <w:pPr>
        <w:spacing w:after="0" w:line="188" w:lineRule="exact"/>
        <w:rPr>
          <w:rFonts w:ascii="Arial" w:cs="Arial" w:eastAsia="Arial" w:hAnsi="Arial"/>
          <w:sz w:val="16"/>
          <w:szCs w:val="16"/>
          <w:color w:val="auto"/>
        </w:rPr>
      </w:pPr>
    </w:p>
    <w:p>
      <w:pPr>
        <w:ind w:right="280" w:firstLine="464"/>
        <w:spacing w:after="0" w:line="275" w:lineRule="auto"/>
        <w:tabs>
          <w:tab w:leader="none" w:pos="63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r>
        <w:rPr>
          <w:rFonts w:ascii="Arial" w:cs="Arial" w:eastAsia="Arial" w:hAnsi="Arial"/>
          <w:sz w:val="18"/>
          <w:szCs w:val="18"/>
          <w:color w:val="auto"/>
        </w:rPr>
        <w:t>. In the event your employment with the Company or any of its Affiliates terminates for any reason other than death or</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the Option may be exercised by you to the full extent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82" w:name="page83"/>
    <w:bookmarkEnd w:id="82"/>
    <w:p>
      <w:pPr>
        <w:ind w:right="4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you were entitled to exercise the Option on the day immediately prior to such termination at any time within the three-month period commencing on the day of such termination (but not beyond 10 years from the Grant Date). The Option, to the extent not exercised during such period, shall terminate. In the event that your employment with the Company or any of its Affiliates shall terminate due to your death or Disability (each of such two events being an “Acceleration Termination”), all of the remaining shares then subject to the Option held by you shall immediately vest in full and the Option as so accelerated may be exercised by you (or your estate, beneficiary, guardian or legal representative) at any time prior to the later of (i) the one-year anniversary of the day of such Acceleration Termination or (ii) 10 years from the Grant Date. The Option, to the extent not exercised during such period, shall terminate upon the expiration of such period.</w:t>
      </w:r>
    </w:p>
    <w:p>
      <w:pPr>
        <w:spacing w:after="0" w:line="105"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Committee shall determine whether, for purposes of the Plan, any termination of employment is due to Disability. The Committee shall determine whether an authorized leave of absence on military or government service or for other reasons shall constitute a termination of employment.</w:t>
      </w:r>
    </w:p>
    <w:p>
      <w:pPr>
        <w:spacing w:after="0" w:line="85"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The Committee may, in its discretion, (i) accelerate the exercisability of all or part of an Option that is not otherwise exercisable or (ii) provide that an Option shall remain outstanding and be exercisable following termination of employment on such other terms and conditions as the Committee shall approve.</w:t>
      </w:r>
    </w:p>
    <w:p>
      <w:pPr>
        <w:spacing w:after="0" w:line="56" w:lineRule="exact"/>
        <w:rPr>
          <w:sz w:val="20"/>
          <w:szCs w:val="20"/>
          <w:color w:val="auto"/>
        </w:rPr>
      </w:pPr>
    </w:p>
    <w:p>
      <w:pPr>
        <w:ind w:right="240" w:firstLine="464"/>
        <w:spacing w:after="0" w:line="275" w:lineRule="auto"/>
        <w:tabs>
          <w:tab w:leader="none" w:pos="632" w:val="left"/>
        </w:tabs>
        <w:numPr>
          <w:ilvl w:val="1"/>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Notwithstanding the vesting provisions contained in the attached schedule, in the event of a Change in Control (as defined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Option shall become immediately and fully exercisable in the manner provided in Section 4 hereof.</w:t>
      </w:r>
    </w:p>
    <w:p>
      <w:pPr>
        <w:spacing w:after="0" w:line="119" w:lineRule="exact"/>
        <w:rPr>
          <w:rFonts w:ascii="Arial" w:cs="Arial" w:eastAsia="Arial" w:hAnsi="Arial"/>
          <w:sz w:val="18"/>
          <w:szCs w:val="18"/>
          <w:b w:val="1"/>
          <w:bCs w:val="1"/>
          <w:color w:val="auto"/>
        </w:rPr>
      </w:pPr>
    </w:p>
    <w:p>
      <w:pPr>
        <w:jc w:val="both"/>
        <w:ind w:right="60" w:firstLine="464"/>
        <w:spacing w:after="0" w:line="304" w:lineRule="auto"/>
        <w:tabs>
          <w:tab w:leader="none" w:pos="632" w:val="left"/>
        </w:tabs>
        <w:numPr>
          <w:ilvl w:val="1"/>
          <w:numId w:val="70"/>
        </w:numPr>
        <w:rPr>
          <w:rFonts w:ascii="Arial" w:cs="Arial" w:eastAsia="Arial" w:hAnsi="Arial"/>
          <w:sz w:val="15"/>
          <w:szCs w:val="15"/>
          <w:b w:val="1"/>
          <w:bCs w:val="1"/>
          <w:color w:val="auto"/>
        </w:rPr>
      </w:pPr>
      <w:r>
        <w:rPr>
          <w:rFonts w:ascii="Arial" w:cs="Arial" w:eastAsia="Arial" w:hAnsi="Arial"/>
          <w:sz w:val="15"/>
          <w:szCs w:val="15"/>
          <w:b w:val="1"/>
          <w:bCs w:val="1"/>
          <w:color w:val="auto"/>
        </w:rPr>
        <w:t>Withholding of Tax</w:t>
      </w:r>
      <w:r>
        <w:rPr>
          <w:rFonts w:ascii="Arial" w:cs="Arial" w:eastAsia="Arial" w:hAnsi="Arial"/>
          <w:sz w:val="15"/>
          <w:szCs w:val="15"/>
          <w:color w:val="auto"/>
        </w:rPr>
        <w:t>. Upon exercise by you of the Option, the Company shall have the right to deduct from any cash amounts otherwise payable to you</w:t>
      </w:r>
      <w:r>
        <w:rPr>
          <w:rFonts w:ascii="Arial" w:cs="Arial" w:eastAsia="Arial" w:hAnsi="Arial"/>
          <w:sz w:val="15"/>
          <w:szCs w:val="15"/>
          <w:b w:val="1"/>
          <w:bCs w:val="1"/>
          <w:color w:val="auto"/>
        </w:rPr>
        <w:t xml:space="preserve"> </w:t>
      </w:r>
      <w:r>
        <w:rPr>
          <w:rFonts w:ascii="Arial" w:cs="Arial" w:eastAsia="Arial" w:hAnsi="Arial"/>
          <w:sz w:val="15"/>
          <w:szCs w:val="15"/>
          <w:color w:val="auto"/>
        </w:rPr>
        <w:t>any amounts required to satisfy all tax withholding requirements imposed upon such exercise under applicable federal, state, local or other laws. Alternatively, to satisfy any such withholding requirements, the Company may, at your request, but shall not be required to (a) withhold from the number of shares to be issued that number of shares (based on the Fair Market Value of the shares at the time of such exercise) necessary to satisfy such tax withholding requirements or</w:t>
      </w:r>
    </w:p>
    <w:p>
      <w:pPr>
        <w:spacing w:after="0" w:line="2" w:lineRule="exact"/>
        <w:rPr>
          <w:rFonts w:ascii="Arial" w:cs="Arial" w:eastAsia="Arial" w:hAnsi="Arial"/>
          <w:sz w:val="15"/>
          <w:szCs w:val="15"/>
          <w:b w:val="1"/>
          <w:bCs w:val="1"/>
          <w:color w:val="auto"/>
        </w:rPr>
      </w:pPr>
    </w:p>
    <w:p>
      <w:pPr>
        <w:ind w:right="180" w:firstLine="8"/>
        <w:spacing w:after="0" w:line="261" w:lineRule="auto"/>
        <w:tabs>
          <w:tab w:leader="none" w:pos="249" w:val="left"/>
        </w:tabs>
        <w:numPr>
          <w:ilvl w:val="0"/>
          <w:numId w:val="71"/>
        </w:numPr>
        <w:rPr>
          <w:rFonts w:ascii="Arial" w:cs="Arial" w:eastAsia="Arial" w:hAnsi="Arial"/>
          <w:sz w:val="18"/>
          <w:szCs w:val="18"/>
          <w:color w:val="auto"/>
        </w:rPr>
      </w:pPr>
      <w:r>
        <w:rPr>
          <w:rFonts w:ascii="Arial" w:cs="Arial" w:eastAsia="Arial" w:hAnsi="Arial"/>
          <w:sz w:val="18"/>
          <w:szCs w:val="18"/>
          <w:color w:val="auto"/>
        </w:rPr>
        <w:t>accept delivery from you of shares of common stock of the Company then owned by you (such shares being valued at their Fair Market Value at the time of such exercise) as is sufficient to satisfy such tax withholding requirements.</w:t>
      </w:r>
    </w:p>
    <w:p>
      <w:pPr>
        <w:spacing w:after="0" w:line="131" w:lineRule="exact"/>
        <w:rPr>
          <w:rFonts w:ascii="Arial" w:cs="Arial" w:eastAsia="Arial" w:hAnsi="Arial"/>
          <w:sz w:val="18"/>
          <w:szCs w:val="18"/>
          <w:color w:val="auto"/>
        </w:rPr>
      </w:pPr>
    </w:p>
    <w:p>
      <w:pPr>
        <w:ind w:firstLine="464"/>
        <w:spacing w:after="0" w:line="313" w:lineRule="auto"/>
        <w:tabs>
          <w:tab w:leader="none" w:pos="720" w:val="left"/>
        </w:tabs>
        <w:numPr>
          <w:ilvl w:val="1"/>
          <w:numId w:val="71"/>
        </w:numPr>
        <w:rPr>
          <w:rFonts w:ascii="Arial" w:cs="Arial" w:eastAsia="Arial" w:hAnsi="Arial"/>
          <w:sz w:val="15"/>
          <w:szCs w:val="15"/>
          <w:b w:val="1"/>
          <w:bCs w:val="1"/>
          <w:color w:val="auto"/>
        </w:rPr>
      </w:pPr>
      <w:r>
        <w:rPr>
          <w:rFonts w:ascii="Arial" w:cs="Arial" w:eastAsia="Arial" w:hAnsi="Arial"/>
          <w:sz w:val="15"/>
          <w:szCs w:val="15"/>
          <w:b w:val="1"/>
          <w:bCs w:val="1"/>
          <w:color w:val="auto"/>
        </w:rPr>
        <w:t>Investment Representation</w:t>
      </w:r>
      <w:r>
        <w:rPr>
          <w:rFonts w:ascii="Arial" w:cs="Arial" w:eastAsia="Arial" w:hAnsi="Arial"/>
          <w:sz w:val="15"/>
          <w:szCs w:val="15"/>
          <w:color w:val="auto"/>
        </w:rPr>
        <w:t>. You represent to the Company and agree that if you exercise the Option, in whole or in part, at a time when there is not in</w:t>
      </w:r>
      <w:r>
        <w:rPr>
          <w:rFonts w:ascii="Arial" w:cs="Arial" w:eastAsia="Arial" w:hAnsi="Arial"/>
          <w:sz w:val="15"/>
          <w:szCs w:val="15"/>
          <w:b w:val="1"/>
          <w:bCs w:val="1"/>
          <w:color w:val="auto"/>
        </w:rPr>
        <w:t xml:space="preserve"> </w:t>
      </w:r>
      <w:r>
        <w:rPr>
          <w:rFonts w:ascii="Arial" w:cs="Arial" w:eastAsia="Arial" w:hAnsi="Arial"/>
          <w:sz w:val="15"/>
          <w:szCs w:val="15"/>
          <w:color w:val="auto"/>
        </w:rPr>
        <w:t>effect under the U.S. Securities Act of 1933, as amended, a registration statement relating to the shares issuable upon exercise hereof and available for delivery a prospectus meeting the requirements of Section 10 of said Act, you will acquire such shares upon such exercise for the purpose of investment and not with a view to their resale or distribution and that, upon each such exercise of the Option, you will furnish to the Company a written statement to such effect, satisfactory to the Company in form and substance. Such written agreement shall also state that such shares shall not be transferred except pursuant to an effective registration statement under said Act or in accordance with an exemption from registration thereunder. If certificates are provided for shares issued hereunder, they shall bear the following legend if a registration statement relating to the shares issuable upon exercise hereof is not in effect at the time of exercise of the Option:</w:t>
      </w:r>
    </w:p>
    <w:p>
      <w:pPr>
        <w:spacing w:after="0" w:line="25"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The securities evidenced by this certificate have not been registered under the U.S. Securities Act of 1933 or any other securities laws. These securities have been acquired for investment and may not be sold or transferred for value in the absence of an effective registration of them under the U.S. Securities Act of 1933 and any other applicable securities laws, or receipt by the Company of an opinion of counsel or other evidence acceptable to the Company that such sale or transfer is exempt from registration under such acts and laws.</w:t>
      </w:r>
    </w:p>
    <w:p>
      <w:pPr>
        <w:spacing w:after="0" w:line="107" w:lineRule="exact"/>
        <w:rPr>
          <w:sz w:val="20"/>
          <w:szCs w:val="20"/>
          <w:color w:val="auto"/>
        </w:rPr>
      </w:pPr>
    </w:p>
    <w:p>
      <w:pPr>
        <w:ind w:right="100" w:firstLine="464"/>
        <w:spacing w:after="0" w:line="310" w:lineRule="auto"/>
        <w:tabs>
          <w:tab w:leader="none" w:pos="710"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Employment Relationship</w:t>
      </w:r>
      <w:r>
        <w:rPr>
          <w:rFonts w:ascii="Arial" w:cs="Arial" w:eastAsia="Arial" w:hAnsi="Arial"/>
          <w:sz w:val="16"/>
          <w:szCs w:val="16"/>
          <w:color w:val="auto"/>
        </w:rPr>
        <w:t>. For purposes of this Award Agreement, you shall be considered to be in the employment of the Company as long as you</w:t>
      </w:r>
      <w:r>
        <w:rPr>
          <w:rFonts w:ascii="Arial" w:cs="Arial" w:eastAsia="Arial" w:hAnsi="Arial"/>
          <w:sz w:val="16"/>
          <w:szCs w:val="16"/>
          <w:b w:val="1"/>
          <w:bCs w:val="1"/>
          <w:color w:val="auto"/>
        </w:rPr>
        <w:t xml:space="preserve"> </w:t>
      </w:r>
      <w:r>
        <w:rPr>
          <w:rFonts w:ascii="Arial" w:cs="Arial" w:eastAsia="Arial" w:hAnsi="Arial"/>
          <w:sz w:val="16"/>
          <w:szCs w:val="16"/>
          <w:color w:val="auto"/>
        </w:rPr>
        <w:t>remain an employee of either the Company or an Affiliate. Any question as to whether and when there has been a termination of such employment, for purposes of this Award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83" w:name="page84"/>
    <w:bookmarkEnd w:id="83"/>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and the cause of such termination, for purposes of this Award Agreement, shall be determined by the Committee, and its determination shall be final. Nothing herein shall give you any right to continued employment or affect in any manner the right of the Company or any Affiliate to terminate your employment at any time with or without cause.</w:t>
      </w:r>
    </w:p>
    <w:p>
      <w:pPr>
        <w:spacing w:after="0" w:line="134" w:lineRule="exact"/>
        <w:rPr>
          <w:sz w:val="20"/>
          <w:szCs w:val="20"/>
          <w:color w:val="auto"/>
        </w:rPr>
      </w:pPr>
    </w:p>
    <w:p>
      <w:pPr>
        <w:ind w:right="140" w:firstLine="464"/>
        <w:spacing w:after="0" w:line="293" w:lineRule="auto"/>
        <w:tabs>
          <w:tab w:leader="none" w:pos="720"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Binding Effect</w:t>
      </w:r>
      <w:r>
        <w:rPr>
          <w:rFonts w:ascii="Arial" w:cs="Arial" w:eastAsia="Arial" w:hAnsi="Arial"/>
          <w:sz w:val="16"/>
          <w:szCs w:val="16"/>
          <w:color w:val="auto"/>
        </w:rPr>
        <w:t>. This Award Agreement shall be binding upon and inure to the benefit of any successors to the Company and all persons lawfully</w:t>
      </w:r>
      <w:r>
        <w:rPr>
          <w:rFonts w:ascii="Arial" w:cs="Arial" w:eastAsia="Arial" w:hAnsi="Arial"/>
          <w:sz w:val="16"/>
          <w:szCs w:val="16"/>
          <w:b w:val="1"/>
          <w:bCs w:val="1"/>
          <w:color w:val="auto"/>
        </w:rPr>
        <w:t xml:space="preserve"> </w:t>
      </w:r>
      <w:r>
        <w:rPr>
          <w:rFonts w:ascii="Arial" w:cs="Arial" w:eastAsia="Arial" w:hAnsi="Arial"/>
          <w:sz w:val="16"/>
          <w:szCs w:val="16"/>
          <w:color w:val="auto"/>
        </w:rPr>
        <w:t>claiming under you. This Award Agreement and all actions taken shall be governed by and construed in accordance with the laws of the State of Delaware. The Committee shall have authority to construe the terms of this Award Agreement, and the Committee’s determinations shall be final and binding on you and the Company. This Award Agreement shall be subject to the terms and conditions of the Plan as presently constituted and as may be amended hereafter from time to time, including the discretion therein provided to the Committee. Except as may be otherwise provided by the Plan, amendments to the Plan shall constitute amendments to this Award Agreement and shall be incorporated herein without the execution of any amendment or supplement hereto by the parties.</w:t>
      </w:r>
    </w:p>
    <w:p>
      <w:pPr>
        <w:spacing w:after="0" w:line="110" w:lineRule="exact"/>
        <w:rPr>
          <w:rFonts w:ascii="Arial" w:cs="Arial" w:eastAsia="Arial" w:hAnsi="Arial"/>
          <w:sz w:val="16"/>
          <w:szCs w:val="16"/>
          <w:b w:val="1"/>
          <w:bCs w:val="1"/>
          <w:color w:val="auto"/>
        </w:rPr>
      </w:pPr>
    </w:p>
    <w:p>
      <w:pPr>
        <w:ind w:left="720" w:hanging="256"/>
        <w:spacing w:after="0"/>
        <w:tabs>
          <w:tab w:leader="none" w:pos="72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 and Clawback.</w:t>
      </w:r>
    </w:p>
    <w:p>
      <w:pPr>
        <w:spacing w:after="0" w:line="96" w:lineRule="exact"/>
        <w:rPr>
          <w:rFonts w:ascii="Arial" w:cs="Arial" w:eastAsia="Arial" w:hAnsi="Arial"/>
          <w:sz w:val="18"/>
          <w:szCs w:val="18"/>
          <w:b w:val="1"/>
          <w:bCs w:val="1"/>
          <w:color w:val="auto"/>
        </w:rPr>
      </w:pPr>
    </w:p>
    <w:p>
      <w:pPr>
        <w:ind w:left="460" w:right="100" w:firstLine="443"/>
        <w:spacing w:after="0" w:line="255" w:lineRule="auto"/>
        <w:tabs>
          <w:tab w:leader="none" w:pos="1137" w:val="left"/>
        </w:tabs>
        <w:numPr>
          <w:ilvl w:val="1"/>
          <w:numId w:val="73"/>
        </w:numPr>
        <w:rPr>
          <w:rFonts w:ascii="Arial" w:cs="Arial" w:eastAsia="Arial" w:hAnsi="Arial"/>
          <w:sz w:val="18"/>
          <w:szCs w:val="18"/>
          <w:color w:val="auto"/>
        </w:rPr>
      </w:pPr>
      <w:r>
        <w:rPr>
          <w:rFonts w:ascii="Arial" w:cs="Arial" w:eastAsia="Arial" w:hAnsi="Arial"/>
          <w:sz w:val="18"/>
          <w:szCs w:val="18"/>
          <w:color w:val="auto"/>
        </w:rPr>
        <w:t>You agree that in the event you violate the confidentiality, non-competition, non-solicitation or non-disparagement provisions of any agreement between you and the Company or any Affiliate, or any plan of the Company or any Affiliate in which you participate, you will forfeit in its entirety any remaining portion of the Option which has not previously been exercised under Section 4, irrespective of whether the remaining portion of the Option is currently exercisable in whole or in part at the time when it is forfeited, and all of your rights thereto shall terminate without any payment of consideration by the Company.</w:t>
      </w:r>
    </w:p>
    <w:p>
      <w:pPr>
        <w:spacing w:after="0" w:line="61" w:lineRule="exact"/>
        <w:rPr>
          <w:rFonts w:ascii="Arial" w:cs="Arial" w:eastAsia="Arial" w:hAnsi="Arial"/>
          <w:sz w:val="18"/>
          <w:szCs w:val="18"/>
          <w:color w:val="auto"/>
        </w:rPr>
      </w:pPr>
    </w:p>
    <w:p>
      <w:pPr>
        <w:ind w:left="460" w:right="20" w:firstLine="443"/>
        <w:spacing w:after="0" w:line="291" w:lineRule="auto"/>
        <w:tabs>
          <w:tab w:leader="none" w:pos="1147" w:val="left"/>
        </w:tabs>
        <w:numPr>
          <w:ilvl w:val="1"/>
          <w:numId w:val="73"/>
        </w:numPr>
        <w:rPr>
          <w:rFonts w:ascii="Arial" w:cs="Arial" w:eastAsia="Arial" w:hAnsi="Arial"/>
          <w:sz w:val="16"/>
          <w:szCs w:val="16"/>
          <w:color w:val="auto"/>
        </w:rPr>
      </w:pPr>
      <w:r>
        <w:rPr>
          <w:rFonts w:ascii="Arial" w:cs="Arial" w:eastAsia="Arial" w:hAnsi="Arial"/>
          <w:sz w:val="16"/>
          <w:szCs w:val="16"/>
          <w:color w:val="auto"/>
        </w:rPr>
        <w:t>Notwithstanding any other provision of the Plan or this Award Agreement to the contrary, you acknowledge that any incentive-based compensation paid to you hereunder may be subject to recovery by the Company under any clawback policy which the Company may adopt from time to time, including without limitation the Company’s existing policy and any policy which the Company may be required to adopt under Section 954 of the Dodd-Frank Wall Street Reform and Consumer Protection Act and the rules and regulations of the U.S. Securities and Exchange Commission thereunder or the requirements of any national securities exchange on which the Company’s common stock may be listed. You agree to promptly return any such incentive-based compensation which the Company determines it is required to recover from you under any such clawback policy.</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you accept this Award Agreement and agree to the foregoing terms and conditions, please so confirm by signing and returning the duplicate copy of this Award Agreement enclosed for that purpose.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20" w:type="dxa"/>
            <w:vAlign w:val="bottom"/>
          </w:tcPr>
          <w:p>
            <w:pPr>
              <w:spacing w:after="0"/>
              <w:rPr>
                <w:sz w:val="19"/>
                <w:szCs w:val="19"/>
                <w:color w:val="auto"/>
              </w:rPr>
            </w:pPr>
          </w:p>
        </w:tc>
        <w:tc>
          <w:tcPr>
            <w:tcW w:w="6900" w:type="dxa"/>
            <w:vAlign w:val="bottom"/>
            <w:gridSpan w:val="4"/>
          </w:tcPr>
          <w:p>
            <w:pPr>
              <w:ind w:left="860"/>
              <w:spacing w:after="0"/>
              <w:rPr>
                <w:sz w:val="20"/>
                <w:szCs w:val="20"/>
                <w:color w:val="auto"/>
              </w:rPr>
            </w:pPr>
            <w:r>
              <w:rPr>
                <w:rFonts w:ascii="Arial" w:cs="Arial" w:eastAsia="Arial" w:hAnsi="Arial"/>
                <w:sz w:val="18"/>
                <w:szCs w:val="18"/>
                <w:color w:val="auto"/>
              </w:rPr>
              <w:t>MATRIX SERVICE COMPANY</w:t>
            </w:r>
          </w:p>
        </w:tc>
      </w:tr>
      <w:tr>
        <w:trPr>
          <w:trHeight w:val="488"/>
        </w:trPr>
        <w:tc>
          <w:tcPr>
            <w:tcW w:w="4520" w:type="dxa"/>
            <w:vAlign w:val="bottom"/>
          </w:tcPr>
          <w:p>
            <w:pPr>
              <w:spacing w:after="0"/>
              <w:rPr>
                <w:sz w:val="24"/>
                <w:szCs w:val="24"/>
                <w:color w:val="auto"/>
              </w:rPr>
            </w:pPr>
          </w:p>
        </w:tc>
        <w:tc>
          <w:tcPr>
            <w:tcW w:w="1320" w:type="dxa"/>
            <w:vAlign w:val="bottom"/>
            <w:gridSpan w:val="2"/>
          </w:tcPr>
          <w:p>
            <w:pPr>
              <w:ind w:left="860"/>
              <w:spacing w:after="0"/>
              <w:rPr>
                <w:sz w:val="20"/>
                <w:szCs w:val="20"/>
                <w:color w:val="auto"/>
              </w:rPr>
            </w:pPr>
            <w:r>
              <w:rPr>
                <w:rFonts w:ascii="Arial" w:cs="Arial" w:eastAsia="Arial" w:hAnsi="Arial"/>
                <w:sz w:val="18"/>
                <w:szCs w:val="18"/>
                <w:color w:val="auto"/>
              </w:rPr>
              <w:t>By:</w:t>
            </w:r>
          </w:p>
        </w:tc>
        <w:tc>
          <w:tcPr>
            <w:tcW w:w="5580" w:type="dxa"/>
            <w:vAlign w:val="bottom"/>
            <w:tcBorders>
              <w:bottom w:val="single" w:sz="8" w:color="auto"/>
            </w:tcBorders>
            <w:gridSpan w:val="2"/>
          </w:tcPr>
          <w:p>
            <w:pPr>
              <w:spacing w:after="0"/>
              <w:rPr>
                <w:sz w:val="24"/>
                <w:szCs w:val="24"/>
                <w:color w:val="auto"/>
              </w:rPr>
            </w:pPr>
          </w:p>
        </w:tc>
      </w:tr>
      <w:tr>
        <w:trPr>
          <w:trHeight w:val="221"/>
        </w:trPr>
        <w:tc>
          <w:tcPr>
            <w:tcW w:w="4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60" w:type="dxa"/>
            <w:vAlign w:val="bottom"/>
            <w:gridSpan w:val="3"/>
          </w:tcPr>
          <w:p>
            <w:pPr>
              <w:ind w:left="280"/>
              <w:spacing w:after="0"/>
              <w:rPr>
                <w:sz w:val="20"/>
                <w:szCs w:val="20"/>
                <w:color w:val="auto"/>
              </w:rPr>
            </w:pPr>
            <w:r>
              <w:rPr>
                <w:rFonts w:ascii="Arial" w:cs="Arial" w:eastAsia="Arial" w:hAnsi="Arial"/>
                <w:sz w:val="18"/>
                <w:szCs w:val="18"/>
                <w:color w:val="auto"/>
              </w:rPr>
              <w:t>Name:</w:t>
            </w:r>
          </w:p>
        </w:tc>
      </w:tr>
      <w:tr>
        <w:trPr>
          <w:trHeight w:val="202"/>
        </w:trPr>
        <w:tc>
          <w:tcPr>
            <w:tcW w:w="4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Title:</w:t>
            </w:r>
          </w:p>
        </w:tc>
        <w:tc>
          <w:tcPr>
            <w:tcW w:w="4900" w:type="dxa"/>
            <w:vAlign w:val="bottom"/>
            <w:tcBorders>
              <w:top w:val="single" w:sz="8" w:color="auto"/>
            </w:tcBorders>
          </w:tcPr>
          <w:p>
            <w:pPr>
              <w:spacing w:after="0"/>
              <w:rPr>
                <w:sz w:val="17"/>
                <w:szCs w:val="17"/>
                <w:color w:val="auto"/>
              </w:rPr>
            </w:pPr>
          </w:p>
        </w:tc>
      </w:tr>
      <w:tr>
        <w:trPr>
          <w:trHeight w:val="36"/>
        </w:trPr>
        <w:tc>
          <w:tcPr>
            <w:tcW w:w="4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r>
      <w:tr>
        <w:trPr>
          <w:trHeight w:val="345"/>
        </w:trPr>
        <w:tc>
          <w:tcPr>
            <w:tcW w:w="4520" w:type="dxa"/>
            <w:vAlign w:val="bottom"/>
          </w:tcPr>
          <w:p>
            <w:pPr>
              <w:ind w:left="460"/>
              <w:spacing w:after="0"/>
              <w:rPr>
                <w:sz w:val="20"/>
                <w:szCs w:val="20"/>
                <w:color w:val="auto"/>
              </w:rPr>
            </w:pPr>
            <w:r>
              <w:rPr>
                <w:rFonts w:ascii="Arial" w:cs="Arial" w:eastAsia="Arial" w:hAnsi="Arial"/>
                <w:sz w:val="18"/>
                <w:szCs w:val="18"/>
                <w:color w:val="auto"/>
                <w:w w:val="88"/>
              </w:rPr>
              <w:t>The foregoing Award Agreement is accepted by me as of</w:t>
            </w:r>
          </w:p>
        </w:tc>
        <w:tc>
          <w:tcPr>
            <w:tcW w:w="1040" w:type="dxa"/>
            <w:vAlign w:val="bottom"/>
            <w:tcBorders>
              <w:bottom w:val="single" w:sz="8" w:color="auto"/>
            </w:tcBorders>
          </w:tcPr>
          <w:p>
            <w:pPr>
              <w:spacing w:after="0"/>
              <w:rPr>
                <w:sz w:val="24"/>
                <w:szCs w:val="24"/>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w w:val="88"/>
              </w:rPr>
              <w:t>, and I hereby agree to the terms, conditions, and restrictions set forth above and in</w:t>
            </w:r>
          </w:p>
        </w:tc>
      </w:tr>
      <w:tr>
        <w:trPr>
          <w:trHeight w:val="235"/>
        </w:trPr>
        <w:tc>
          <w:tcPr>
            <w:tcW w:w="4520" w:type="dxa"/>
            <w:vAlign w:val="bottom"/>
          </w:tcPr>
          <w:p>
            <w:pPr>
              <w:spacing w:after="0"/>
              <w:rPr>
                <w:sz w:val="20"/>
                <w:szCs w:val="20"/>
                <w:color w:val="auto"/>
              </w:rPr>
            </w:pPr>
            <w:r>
              <w:rPr>
                <w:rFonts w:ascii="Arial" w:cs="Arial" w:eastAsia="Arial" w:hAnsi="Arial"/>
                <w:sz w:val="18"/>
                <w:szCs w:val="18"/>
                <w:color w:val="auto"/>
              </w:rPr>
              <w:t>the Plan.</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335915</wp:posOffset>
            </wp:positionV>
            <wp:extent cx="36188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«Optionee»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Option Vesting Schedule</w:t>
      </w:r>
    </w:p>
    <w:p>
      <w:pPr>
        <w:sectPr>
          <w:pgSz w:w="11900" w:h="16838" w:orient="portrait"/>
          <w:cols w:equalWidth="0" w:num="1">
            <w:col w:w="9019"/>
          </w:cols>
          <w:pgMar w:left="1440" w:top="261" w:right="1440" w:bottom="1440" w:gutter="0" w:footer="0" w:header="0"/>
        </w:sectPr>
      </w:pP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261" w:right="1440" w:bottom="1440" w:gutter="0" w:footer="0" w:header="0"/>
          <w:type w:val="continuous"/>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Inc., an Oklahoma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Inc. Canada, an Ontario, Canada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Canada ULC, an Alberta, Canada unlimited liability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SME, Inc., an Oklahoma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SME Canada,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Industrial Contractors ULC, a Nova Scotia, Canada unlimited liability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 Electric Company, Inc., a New Jersey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PDM Engineering,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PDM Engineering Services,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EDC Engineering Services,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Aquatic Solutions, Inc., an Oklahoma corporation</w:t>
      </w:r>
    </w:p>
    <w:p>
      <w:pPr>
        <w:sectPr>
          <w:pgSz w:w="11900" w:h="16838" w:orient="portrait"/>
          <w:cols w:equalWidth="0" w:num="1">
            <w:col w:w="11420"/>
          </w:cols>
          <w:pgMar w:left="240" w:top="584"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consent to the incorporation by reference in the following Registration Statements of Matrix Service Company of our reports dated September 6, 2012 relating to the consolidated financial statements and financial statement schedule of Matrix Service Company and the effectiveness of Matrix Service Company’s internal control over financial reporting, appearing in this Annual Report on Form 10-K for the year ended June 30, 2012:</w:t>
      </w:r>
    </w:p>
    <w:p>
      <w:pPr>
        <w:spacing w:after="0" w:line="107" w:lineRule="exact"/>
        <w:rPr>
          <w:sz w:val="20"/>
          <w:szCs w:val="20"/>
          <w:color w:val="auto"/>
        </w:rPr>
      </w:pPr>
    </w:p>
    <w:p>
      <w:pPr>
        <w:ind w:left="460" w:right="200" w:firstLine="438"/>
        <w:spacing w:after="0" w:line="268" w:lineRule="auto"/>
        <w:rPr>
          <w:sz w:val="20"/>
          <w:szCs w:val="20"/>
          <w:color w:val="auto"/>
        </w:rPr>
      </w:pPr>
      <w:r>
        <w:rPr>
          <w:rFonts w:ascii="Arial" w:cs="Arial" w:eastAsia="Arial" w:hAnsi="Arial"/>
          <w:sz w:val="18"/>
          <w:szCs w:val="18"/>
          <w:color w:val="auto"/>
        </w:rPr>
        <w:t>Registration Statement on Form S-3 (Registration No. 333-178926) related to the registration of $400,000,000 of Common Stock, Preferred Stock, Debt Securities, Warrants and Units</w:t>
      </w:r>
    </w:p>
    <w:p>
      <w:pPr>
        <w:spacing w:after="0" w:line="132" w:lineRule="exact"/>
        <w:rPr>
          <w:sz w:val="20"/>
          <w:szCs w:val="20"/>
          <w:color w:val="auto"/>
        </w:rPr>
      </w:pPr>
    </w:p>
    <w:p>
      <w:pPr>
        <w:ind w:left="900" w:right="960"/>
        <w:spacing w:after="0" w:line="493" w:lineRule="auto"/>
        <w:rPr>
          <w:sz w:val="20"/>
          <w:szCs w:val="20"/>
          <w:color w:val="auto"/>
        </w:rPr>
      </w:pPr>
      <w:r>
        <w:rPr>
          <w:rFonts w:ascii="Arial" w:cs="Arial" w:eastAsia="Arial" w:hAnsi="Arial"/>
          <w:sz w:val="16"/>
          <w:szCs w:val="16"/>
          <w:color w:val="auto"/>
        </w:rPr>
        <w:t>Registration Statement on Form S-8 (File No. 333-171247) related to the Matrix Service Company 2011 Employee Stock Purchase Plan Registration Statement on Form S-8 (File No. 333-171245) related to the Matrix Service Company 2004 Stock Incentive Plan Registration Statement on Form S-8 (File No. 333-119840) related to the Matrix Service Company 2004 Stock Option Plan Registration Statement on Form S-8 (File No. 33-36081) related to the Matrix Service Company 1990 Incentive Stock Option Plan Registration Statement on Form S-8 (File No. 333-56945) related to the Matrix Service Company 1991 Stock Option Plan Registration Statement on Form S-8 (File No. 33-71604) related to the Matrix Service Company 1991 Stock Option Plan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Registration Statement of Form S-8 (File No. 333-02771) related to the Matrix Service Company 1995 Nonemployee Directors’ Stock Option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6, 2012</w:t>
      </w:r>
    </w:p>
    <w:p>
      <w:pPr>
        <w:sectPr>
          <w:pgSz w:w="11900" w:h="16838" w:orient="portrait"/>
          <w:cols w:equalWidth="0" w:num="1">
            <w:col w:w="11420"/>
          </w:cols>
          <w:pgMar w:left="240" w:top="125"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212"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Matrix Service Company;</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120" w:hanging="446"/>
        <w:spacing w:after="0" w:line="305" w:lineRule="auto"/>
        <w:tabs>
          <w:tab w:leader="none" w:pos="9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 – 15(e)) and internal control over financial reporting (as defined in Exchange Act Rules 13a – 15(f) and 15d</w:t>
      </w:r>
    </w:p>
    <w:p>
      <w:pPr>
        <w:ind w:left="900"/>
        <w:spacing w:after="0"/>
        <w:rPr>
          <w:rFonts w:ascii="Arial" w:cs="Arial" w:eastAsia="Arial" w:hAnsi="Arial"/>
          <w:sz w:val="15"/>
          <w:szCs w:val="15"/>
          <w:color w:val="auto"/>
        </w:rPr>
      </w:pPr>
      <w:r>
        <w:rPr>
          <w:rFonts w:ascii="Arial" w:cs="Arial" w:eastAsia="Arial" w:hAnsi="Arial"/>
          <w:sz w:val="18"/>
          <w:szCs w:val="18"/>
          <w:color w:val="auto"/>
        </w:rPr>
        <w:t>– 15f)) for the registrant and have:</w:t>
      </w:r>
    </w:p>
    <w:p>
      <w:pPr>
        <w:spacing w:after="0" w:line="83" w:lineRule="exact"/>
        <w:rPr>
          <w:rFonts w:ascii="Arial" w:cs="Arial" w:eastAsia="Arial" w:hAnsi="Arial"/>
          <w:sz w:val="15"/>
          <w:szCs w:val="15"/>
          <w:color w:val="auto"/>
        </w:rPr>
      </w:pPr>
    </w:p>
    <w:p>
      <w:pPr>
        <w:ind w:left="1480" w:right="160" w:hanging="567"/>
        <w:spacing w:after="0" w:line="259" w:lineRule="auto"/>
        <w:tabs>
          <w:tab w:leader="none" w:pos="1480" w:val="left"/>
        </w:tabs>
        <w:numPr>
          <w:ilvl w:val="2"/>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2"/>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2"/>
          <w:numId w:val="7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2"/>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2"/>
          <w:numId w:val="7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2"/>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2012</w:t>
      </w:r>
    </w:p>
    <w:p>
      <w:pPr>
        <w:spacing w:after="0" w:line="22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John R. Hewitt</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212"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Matrix Service Company;</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120" w:hanging="446"/>
        <w:spacing w:after="0" w:line="305" w:lineRule="auto"/>
        <w:tabs>
          <w:tab w:leader="none" w:pos="9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 – 15(e)) and internal control over financial reporting (as defined in Exchange Act Rules 13a – 15(f) and 15d</w:t>
      </w:r>
    </w:p>
    <w:p>
      <w:pPr>
        <w:ind w:left="900"/>
        <w:spacing w:after="0"/>
        <w:rPr>
          <w:rFonts w:ascii="Arial" w:cs="Arial" w:eastAsia="Arial" w:hAnsi="Arial"/>
          <w:sz w:val="15"/>
          <w:szCs w:val="15"/>
          <w:color w:val="auto"/>
        </w:rPr>
      </w:pPr>
      <w:r>
        <w:rPr>
          <w:rFonts w:ascii="Arial" w:cs="Arial" w:eastAsia="Arial" w:hAnsi="Arial"/>
          <w:sz w:val="18"/>
          <w:szCs w:val="18"/>
          <w:color w:val="auto"/>
        </w:rPr>
        <w:t>– 15f)) for the registrant and have:</w:t>
      </w:r>
    </w:p>
    <w:p>
      <w:pPr>
        <w:spacing w:after="0" w:line="83" w:lineRule="exact"/>
        <w:rPr>
          <w:rFonts w:ascii="Arial" w:cs="Arial" w:eastAsia="Arial" w:hAnsi="Arial"/>
          <w:sz w:val="15"/>
          <w:szCs w:val="15"/>
          <w:color w:val="auto"/>
        </w:rPr>
      </w:pPr>
    </w:p>
    <w:p>
      <w:pPr>
        <w:ind w:left="1480" w:right="160" w:hanging="567"/>
        <w:spacing w:after="0" w:line="259" w:lineRule="auto"/>
        <w:tabs>
          <w:tab w:leader="none" w:pos="1480" w:val="left"/>
        </w:tabs>
        <w:numPr>
          <w:ilvl w:val="2"/>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2"/>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2"/>
          <w:numId w:val="7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2"/>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2"/>
          <w:numId w:val="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2"/>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2012</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Kevin S. Cavanah</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125"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 S. 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Sarbanes-Oxley Act of 2002</w:t>
      </w:r>
    </w:p>
    <w:p>
      <w:pPr>
        <w:spacing w:after="0" w:line="165" w:lineRule="exact"/>
        <w:rPr>
          <w:sz w:val="20"/>
          <w:szCs w:val="20"/>
          <w:color w:val="auto"/>
        </w:rPr>
      </w:pPr>
    </w:p>
    <w:p>
      <w:pPr>
        <w:ind w:right="600"/>
        <w:spacing w:after="0" w:line="306" w:lineRule="auto"/>
        <w:rPr>
          <w:sz w:val="20"/>
          <w:szCs w:val="20"/>
          <w:color w:val="auto"/>
        </w:rPr>
      </w:pPr>
      <w:r>
        <w:rPr>
          <w:rFonts w:ascii="Arial" w:cs="Arial" w:eastAsia="Arial" w:hAnsi="Arial"/>
          <w:sz w:val="16"/>
          <w:szCs w:val="16"/>
          <w:color w:val="auto"/>
        </w:rPr>
        <w:t>In connection with the Annual Report of Matrix Service Company (the “Company”) on Form 10-K for the period ending June 30, 2012 as filed with the Securities and Exchange Commission on the date hereof (the “Report”), I, John R. Hewitt, President and Chief Executive Officer of the Company, certify, pursuant to 18 U.S.C. ss 1350, as adopted pursuant to ss. 906 of the Sarbanes Oxley Act of 2002, that based on my knowledge:</w:t>
      </w:r>
    </w:p>
    <w:p>
      <w:pPr>
        <w:spacing w:after="0" w:line="26"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2012</w:t>
      </w:r>
    </w:p>
    <w:p>
      <w:pPr>
        <w:spacing w:after="0" w:line="22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John R. Hewitt</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 S. 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Sarbanes-Oxley Act of 2002</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Annual Report of Matrix Service Company (the “Company”) on Form 10-K for the period ending June 30, 2012 as filed with the Securities and Exchange Commission on the date hereof (the “Report”), I, Kevin S. Cavanah, Vice President and Chief Financial Officer of the Company, certify, pursuant to 18 U.S.C. ss 1350, as adopted pursuant to ss. 906 of the Sarbanes Oxley Act of 2002, that based on my knowledge:</w:t>
      </w:r>
    </w:p>
    <w:p>
      <w:pPr>
        <w:spacing w:after="0" w:line="26"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2012</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Kevin S. Cavanah</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Vice President 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lvl w:ilvl="1">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lvl w:ilvl="1">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1)"/>
      <w:numFmt w:val="decimal"/>
      <w:start w:val="1"/>
    </w:lvl>
  </w:abstractNum>
  <w:abstractNum w:abstractNumId="14">
    <w:nsid w:val="4B588F54"/>
    <w:multiLevelType w:val="hybridMultilevel"/>
    <w:lvl w:ilvl="0">
      <w:lvlJc w:val="left"/>
      <w:lvlText w:val="(%1)"/>
      <w:numFmt w:val="upperLetter"/>
      <w:start w:val="1"/>
    </w:lvl>
    <w:lvl w:ilvl="1">
      <w:lvlJc w:val="left"/>
      <w:lvlText w:val="-"/>
      <w:numFmt w:val="bullet"/>
      <w:start w:val="1"/>
    </w:lvl>
  </w:abstractNum>
  <w:abstractNum w:abstractNumId="15">
    <w:nsid w:val="542289EC"/>
    <w:multiLevelType w:val="hybridMultilevel"/>
    <w:lvl w:ilvl="0">
      <w:lvlJc w:val="left"/>
      <w:lvlText w:val="(%1)"/>
      <w:numFmt w:val="decimal"/>
      <w:start w:val="1"/>
    </w:lvl>
    <w:lvl w:ilvl="1">
      <w:lvlJc w:val="left"/>
      <w:lvlText w:val="-"/>
      <w:numFmt w:val="bullet"/>
      <w:start w:val="1"/>
    </w:lvl>
  </w:abstractNum>
  <w:abstractNum w:abstractNumId="16">
    <w:nsid w:val="6DE91B18"/>
    <w:multiLevelType w:val="hybridMultilevel"/>
    <w:lvl w:ilvl="0">
      <w:lvlJc w:val="left"/>
      <w:lvlText w:val="•"/>
      <w:numFmt w:val="bullet"/>
      <w:start w:val="1"/>
    </w:lvl>
    <w:lvl w:ilvl="1">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lvl w:ilvl="1">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lvl w:ilvl="1">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lvl w:ilvl="1">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1)"/>
      <w:numFmt w:val="decimal"/>
      <w:start w:val="1"/>
    </w:lvl>
  </w:abstractNum>
  <w:abstractNum w:abstractNumId="29">
    <w:nsid w:val="520EEDD1"/>
    <w:multiLevelType w:val="hybridMultilevel"/>
    <w:lvl w:ilvl="0">
      <w:lvlJc w:val="left"/>
      <w:lvlText w:val="(%1)"/>
      <w:numFmt w:val="decimal"/>
      <w:start w:val="1"/>
    </w:lvl>
  </w:abstractNum>
  <w:abstractNum w:abstractNumId="30">
    <w:nsid w:val="374A3FE6"/>
    <w:multiLevelType w:val="hybridMultilevel"/>
    <w:lvl w:ilvl="0">
      <w:lvlJc w:val="left"/>
      <w:lvlText w:val="(%1)"/>
      <w:numFmt w:val="decimal"/>
      <w:start w:val="1"/>
    </w:lvl>
    <w:lvl w:ilvl="1">
      <w:lvlJc w:val="left"/>
      <w:lvlText w:val="-"/>
      <w:numFmt w:val="bullet"/>
      <w:start w:val="1"/>
    </w:lvl>
  </w:abstractNum>
  <w:abstractNum w:abstractNumId="31">
    <w:nsid w:val="4F4EF005"/>
    <w:multiLevelType w:val="hybridMultilevel"/>
    <w:lvl w:ilvl="0">
      <w:lvlJc w:val="left"/>
      <w:lvlText w:val="(%1)"/>
      <w:numFmt w:val="decimal"/>
      <w:start w:val="2"/>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lvl w:ilvl="1">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lvl w:ilvl="1">
      <w:lvlJc w:val="left"/>
      <w:lvlText w:val="-"/>
      <w:numFmt w:val="bullet"/>
      <w:start w:val="1"/>
    </w:lvl>
  </w:abstractNum>
  <w:abstractNum w:abstractNumId="38">
    <w:nsid w:val="235BA861"/>
    <w:multiLevelType w:val="hybridMultilevel"/>
    <w:lvl w:ilvl="0">
      <w:lvlJc w:val="left"/>
      <w:lvlText w:val="(%1)"/>
      <w:numFmt w:val="decimal"/>
      <w:start w:val="1"/>
    </w:lvl>
  </w:abstractNum>
  <w:abstractNum w:abstractNumId="39">
    <w:nsid w:val="47398C89"/>
    <w:multiLevelType w:val="hybridMultilevel"/>
    <w:lvl w:ilvl="0">
      <w:lvlJc w:val="left"/>
      <w:lvlText w:val="(%1)"/>
      <w:numFmt w:val="lowerLetter"/>
      <w:start w:val="1"/>
    </w:lvl>
  </w:abstractNum>
  <w:abstractNum w:abstractNumId="40">
    <w:nsid w:val="354FE9F9"/>
    <w:multiLevelType w:val="hybridMultilevel"/>
    <w:lvl w:ilvl="0">
      <w:lvlJc w:val="left"/>
      <w:lvlText w:val="(%1)"/>
      <w:numFmt w:val="upperLetter"/>
      <w:start w:val="1"/>
    </w:lvl>
    <w:lvl w:ilvl="1">
      <w:lvlJc w:val="left"/>
      <w:lvlText w:val="-"/>
      <w:numFmt w:val="bullet"/>
      <w:start w:val="1"/>
    </w:lvl>
  </w:abstractNum>
  <w:abstractNum w:abstractNumId="41">
    <w:nsid w:val="15B5AF5C"/>
    <w:multiLevelType w:val="hybridMultilevel"/>
    <w:lvl w:ilvl="0">
      <w:lvlJc w:val="left"/>
      <w:lvlText w:val="(%1)"/>
      <w:numFmt w:val="decimal"/>
      <w:start w:val="2"/>
    </w:lvl>
  </w:abstractNum>
  <w:abstractNum w:abstractNumId="42">
    <w:nsid w:val="741226BB"/>
    <w:multiLevelType w:val="hybridMultilevel"/>
    <w:lvl w:ilvl="0">
      <w:lvlJc w:val="left"/>
      <w:lvlText w:val="(%1)"/>
      <w:numFmt w:val="decimal"/>
      <w:start w:val="3"/>
    </w:lvl>
  </w:abstractNum>
  <w:abstractNum w:abstractNumId="43">
    <w:nsid w:val="D34B6A8"/>
    <w:multiLevelType w:val="hybridMultilevel"/>
    <w:lvl w:ilvl="0">
      <w:lvlJc w:val="left"/>
      <w:lvlText w:val="4"/>
      <w:numFmt w:val="bullet"/>
      <w:start w:val="1"/>
    </w:lvl>
  </w:abstractNum>
  <w:abstractNum w:abstractNumId="44">
    <w:nsid w:val="10233C99"/>
    <w:multiLevelType w:val="hybridMultilevel"/>
    <w:lvl w:ilvl="0">
      <w:lvlJc w:val="left"/>
      <w:lvlText w:val="4"/>
      <w:numFmt w:val="bullet"/>
      <w:start w:val="1"/>
    </w:lvl>
  </w:abstractNum>
  <w:abstractNum w:abstractNumId="45">
    <w:nsid w:val="3F6AB60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6">
    <w:nsid w:val="6157409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7">
    <w:nsid w:val="7E0C57B1"/>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48">
    <w:nsid w:val="77AE35EB"/>
    <w:multiLevelType w:val="hybridMultilevel"/>
    <w:lvl w:ilvl="0">
      <w:lvlJc w:val="left"/>
      <w:lvlText w:val="(%1)"/>
      <w:numFmt w:val="lowerLetter"/>
      <w:start w:val="5"/>
    </w:lvl>
    <w:lvl w:ilvl="1">
      <w:lvlJc w:val="left"/>
      <w:lvlText w:val="(%2)"/>
      <w:numFmt w:val="lowerLetter"/>
      <w:start w:val="9"/>
    </w:lvl>
    <w:lvl w:ilvl="2">
      <w:lvlJc w:val="left"/>
      <w:lvlText w:val="%3"/>
      <w:numFmt w:val="upperLetter"/>
      <w:start w:val="1"/>
    </w:lvl>
  </w:abstractNum>
  <w:abstractNum w:abstractNumId="49">
    <w:nsid w:val="579BE4F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50">
    <w:nsid w:val="310C50B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1">
    <w:nsid w:val="5FF87E05"/>
    <w:multiLevelType w:val="hybridMultilevel"/>
    <w:lvl w:ilvl="0">
      <w:lvlJc w:val="left"/>
      <w:lvlText w:val="%1."/>
      <w:numFmt w:val="decimal"/>
      <w:start w:val="5"/>
    </w:lvl>
  </w:abstractNum>
  <w:abstractNum w:abstractNumId="52">
    <w:nsid w:val="2F305DEF"/>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53">
    <w:nsid w:val="25A70BF7"/>
    <w:multiLevelType w:val="hybridMultilevel"/>
    <w:lvl w:ilvl="0">
      <w:lvlJc w:val="left"/>
      <w:lvlText w:val="(%1)"/>
      <w:numFmt w:val="lowerLetter"/>
      <w:start w:val="2"/>
    </w:lvl>
    <w:lvl w:ilvl="1">
      <w:lvlJc w:val="left"/>
      <w:lvlText w:val="%2."/>
      <w:numFmt w:val="decimal"/>
      <w:start w:val="8"/>
    </w:lvl>
    <w:lvl w:ilvl="2">
      <w:lvlJc w:val="left"/>
      <w:lvlText w:val="(%3)"/>
      <w:numFmt w:val="lowerLetter"/>
      <w:start w:val="1"/>
    </w:lvl>
  </w:abstractNum>
  <w:abstractNum w:abstractNumId="54">
    <w:nsid w:val="1DBABF00"/>
    <w:multiLevelType w:val="hybridMultilevel"/>
    <w:lvl w:ilvl="0">
      <w:lvlJc w:val="left"/>
      <w:lvlText w:val="%1."/>
      <w:numFmt w:val="decimal"/>
      <w:start w:val="1"/>
    </w:lvl>
  </w:abstractNum>
  <w:abstractNum w:abstractNumId="55">
    <w:nsid w:val="4AD084E9"/>
    <w:multiLevelType w:val="hybridMultilevel"/>
    <w:lvl w:ilvl="0">
      <w:lvlJc w:val="left"/>
      <w:lvlText w:val="%1"/>
      <w:numFmt w:val="lowerRoman"/>
      <w:start w:val="1"/>
    </w:lvl>
    <w:lvl w:ilvl="1">
      <w:lvlJc w:val="left"/>
      <w:lvlText w:val="%2."/>
      <w:numFmt w:val="decimal"/>
      <w:start w:val="3"/>
    </w:lvl>
  </w:abstractNum>
  <w:abstractNum w:abstractNumId="56">
    <w:nsid w:val="1F48EAA1"/>
    <w:multiLevelType w:val="hybridMultilevel"/>
    <w:lvl w:ilvl="0">
      <w:lvlJc w:val="left"/>
      <w:lvlText w:val="(%1)"/>
      <w:numFmt w:val="lowerRoman"/>
      <w:start w:val="1"/>
    </w:lvl>
    <w:lvl w:ilvl="1">
      <w:lvlJc w:val="left"/>
      <w:lvlText w:val="%2"/>
      <w:numFmt w:val="decimal"/>
      <w:start w:val="1"/>
    </w:lvl>
  </w:abstractNum>
  <w:abstractNum w:abstractNumId="57">
    <w:nsid w:val="1381823A"/>
    <w:multiLevelType w:val="hybridMultilevel"/>
    <w:lvl w:ilvl="0">
      <w:lvlJc w:val="left"/>
      <w:lvlText w:val="%1."/>
      <w:numFmt w:val="decimal"/>
      <w:start w:val="5"/>
    </w:lvl>
  </w:abstractNum>
  <w:abstractNum w:abstractNumId="58">
    <w:nsid w:val="5DB70AE5"/>
    <w:multiLevelType w:val="hybridMultilevel"/>
    <w:lvl w:ilvl="0">
      <w:lvlJc w:val="left"/>
      <w:lvlText w:val="%1."/>
      <w:numFmt w:val="decimal"/>
      <w:start w:val="8"/>
    </w:lvl>
  </w:abstractNum>
  <w:abstractNum w:abstractNumId="59">
    <w:nsid w:val="100F8FCA"/>
    <w:multiLevelType w:val="hybridMultilevel"/>
    <w:lvl w:ilvl="0">
      <w:lvlJc w:val="left"/>
      <w:lvlText w:val="%1."/>
      <w:numFmt w:val="decimal"/>
      <w:start w:val="9"/>
    </w:lvl>
  </w:abstractNum>
  <w:abstractNum w:abstractNumId="60">
    <w:nsid w:val="6590700B"/>
    <w:multiLevelType w:val="hybridMultilevel"/>
    <w:lvl w:ilvl="0">
      <w:lvlJc w:val="left"/>
      <w:lvlText w:val="%1."/>
      <w:numFmt w:val="decimal"/>
      <w:start w:val="12"/>
    </w:lvl>
    <w:lvl w:ilvl="1">
      <w:lvlJc w:val="left"/>
      <w:lvlText w:val="(%2)"/>
      <w:numFmt w:val="lowerLetter"/>
      <w:start w:val="1"/>
    </w:lvl>
  </w:abstractNum>
  <w:abstractNum w:abstractNumId="61">
    <w:nsid w:val="15014ACB"/>
    <w:multiLevelType w:val="hybridMultilevel"/>
    <w:lvl w:ilvl="0">
      <w:lvlJc w:val="left"/>
      <w:lvlText w:val="(%1)"/>
      <w:numFmt w:val="lowerLetter"/>
      <w:start w:val="2"/>
    </w:lvl>
  </w:abstractNum>
  <w:abstractNum w:abstractNumId="62">
    <w:nsid w:val="5F5E7FD0"/>
    <w:multiLevelType w:val="hybridMultilevel"/>
    <w:lvl w:ilvl="0">
      <w:lvlJc w:val="left"/>
      <w:lvlText w:val="%1."/>
      <w:numFmt w:val="decimal"/>
      <w:start w:val="1"/>
    </w:lvl>
  </w:abstractNum>
  <w:abstractNum w:abstractNumId="63">
    <w:nsid w:val="98A3148"/>
    <w:multiLevelType w:val="hybridMultilevel"/>
    <w:lvl w:ilvl="0">
      <w:lvlJc w:val="left"/>
      <w:lvlText w:val="%1"/>
      <w:numFmt w:val="lowerRoman"/>
      <w:start w:val="1"/>
    </w:lvl>
    <w:lvl w:ilvl="1">
      <w:lvlJc w:val="left"/>
      <w:lvlText w:val="%2."/>
      <w:numFmt w:val="decimal"/>
      <w:start w:val="3"/>
    </w:lvl>
  </w:abstractNum>
  <w:abstractNum w:abstractNumId="64">
    <w:nsid w:val="799D0247"/>
    <w:multiLevelType w:val="hybridMultilevel"/>
    <w:lvl w:ilvl="0">
      <w:lvlJc w:val="left"/>
      <w:lvlText w:val="(%1)"/>
      <w:numFmt w:val="lowerRoman"/>
      <w:start w:val="1"/>
    </w:lvl>
    <w:lvl w:ilvl="1">
      <w:lvlJc w:val="left"/>
      <w:lvlText w:val="%2"/>
      <w:numFmt w:val="decimal"/>
      <w:start w:val="1"/>
    </w:lvl>
  </w:abstractNum>
  <w:abstractNum w:abstractNumId="65">
    <w:nsid w:val="6B94764"/>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66">
    <w:nsid w:val="42C296BD"/>
    <w:multiLevelType w:val="hybridMultilevel"/>
    <w:lvl w:ilvl="0">
      <w:lvlJc w:val="left"/>
      <w:lvlText w:val="(%1)"/>
      <w:numFmt w:val="lowerLetter"/>
      <w:start w:val="6"/>
    </w:lvl>
    <w:lvl w:ilvl="1">
      <w:lvlJc w:val="left"/>
      <w:lvlText w:val="%2."/>
      <w:numFmt w:val="decimal"/>
      <w:start w:val="6"/>
    </w:lvl>
    <w:lvl w:ilvl="2">
      <w:lvlJc w:val="left"/>
      <w:lvlText w:val="(%3)"/>
      <w:numFmt w:val="lowerLetter"/>
      <w:start w:val="1"/>
    </w:lvl>
  </w:abstractNum>
  <w:abstractNum w:abstractNumId="67">
    <w:nsid w:val="168E121F"/>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abstractNum>
  <w:abstractNum w:abstractNumId="68">
    <w:nsid w:val="1EBA5D23"/>
    <w:multiLevelType w:val="hybridMultilevel"/>
    <w:lvl w:ilvl="0">
      <w:lvlJc w:val="left"/>
      <w:lvlText w:val="%1."/>
      <w:numFmt w:val="decimal"/>
      <w:start w:val="7"/>
    </w:lvl>
    <w:lvl w:ilvl="1">
      <w:lvlJc w:val="left"/>
      <w:lvlText w:val="%2"/>
      <w:numFmt w:val="lowerRoman"/>
      <w:start w:val="1"/>
    </w:lvl>
    <w:lvl w:ilvl="2">
      <w:lvlJc w:val="left"/>
      <w:lvlText w:val="%3"/>
      <w:numFmt w:val="lowerRoman"/>
      <w:start w:val="1"/>
    </w:lvl>
  </w:abstractNum>
  <w:abstractNum w:abstractNumId="69">
    <w:nsid w:val="661E3F1E"/>
    <w:multiLevelType w:val="hybridMultilevel"/>
    <w:lvl w:ilvl="0">
      <w:lvlJc w:val="left"/>
      <w:lvlText w:val="%1"/>
      <w:numFmt w:val="lowerLetter"/>
      <w:start w:val="1"/>
    </w:lvl>
    <w:lvl w:ilvl="1">
      <w:lvlJc w:val="left"/>
      <w:lvlText w:val="%2."/>
      <w:numFmt w:val="decimal"/>
      <w:start w:val="8"/>
    </w:lvl>
  </w:abstractNum>
  <w:abstractNum w:abstractNumId="70">
    <w:nsid w:val="5DC79EA8"/>
    <w:multiLevelType w:val="hybridMultilevel"/>
    <w:lvl w:ilvl="0">
      <w:lvlJc w:val="left"/>
      <w:lvlText w:val="(%1)"/>
      <w:numFmt w:val="lowerLetter"/>
      <w:start w:val="2"/>
    </w:lvl>
    <w:lvl w:ilvl="1">
      <w:lvlJc w:val="left"/>
      <w:lvlText w:val="%2."/>
      <w:numFmt w:val="decimal"/>
      <w:start w:val="10"/>
    </w:lvl>
  </w:abstractNum>
  <w:abstractNum w:abstractNumId="71">
    <w:nsid w:val="540A471C"/>
    <w:multiLevelType w:val="hybridMultilevel"/>
    <w:lvl w:ilvl="0">
      <w:lvlJc w:val="left"/>
      <w:lvlText w:val="%1."/>
      <w:numFmt w:val="decimal"/>
      <w:start w:val="11"/>
    </w:lvl>
  </w:abstractNum>
  <w:abstractNum w:abstractNumId="72">
    <w:nsid w:val="7BD3EE7B"/>
    <w:multiLevelType w:val="hybridMultilevel"/>
    <w:lvl w:ilvl="0">
      <w:lvlJc w:val="left"/>
      <w:lvlText w:val="%1."/>
      <w:numFmt w:val="decimal"/>
      <w:start w:val="12"/>
    </w:lvl>
    <w:lvl w:ilvl="1">
      <w:lvlJc w:val="left"/>
      <w:lvlText w:val="(%2)"/>
      <w:numFmt w:val="lowerLetter"/>
      <w:start w:val="1"/>
    </w:lvl>
  </w:abstractNum>
  <w:abstractNum w:abstractNumId="73">
    <w:nsid w:val="51D9C564"/>
    <w:multiLevelType w:val="hybridMultilevel"/>
    <w:lvl w:ilvl="0">
      <w:lvlJc w:val="left"/>
      <w:lvlText w:val="%1."/>
      <w:numFmt w:val="decimal"/>
      <w:start w:val="1"/>
    </w:lvl>
    <w:lvl w:ilvl="1">
      <w:lvlJc w:val="left"/>
      <w:lvlText w:val="\endash "/>
      <w:numFmt w:val="bullet"/>
      <w:start w:val="1"/>
    </w:lvl>
    <w:lvl w:ilvl="2">
      <w:lvlJc w:val="left"/>
      <w:lvlText w:val="%3."/>
      <w:numFmt w:val="lowerLetter"/>
      <w:start w:val="1"/>
    </w:lvl>
  </w:abstractNum>
  <w:abstractNum w:abstractNumId="74">
    <w:nsid w:val="613EFDC5"/>
    <w:multiLevelType w:val="hybridMultilevel"/>
    <w:lvl w:ilvl="0">
      <w:lvlJc w:val="left"/>
      <w:lvlText w:val="%1."/>
      <w:numFmt w:val="decimal"/>
      <w:start w:val="1"/>
    </w:lvl>
    <w:lvl w:ilvl="1">
      <w:lvlJc w:val="left"/>
      <w:lvlText w:val="\endash "/>
      <w:numFmt w:val="bullet"/>
      <w:start w:val="1"/>
    </w:lvl>
    <w:lvl w:ilvl="2">
      <w:lvlJc w:val="left"/>
      <w:lvlText w:val="%3."/>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2019-12-09T10:43:54Z</dcterms:created>
  <dcterms:modified xsi:type="dcterms:W3CDTF">2019-12-09T10:43:54Z</dcterms:modified>
</cp:coreProperties>
</file>