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651510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_______________________________________</w:t>
      </w:r>
    </w:p>
    <w:p>
      <w:pPr>
        <w:spacing w:after="0" w:line="14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6"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_______________________________________</w:t>
      </w:r>
    </w:p>
    <w:p>
      <w:pPr>
        <w:jc w:val="center"/>
        <w:ind w:right="-119"/>
        <w:spacing w:after="0"/>
        <w:rPr>
          <w:sz w:val="20"/>
          <w:szCs w:val="20"/>
          <w:color w:val="auto"/>
        </w:rPr>
      </w:pPr>
      <w:r>
        <w:rPr>
          <w:rFonts w:ascii="Times New Roman" w:cs="Times New Roman" w:eastAsia="Times New Roman" w:hAnsi="Times New Roman"/>
          <w:sz w:val="14"/>
          <w:szCs w:val="14"/>
          <w:color w:val="auto"/>
        </w:rPr>
        <w:t>(Mark One)</w:t>
      </w:r>
    </w:p>
    <w:p>
      <w:pPr>
        <w:spacing w:after="0" w:line="30" w:lineRule="exact"/>
        <w:rPr>
          <w:sz w:val="24"/>
          <w:szCs w:val="24"/>
          <w:color w:val="auto"/>
        </w:rPr>
      </w:pPr>
    </w:p>
    <w:p>
      <w:pPr>
        <w:ind w:left="1820" w:hanging="449"/>
        <w:spacing w:after="0"/>
        <w:tabs>
          <w:tab w:leader="none" w:pos="182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Quarterly Report Pursuant to Section 13 or 15(d) of the Securities Exchange Act of 1934</w:t>
      </w:r>
    </w:p>
    <w:p>
      <w:pPr>
        <w:spacing w:after="0" w:line="13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 the quarterly period ended December 31, 2024</w:t>
      </w:r>
    </w:p>
    <w:p>
      <w:pPr>
        <w:spacing w:after="0" w:line="6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0" w:lineRule="exact"/>
        <w:rPr>
          <w:sz w:val="24"/>
          <w:szCs w:val="24"/>
          <w:color w:val="auto"/>
        </w:rPr>
      </w:pPr>
    </w:p>
    <w:p>
      <w:pPr>
        <w:ind w:left="1820" w:hanging="449"/>
        <w:spacing w:after="0"/>
        <w:tabs>
          <w:tab w:leader="none" w:pos="182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13 or 15 (d) of the Securities Exchange Act of 1934</w:t>
      </w:r>
    </w:p>
    <w:p>
      <w:pPr>
        <w:spacing w:after="0" w:line="132" w:lineRule="exact"/>
        <w:rPr>
          <w:sz w:val="24"/>
          <w:szCs w:val="24"/>
          <w:color w:val="auto"/>
        </w:rPr>
      </w:pPr>
    </w:p>
    <w:p>
      <w:pPr>
        <w:ind w:left="38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3933190</wp:posOffset>
            </wp:positionH>
            <wp:positionV relativeFrom="paragraph">
              <wp:posOffset>-5080</wp:posOffset>
            </wp:positionV>
            <wp:extent cx="7804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80415" cy="8255"/>
                    </a:xfrm>
                    <a:prstGeom prst="rect">
                      <a:avLst/>
                    </a:prstGeom>
                    <a:noFill/>
                  </pic:spPr>
                </pic:pic>
              </a:graphicData>
            </a:graphic>
          </wp:anchor>
        </w:drawing>
      </w:r>
    </w:p>
    <w:p>
      <w:pPr>
        <w:spacing w:after="0" w:line="1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Commission File No. 1-15461</w:t>
      </w:r>
    </w:p>
    <w:p>
      <w:pPr>
        <w:spacing w:after="0" w:line="9"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__________________________________________</w:t>
      </w:r>
    </w:p>
    <w:p>
      <w:pPr>
        <w:spacing w:after="0" w:line="12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0"/>
          <w:szCs w:val="40"/>
          <w:b w:val="1"/>
          <w:bCs w:val="1"/>
          <w:color w:val="auto"/>
        </w:rPr>
        <w:t>MATRIX SERVICE COMPANY</w:t>
      </w:r>
    </w:p>
    <w:p>
      <w:pPr>
        <w:spacing w:after="0" w:line="5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__________________________________________</w:t>
      </w:r>
    </w:p>
    <w:p>
      <w:pPr>
        <w:sectPr>
          <w:pgSz w:w="11900" w:h="16838" w:orient="portrait"/>
          <w:cols w:equalWidth="0" w:num="1">
            <w:col w:w="11120"/>
          </w:cols>
          <w:pgMar w:left="320" w:top="472" w:right="459" w:bottom="1440" w:gutter="0" w:footer="0" w:header="0"/>
        </w:sectPr>
      </w:pPr>
    </w:p>
    <w:p>
      <w:pPr>
        <w:spacing w:after="0" w:line="145" w:lineRule="exact"/>
        <w:rPr>
          <w:sz w:val="24"/>
          <w:szCs w:val="24"/>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73-1352174</w:t>
      </w:r>
    </w:p>
    <w:p>
      <w:pPr>
        <w:spacing w:after="0" w:line="31" w:lineRule="exact"/>
        <w:rPr>
          <w:sz w:val="24"/>
          <w:szCs w:val="24"/>
          <w:color w:val="auto"/>
        </w:rPr>
      </w:pPr>
    </w:p>
    <w:p>
      <w:pPr>
        <w:sectPr>
          <w:pgSz w:w="11900" w:h="16838" w:orient="portrait"/>
          <w:cols w:equalWidth="0" w:num="2">
            <w:col w:w="7260" w:space="720"/>
            <w:col w:w="3140"/>
          </w:cols>
          <w:pgMar w:left="320" w:top="472" w:right="459" w:bottom="1440" w:gutter="0" w:footer="0" w:header="0"/>
          <w:type w:val="continuous"/>
        </w:sectPr>
      </w:pPr>
    </w:p>
    <w:p>
      <w:pPr>
        <w:ind w:left="2200"/>
        <w:spacing w:after="0"/>
        <w:rPr>
          <w:sz w:val="20"/>
          <w:szCs w:val="20"/>
          <w:color w:val="auto"/>
        </w:rPr>
      </w:pPr>
      <w:r>
        <w:rPr>
          <w:rFonts w:ascii="Times New Roman" w:cs="Times New Roman" w:eastAsia="Times New Roman" w:hAnsi="Times New Roman"/>
          <w:sz w:val="14"/>
          <w:szCs w:val="14"/>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p>
      <w:pPr>
        <w:spacing w:after="0" w:line="181" w:lineRule="exact"/>
        <w:rPr>
          <w:sz w:val="24"/>
          <w:szCs w:val="24"/>
          <w:color w:val="auto"/>
        </w:rPr>
      </w:pPr>
    </w:p>
    <w:p>
      <w:pPr>
        <w:sectPr>
          <w:pgSz w:w="11900" w:h="16838" w:orient="portrait"/>
          <w:cols w:equalWidth="0" w:num="2">
            <w:col w:w="6600" w:space="720"/>
            <w:col w:w="3800"/>
          </w:cols>
          <w:pgMar w:left="320" w:top="472" w:right="45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15 East 5th Street, Suite 1100, Tulsa, Oklahoma 74103</w:t>
      </w:r>
    </w:p>
    <w:p>
      <w:pPr>
        <w:spacing w:after="0" w:line="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5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(918) 838-8822</w:t>
      </w:r>
    </w:p>
    <w:p>
      <w:pPr>
        <w:spacing w:after="0" w:line="6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9"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8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48" w:lineRule="exact"/>
        <w:rPr>
          <w:sz w:val="24"/>
          <w:szCs w:val="24"/>
          <w:color w:val="auto"/>
        </w:rPr>
      </w:pPr>
    </w:p>
    <w:tbl>
      <w:tblPr>
        <w:tblLayout w:type="fixed"/>
        <w:tblInd w:w="520" w:type="dxa"/>
        <w:tblCellMar>
          <w:top w:w="0" w:type="dxa"/>
          <w:left w:w="0" w:type="dxa"/>
          <w:bottom w:w="0" w:type="dxa"/>
          <w:right w:w="0" w:type="dxa"/>
        </w:tblCellMar>
      </w:tblPr>
      <w:tr>
        <w:trPr>
          <w:trHeight w:val="207"/>
        </w:trPr>
        <w:tc>
          <w:tcPr>
            <w:tcW w:w="840" w:type="dxa"/>
            <w:vAlign w:val="bottom"/>
          </w:tcPr>
          <w:p>
            <w:pPr>
              <w:spacing w:after="0"/>
              <w:rPr>
                <w:sz w:val="18"/>
                <w:szCs w:val="18"/>
                <w:color w:val="auto"/>
              </w:rPr>
            </w:pPr>
          </w:p>
        </w:tc>
        <w:tc>
          <w:tcPr>
            <w:tcW w:w="3520" w:type="dxa"/>
            <w:vAlign w:val="bottom"/>
            <w:gridSpan w:val="2"/>
          </w:tcPr>
          <w:p>
            <w:pPr>
              <w:jc w:val="center"/>
              <w:ind w:right="218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06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940" w:type="dxa"/>
            <w:vAlign w:val="bottom"/>
            <w:gridSpan w:val="2"/>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8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50"/>
        </w:trPr>
        <w:tc>
          <w:tcPr>
            <w:tcW w:w="4360" w:type="dxa"/>
            <w:vAlign w:val="bottom"/>
            <w:gridSpan w:val="3"/>
          </w:tcPr>
          <w:p>
            <w:pPr>
              <w:jc w:val="center"/>
              <w:ind w:right="1340"/>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06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w w:val="99"/>
              </w:rPr>
              <w:t>MTRX</w:t>
            </w:r>
          </w:p>
        </w:tc>
        <w:tc>
          <w:tcPr>
            <w:tcW w:w="60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44" w:lineRule="exact"/>
        <w:rPr>
          <w:sz w:val="24"/>
          <w:szCs w:val="24"/>
          <w:color w:val="auto"/>
        </w:rPr>
      </w:pPr>
    </w:p>
    <w:p>
      <w:pPr>
        <w:ind w:right="180"/>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35" w:lineRule="exact"/>
        <w:rPr>
          <w:sz w:val="24"/>
          <w:szCs w:val="24"/>
          <w:color w:val="auto"/>
        </w:rPr>
      </w:pPr>
    </w:p>
    <w:p>
      <w:pPr>
        <w:ind w:right="240"/>
        <w:spacing w:after="0" w:line="26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33"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51" w:lineRule="exact"/>
        <w:rPr>
          <w:sz w:val="24"/>
          <w:szCs w:val="24"/>
          <w:color w:val="auto"/>
        </w:rPr>
      </w:pPr>
    </w:p>
    <w:tbl>
      <w:tblPr>
        <w:tblLayout w:type="fixed"/>
        <w:tblInd w:w="20" w:type="dxa"/>
        <w:tblCellMar>
          <w:top w:w="0" w:type="dxa"/>
          <w:left w:w="0" w:type="dxa"/>
          <w:bottom w:w="0" w:type="dxa"/>
          <w:right w:w="0" w:type="dxa"/>
        </w:tblCellMar>
      </w:tblPr>
      <w:tr>
        <w:trPr>
          <w:trHeight w:val="278"/>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980" w:type="dxa"/>
            <w:vAlign w:val="bottom"/>
          </w:tcPr>
          <w:p>
            <w:pPr>
              <w:ind w:left="420"/>
              <w:spacing w:after="0" w:line="221" w:lineRule="exact"/>
              <w:rPr>
                <w:sz w:val="20"/>
                <w:szCs w:val="20"/>
                <w:color w:val="auto"/>
              </w:rPr>
            </w:pPr>
            <w:r>
              <w:rPr>
                <w:rFonts w:ascii="MS PGothic" w:cs="MS PGothic" w:eastAsia="MS PGothic" w:hAnsi="MS PGothic"/>
                <w:sz w:val="22"/>
                <w:szCs w:val="22"/>
                <w:color w:val="auto"/>
              </w:rPr>
              <w:t>☐</w:t>
            </w:r>
          </w:p>
        </w:tc>
        <w:tc>
          <w:tcPr>
            <w:tcW w:w="49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Accelerated Filer</w:t>
            </w:r>
          </w:p>
        </w:tc>
        <w:tc>
          <w:tcPr>
            <w:tcW w:w="700" w:type="dxa"/>
            <w:vAlign w:val="bottom"/>
          </w:tcPr>
          <w:p>
            <w:pPr>
              <w:ind w:left="52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270"/>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980" w:type="dxa"/>
            <w:vAlign w:val="bottom"/>
          </w:tcPr>
          <w:p>
            <w:pPr>
              <w:ind w:left="420"/>
              <w:spacing w:after="0" w:line="221" w:lineRule="exact"/>
              <w:rPr>
                <w:sz w:val="20"/>
                <w:szCs w:val="20"/>
                <w:color w:val="auto"/>
              </w:rPr>
            </w:pPr>
            <w:r>
              <w:rPr>
                <w:rFonts w:ascii="MS PGothic" w:cs="MS PGothic" w:eastAsia="MS PGothic" w:hAnsi="MS PGothic"/>
                <w:sz w:val="22"/>
                <w:szCs w:val="22"/>
                <w:color w:val="auto"/>
              </w:rPr>
              <w:t>☐</w:t>
            </w:r>
          </w:p>
        </w:tc>
        <w:tc>
          <w:tcPr>
            <w:tcW w:w="49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00" w:type="dxa"/>
            <w:vAlign w:val="bottom"/>
          </w:tcPr>
          <w:p>
            <w:pPr>
              <w:ind w:left="520"/>
              <w:spacing w:after="0" w:line="201" w:lineRule="exact"/>
              <w:rPr>
                <w:sz w:val="20"/>
                <w:szCs w:val="20"/>
                <w:color w:val="auto"/>
              </w:rPr>
            </w:pPr>
            <w:r>
              <w:rPr>
                <w:rFonts w:ascii="MS PGothic" w:cs="MS PGothic" w:eastAsia="MS PGothic" w:hAnsi="MS PGothic"/>
                <w:sz w:val="20"/>
                <w:szCs w:val="20"/>
                <w:color w:val="auto"/>
                <w:w w:val="79"/>
              </w:rPr>
              <w:t>☐</w:t>
            </w:r>
          </w:p>
        </w:tc>
      </w:tr>
      <w:tr>
        <w:trPr>
          <w:trHeight w:val="362"/>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980" w:type="dxa"/>
            <w:vAlign w:val="bottom"/>
          </w:tcPr>
          <w:p>
            <w:pPr>
              <w:ind w:left="420"/>
              <w:spacing w:after="0" w:line="221" w:lineRule="exact"/>
              <w:rPr>
                <w:sz w:val="20"/>
                <w:szCs w:val="20"/>
                <w:color w:val="auto"/>
              </w:rPr>
            </w:pPr>
            <w:r>
              <w:rPr>
                <w:rFonts w:ascii="MS PGothic" w:cs="MS PGothic" w:eastAsia="MS PGothic" w:hAnsi="MS PGothic"/>
                <w:sz w:val="22"/>
                <w:szCs w:val="22"/>
                <w:color w:val="auto"/>
              </w:rPr>
              <w:t>☐</w:t>
            </w:r>
          </w:p>
        </w:tc>
        <w:tc>
          <w:tcPr>
            <w:tcW w:w="494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105" w:lineRule="exact"/>
        <w:rPr>
          <w:sz w:val="24"/>
          <w:szCs w:val="24"/>
          <w:color w:val="auto"/>
        </w:rPr>
      </w:pPr>
    </w:p>
    <w:p>
      <w:pPr>
        <w:ind w:right="40"/>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ind w:right="1540"/>
        <w:spacing w:after="0" w:line="30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As of February 5, 2025 there were 27,606,852 shares of the Company's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472" w:right="4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380" w:type="dxa"/>
            <w:vAlign w:val="bottom"/>
            <w:gridSpan w:val="3"/>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60" w:type="dxa"/>
            <w:vAlign w:val="bottom"/>
            <w:gridSpan w:val="10"/>
          </w:tcPr>
          <w:p>
            <w:pPr>
              <w:jc w:val="center"/>
              <w:ind w:right="2400"/>
              <w:spacing w:after="0"/>
              <w:rPr>
                <w:sz w:val="20"/>
                <w:szCs w:val="20"/>
                <w:color w:val="auto"/>
              </w:rPr>
            </w:pPr>
            <w:r>
              <w:rPr>
                <w:rFonts w:ascii="Times New Roman" w:cs="Times New Roman" w:eastAsia="Times New Roman" w:hAnsi="Times New Roman"/>
                <w:sz w:val="18"/>
                <w:szCs w:val="18"/>
                <w:b w:val="1"/>
                <w:bCs w:val="1"/>
                <w:color w:val="auto"/>
                <w:w w:val="98"/>
              </w:rPr>
              <w:t>FINANCIAL INFORMATION</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6860" w:type="dxa"/>
            <w:vAlign w:val="bottom"/>
            <w:gridSpan w:val="10"/>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Income for the Three and Six Months Ended December 31, 2024 and 2023</w:t>
            </w:r>
          </w:p>
        </w:tc>
        <w:tc>
          <w:tcPr>
            <w:tcW w:w="500" w:type="dxa"/>
            <w:vAlign w:val="bottom"/>
            <w:gridSpan w:val="2"/>
          </w:tcPr>
          <w:p>
            <w:pPr>
              <w:jc w:val="center"/>
              <w:ind w:left="311"/>
              <w:spacing w:after="0"/>
              <w:rPr>
                <w:sz w:val="20"/>
                <w:szCs w:val="20"/>
                <w:color w:val="auto"/>
              </w:rPr>
            </w:pPr>
            <w:r>
              <w:rPr>
                <w:rFonts w:ascii="Times New Roman" w:cs="Times New Roman" w:eastAsia="Times New Roman" w:hAnsi="Times New Roman"/>
                <w:sz w:val="18"/>
                <w:szCs w:val="18"/>
                <w:color w:val="0000FF"/>
              </w:rPr>
              <w:t>1</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for the Three and Six Months Ended December 31, 2024 and</w:t>
            </w:r>
          </w:p>
        </w:tc>
        <w:tc>
          <w:tcPr>
            <w:tcW w:w="400" w:type="dxa"/>
            <w:vAlign w:val="bottom"/>
            <w:vMerge w:val="restart"/>
          </w:tcPr>
          <w:p>
            <w:pPr>
              <w:spacing w:after="0"/>
              <w:rPr>
                <w:sz w:val="22"/>
                <w:szCs w:val="22"/>
                <w:color w:val="auto"/>
              </w:rPr>
            </w:pPr>
          </w:p>
        </w:tc>
        <w:tc>
          <w:tcPr>
            <w:tcW w:w="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rPr>
              <w:t>2</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Borders>
              <w:top w:val="single" w:sz="8" w:color="0000FF"/>
              <w:bottom w:val="single" w:sz="8" w:color="0000FF"/>
            </w:tcBorders>
          </w:tcPr>
          <w:p>
            <w:pPr>
              <w:spacing w:after="0" w:line="142" w:lineRule="exact"/>
              <w:rPr>
                <w:sz w:val="20"/>
                <w:szCs w:val="20"/>
                <w:color w:val="auto"/>
              </w:rPr>
            </w:pPr>
            <w:r>
              <w:rPr>
                <w:rFonts w:ascii="Times New Roman" w:cs="Times New Roman" w:eastAsia="Times New Roman" w:hAnsi="Times New Roman"/>
                <w:sz w:val="16"/>
                <w:szCs w:val="16"/>
                <w:color w:val="0000FF"/>
              </w:rPr>
              <w:t>2023</w:t>
            </w:r>
          </w:p>
        </w:tc>
        <w:tc>
          <w:tcPr>
            <w:tcW w:w="240" w:type="dxa"/>
            <w:vAlign w:val="bottom"/>
            <w:tcBorders>
              <w:top w:val="single" w:sz="8" w:color="0000FF"/>
              <w:bottom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58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180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132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7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100" w:type="dxa"/>
            <w:vAlign w:val="bottom"/>
            <w:tcBorders>
              <w:bottom w:val="single" w:sz="8" w:color="0000FF"/>
            </w:tcBorders>
            <w:vMerge w:val="continue"/>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1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as of December 31, 2024 and June 30, 2024</w:t>
            </w:r>
          </w:p>
        </w:tc>
        <w:tc>
          <w:tcPr>
            <w:tcW w:w="3140" w:type="dxa"/>
            <w:vAlign w:val="bottom"/>
            <w:gridSpan w:val="7"/>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3</w:t>
            </w: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Six Months Ended December 31, 2024 and 2023</w:t>
            </w:r>
          </w:p>
        </w:tc>
        <w:tc>
          <w:tcPr>
            <w:tcW w:w="500" w:type="dxa"/>
            <w:vAlign w:val="bottom"/>
            <w:gridSpan w:val="2"/>
          </w:tcPr>
          <w:p>
            <w:pPr>
              <w:jc w:val="center"/>
              <w:ind w:left="311"/>
              <w:spacing w:after="0"/>
              <w:rPr>
                <w:sz w:val="20"/>
                <w:szCs w:val="20"/>
                <w:color w:val="auto"/>
              </w:rPr>
            </w:pPr>
            <w:r>
              <w:rPr>
                <w:rFonts w:ascii="Times New Roman" w:cs="Times New Roman" w:eastAsia="Times New Roman" w:hAnsi="Times New Roman"/>
                <w:sz w:val="18"/>
                <w:szCs w:val="18"/>
                <w:color w:val="0000FF"/>
              </w:rPr>
              <w:t>5</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Stockholders’ Equity for the Three and Six Months Ended December 31,</w:t>
            </w:r>
          </w:p>
        </w:tc>
        <w:tc>
          <w:tcPr>
            <w:tcW w:w="400" w:type="dxa"/>
            <w:vAlign w:val="bottom"/>
            <w:vMerge w:val="restart"/>
          </w:tcPr>
          <w:p>
            <w:pPr>
              <w:spacing w:after="0"/>
              <w:rPr>
                <w:sz w:val="24"/>
                <w:szCs w:val="24"/>
                <w:color w:val="auto"/>
              </w:rPr>
            </w:pPr>
          </w:p>
        </w:tc>
        <w:tc>
          <w:tcPr>
            <w:tcW w:w="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rPr>
              <w:t>6</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Borders>
              <w:top w:val="single" w:sz="8" w:color="0000FF"/>
              <w:bottom w:val="single" w:sz="8" w:color="0000FF"/>
            </w:tcBorders>
            <w:gridSpan w:val="5"/>
          </w:tcPr>
          <w:p>
            <w:pPr>
              <w:spacing w:after="0" w:line="136" w:lineRule="exact"/>
              <w:rPr>
                <w:sz w:val="20"/>
                <w:szCs w:val="20"/>
                <w:color w:val="auto"/>
              </w:rPr>
            </w:pPr>
            <w:r>
              <w:rPr>
                <w:rFonts w:ascii="Times New Roman" w:cs="Times New Roman" w:eastAsia="Times New Roman" w:hAnsi="Times New Roman"/>
                <w:sz w:val="15"/>
                <w:szCs w:val="15"/>
                <w:color w:val="0000FF"/>
              </w:rPr>
              <w:t>2024 and 2023</w:t>
            </w:r>
          </w:p>
        </w:tc>
        <w:tc>
          <w:tcPr>
            <w:tcW w:w="4940" w:type="dxa"/>
            <w:vAlign w:val="bottom"/>
            <w:tcBorders>
              <w:top w:val="single" w:sz="8" w:color="0000FF"/>
            </w:tcBorders>
            <w:gridSpan w:val="7"/>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2500" w:type="dxa"/>
            <w:vAlign w:val="bottom"/>
            <w:tcBorders>
              <w:top w:val="single" w:sz="8" w:color="0000FF"/>
            </w:tcBorders>
            <w:gridSpan w:val="3"/>
          </w:tcPr>
          <w:p>
            <w:pPr>
              <w:spacing w:after="0"/>
              <w:rPr>
                <w:sz w:val="12"/>
                <w:szCs w:val="12"/>
                <w:color w:val="auto"/>
              </w:rPr>
            </w:pPr>
          </w:p>
        </w:tc>
        <w:tc>
          <w:tcPr>
            <w:tcW w:w="320" w:type="dxa"/>
            <w:vAlign w:val="bottom"/>
            <w:gridSpan w:val="2"/>
          </w:tcPr>
          <w:p>
            <w:pPr>
              <w:spacing w:after="0"/>
              <w:rPr>
                <w:sz w:val="12"/>
                <w:szCs w:val="12"/>
                <w:color w:val="auto"/>
              </w:rPr>
            </w:pPr>
          </w:p>
        </w:tc>
        <w:tc>
          <w:tcPr>
            <w:tcW w:w="400" w:type="dxa"/>
            <w:vAlign w:val="bottom"/>
            <w:vMerge w:val="continue"/>
          </w:tcPr>
          <w:p>
            <w:pPr>
              <w:spacing w:after="0"/>
              <w:rPr>
                <w:sz w:val="12"/>
                <w:szCs w:val="12"/>
                <w:color w:val="auto"/>
              </w:rPr>
            </w:pPr>
          </w:p>
        </w:tc>
        <w:tc>
          <w:tcPr>
            <w:tcW w:w="100" w:type="dxa"/>
            <w:vAlign w:val="bottom"/>
            <w:tcBorders>
              <w:bottom w:val="single" w:sz="8" w:color="0000FF"/>
            </w:tcBorders>
            <w:vMerge w:val="continue"/>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5280" w:type="dxa"/>
            <w:vAlign w:val="bottom"/>
            <w:gridSpan w:val="9"/>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7</w:t>
            </w: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820" w:type="dxa"/>
            <w:vAlign w:val="bottom"/>
            <w:gridSpan w:val="5"/>
          </w:tcPr>
          <w:p>
            <w:pPr>
              <w:spacing w:after="0"/>
              <w:rPr>
                <w:sz w:val="22"/>
                <w:szCs w:val="22"/>
                <w:color w:val="auto"/>
              </w:rPr>
            </w:pPr>
          </w:p>
        </w:tc>
        <w:tc>
          <w:tcPr>
            <w:tcW w:w="500" w:type="dxa"/>
            <w:vAlign w:val="bottom"/>
            <w:gridSpan w:val="2"/>
          </w:tcPr>
          <w:p>
            <w:pPr>
              <w:jc w:val="center"/>
              <w:ind w:left="231"/>
              <w:spacing w:after="0"/>
              <w:rPr>
                <w:sz w:val="20"/>
                <w:szCs w:val="20"/>
                <w:color w:val="auto"/>
              </w:rPr>
            </w:pPr>
            <w:r>
              <w:rPr>
                <w:rFonts w:ascii="Times New Roman" w:cs="Times New Roman" w:eastAsia="Times New Roman" w:hAnsi="Times New Roman"/>
                <w:sz w:val="18"/>
                <w:szCs w:val="18"/>
                <w:color w:val="0000FF"/>
                <w:w w:val="99"/>
              </w:rPr>
              <w:t>15</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120" w:type="dxa"/>
            <w:vAlign w:val="bottom"/>
            <w:tcBorders>
              <w:left w:val="single" w:sz="8" w:color="0000FF"/>
            </w:tcBorders>
            <w:gridSpan w:val="3"/>
            <w:shd w:val="clear" w:color="auto" w:fill="0000FF"/>
          </w:tcPr>
          <w:p>
            <w:pPr>
              <w:spacing w:after="0" w:line="20" w:lineRule="exact"/>
              <w:rPr>
                <w:sz w:val="1"/>
                <w:szCs w:val="1"/>
                <w:color w:val="auto"/>
              </w:rPr>
            </w:pPr>
          </w:p>
        </w:tc>
        <w:tc>
          <w:tcPr>
            <w:tcW w:w="2820" w:type="dxa"/>
            <w:vAlign w:val="bottom"/>
            <w:gridSpan w:val="5"/>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2120" w:type="dxa"/>
            <w:vAlign w:val="bottom"/>
            <w:gridSpan w:val="3"/>
          </w:tcPr>
          <w:p>
            <w:pPr>
              <w:spacing w:after="0"/>
              <w:rPr>
                <w:sz w:val="22"/>
                <w:szCs w:val="22"/>
                <w:color w:val="auto"/>
              </w:rPr>
            </w:pPr>
          </w:p>
        </w:tc>
        <w:tc>
          <w:tcPr>
            <w:tcW w:w="2820" w:type="dxa"/>
            <w:vAlign w:val="bottom"/>
            <w:gridSpan w:val="5"/>
          </w:tcPr>
          <w:p>
            <w:pPr>
              <w:spacing w:after="0"/>
              <w:rPr>
                <w:sz w:val="22"/>
                <w:szCs w:val="22"/>
                <w:color w:val="auto"/>
              </w:rPr>
            </w:pPr>
          </w:p>
        </w:tc>
        <w:tc>
          <w:tcPr>
            <w:tcW w:w="500" w:type="dxa"/>
            <w:vAlign w:val="bottom"/>
            <w:gridSpan w:val="2"/>
          </w:tcPr>
          <w:p>
            <w:pPr>
              <w:jc w:val="center"/>
              <w:ind w:left="231"/>
              <w:spacing w:after="0"/>
              <w:rPr>
                <w:sz w:val="20"/>
                <w:szCs w:val="20"/>
                <w:color w:val="auto"/>
              </w:rPr>
            </w:pPr>
            <w:r>
              <w:rPr>
                <w:rFonts w:ascii="Times New Roman" w:cs="Times New Roman" w:eastAsia="Times New Roman" w:hAnsi="Times New Roman"/>
                <w:sz w:val="18"/>
                <w:szCs w:val="18"/>
                <w:color w:val="0000FF"/>
                <w:w w:val="99"/>
              </w:rPr>
              <w:t>29</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4.</w:t>
            </w:r>
          </w:p>
        </w:tc>
        <w:tc>
          <w:tcPr>
            <w:tcW w:w="43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4940" w:type="dxa"/>
            <w:vAlign w:val="bottom"/>
            <w:gridSpan w:val="8"/>
          </w:tcPr>
          <w:p>
            <w:pPr>
              <w:spacing w:after="0"/>
              <w:rPr>
                <w:sz w:val="22"/>
                <w:szCs w:val="22"/>
                <w:color w:val="auto"/>
              </w:rPr>
            </w:pPr>
          </w:p>
        </w:tc>
        <w:tc>
          <w:tcPr>
            <w:tcW w:w="500" w:type="dxa"/>
            <w:vAlign w:val="bottom"/>
            <w:gridSpan w:val="2"/>
          </w:tcPr>
          <w:p>
            <w:pPr>
              <w:jc w:val="center"/>
              <w:ind w:left="231"/>
              <w:spacing w:after="0"/>
              <w:rPr>
                <w:sz w:val="20"/>
                <w:szCs w:val="20"/>
                <w:color w:val="auto"/>
              </w:rPr>
            </w:pPr>
            <w:r>
              <w:rPr>
                <w:rFonts w:ascii="Times New Roman" w:cs="Times New Roman" w:eastAsia="Times New Roman" w:hAnsi="Times New Roman"/>
                <w:sz w:val="18"/>
                <w:szCs w:val="18"/>
                <w:color w:val="0000FF"/>
                <w:w w:val="99"/>
              </w:rPr>
              <w:t>29</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3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60" w:type="dxa"/>
            <w:vAlign w:val="bottom"/>
            <w:gridSpan w:val="10"/>
          </w:tcPr>
          <w:p>
            <w:pPr>
              <w:jc w:val="center"/>
              <w:ind w:right="2400"/>
              <w:spacing w:after="0"/>
              <w:rPr>
                <w:sz w:val="20"/>
                <w:szCs w:val="20"/>
                <w:color w:val="auto"/>
              </w:rPr>
            </w:pPr>
            <w:r>
              <w:rPr>
                <w:rFonts w:ascii="Times New Roman" w:cs="Times New Roman" w:eastAsia="Times New Roman" w:hAnsi="Times New Roman"/>
                <w:sz w:val="18"/>
                <w:szCs w:val="18"/>
                <w:b w:val="1"/>
                <w:bCs w:val="1"/>
                <w:color w:val="auto"/>
                <w:w w:val="99"/>
              </w:rPr>
              <w:t>OTHER INFORMATION</w:t>
            </w:r>
          </w:p>
        </w:tc>
        <w:tc>
          <w:tcPr>
            <w:tcW w:w="4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6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320" w:type="dxa"/>
            <w:vAlign w:val="bottom"/>
            <w:gridSpan w:val="2"/>
          </w:tcPr>
          <w:p>
            <w:pPr>
              <w:spacing w:after="0"/>
              <w:rPr>
                <w:sz w:val="22"/>
                <w:szCs w:val="22"/>
                <w:color w:val="auto"/>
              </w:rPr>
            </w:pPr>
          </w:p>
        </w:tc>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5"/>
              </w:rPr>
              <w:t>Legal Proceedings</w:t>
            </w:r>
          </w:p>
        </w:tc>
        <w:tc>
          <w:tcPr>
            <w:tcW w:w="7960" w:type="dxa"/>
            <w:vAlign w:val="bottom"/>
            <w:gridSpan w:val="13"/>
          </w:tcPr>
          <w:p>
            <w:pPr>
              <w:spacing w:after="0"/>
              <w:rPr>
                <w:sz w:val="22"/>
                <w:szCs w:val="22"/>
                <w:color w:val="auto"/>
              </w:rPr>
            </w:pPr>
          </w:p>
        </w:tc>
        <w:tc>
          <w:tcPr>
            <w:tcW w:w="500" w:type="dxa"/>
            <w:vAlign w:val="bottom"/>
            <w:gridSpan w:val="2"/>
          </w:tcPr>
          <w:p>
            <w:pPr>
              <w:jc w:val="center"/>
              <w:ind w:left="231"/>
              <w:spacing w:after="0"/>
              <w:rPr>
                <w:sz w:val="20"/>
                <w:szCs w:val="20"/>
                <w:color w:val="auto"/>
              </w:rPr>
            </w:pPr>
            <w:r>
              <w:rPr>
                <w:rFonts w:ascii="Times New Roman" w:cs="Times New Roman" w:eastAsia="Times New Roman" w:hAnsi="Times New Roman"/>
                <w:sz w:val="18"/>
                <w:szCs w:val="18"/>
                <w:color w:val="0000FF"/>
                <w:w w:val="99"/>
              </w:rPr>
              <w:t>30</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1A.</w:t>
            </w:r>
          </w:p>
        </w:tc>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7960" w:type="dxa"/>
            <w:vAlign w:val="bottom"/>
            <w:gridSpan w:val="13"/>
          </w:tcPr>
          <w:p>
            <w:pPr>
              <w:spacing w:after="0"/>
              <w:rPr>
                <w:sz w:val="22"/>
                <w:szCs w:val="22"/>
                <w:color w:val="auto"/>
              </w:rPr>
            </w:pPr>
          </w:p>
        </w:tc>
        <w:tc>
          <w:tcPr>
            <w:tcW w:w="500" w:type="dxa"/>
            <w:vAlign w:val="bottom"/>
            <w:gridSpan w:val="2"/>
          </w:tcPr>
          <w:p>
            <w:pPr>
              <w:jc w:val="center"/>
              <w:ind w:left="231"/>
              <w:spacing w:after="0"/>
              <w:rPr>
                <w:sz w:val="20"/>
                <w:szCs w:val="20"/>
                <w:color w:val="auto"/>
              </w:rPr>
            </w:pPr>
            <w:r>
              <w:rPr>
                <w:rFonts w:ascii="Times New Roman" w:cs="Times New Roman" w:eastAsia="Times New Roman" w:hAnsi="Times New Roman"/>
                <w:sz w:val="18"/>
                <w:szCs w:val="18"/>
                <w:color w:val="0000FF"/>
                <w:w w:val="99"/>
              </w:rPr>
              <w:t>30</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40" w:type="dxa"/>
            <w:vAlign w:val="bottom"/>
            <w:gridSpan w:val="8"/>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2.</w:t>
            </w:r>
          </w:p>
        </w:tc>
        <w:tc>
          <w:tcPr>
            <w:tcW w:w="92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500" w:type="dxa"/>
            <w:vAlign w:val="bottom"/>
            <w:gridSpan w:val="2"/>
          </w:tcPr>
          <w:p>
            <w:pPr>
              <w:jc w:val="center"/>
              <w:ind w:left="231"/>
              <w:spacing w:after="0"/>
              <w:rPr>
                <w:sz w:val="20"/>
                <w:szCs w:val="20"/>
                <w:color w:val="auto"/>
              </w:rPr>
            </w:pPr>
            <w:r>
              <w:rPr>
                <w:rFonts w:ascii="Times New Roman" w:cs="Times New Roman" w:eastAsia="Times New Roman" w:hAnsi="Times New Roman"/>
                <w:sz w:val="18"/>
                <w:szCs w:val="18"/>
                <w:color w:val="0000FF"/>
                <w:w w:val="99"/>
              </w:rPr>
              <w:t>30</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4940" w:type="dxa"/>
            <w:vAlign w:val="bottom"/>
            <w:gridSpan w:val="8"/>
          </w:tcPr>
          <w:p>
            <w:pPr>
              <w:spacing w:after="0"/>
              <w:rPr>
                <w:sz w:val="22"/>
                <w:szCs w:val="22"/>
                <w:color w:val="auto"/>
              </w:rPr>
            </w:pPr>
          </w:p>
        </w:tc>
        <w:tc>
          <w:tcPr>
            <w:tcW w:w="500" w:type="dxa"/>
            <w:vAlign w:val="bottom"/>
            <w:gridSpan w:val="2"/>
          </w:tcPr>
          <w:p>
            <w:pPr>
              <w:jc w:val="center"/>
              <w:ind w:left="231"/>
              <w:spacing w:after="0"/>
              <w:rPr>
                <w:sz w:val="20"/>
                <w:szCs w:val="20"/>
                <w:color w:val="auto"/>
              </w:rPr>
            </w:pPr>
            <w:r>
              <w:rPr>
                <w:rFonts w:ascii="Times New Roman" w:cs="Times New Roman" w:eastAsia="Times New Roman" w:hAnsi="Times New Roman"/>
                <w:sz w:val="18"/>
                <w:szCs w:val="18"/>
                <w:color w:val="0000FF"/>
                <w:w w:val="99"/>
              </w:rPr>
              <w:t>30</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960" w:type="dxa"/>
            <w:vAlign w:val="bottom"/>
            <w:gridSpan w:val="11"/>
          </w:tcPr>
          <w:p>
            <w:pPr>
              <w:spacing w:after="0"/>
              <w:rPr>
                <w:sz w:val="22"/>
                <w:szCs w:val="22"/>
                <w:color w:val="auto"/>
              </w:rPr>
            </w:pPr>
          </w:p>
        </w:tc>
        <w:tc>
          <w:tcPr>
            <w:tcW w:w="500" w:type="dxa"/>
            <w:vAlign w:val="bottom"/>
            <w:gridSpan w:val="2"/>
          </w:tcPr>
          <w:p>
            <w:pPr>
              <w:jc w:val="center"/>
              <w:ind w:left="231"/>
              <w:spacing w:after="0"/>
              <w:rPr>
                <w:sz w:val="20"/>
                <w:szCs w:val="20"/>
                <w:color w:val="auto"/>
              </w:rPr>
            </w:pPr>
            <w:r>
              <w:rPr>
                <w:rFonts w:ascii="Times New Roman" w:cs="Times New Roman" w:eastAsia="Times New Roman" w:hAnsi="Times New Roman"/>
                <w:sz w:val="18"/>
                <w:szCs w:val="18"/>
                <w:color w:val="0000FF"/>
                <w:w w:val="99"/>
              </w:rPr>
              <w:t>30</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7520" w:type="dxa"/>
            <w:vAlign w:val="bottom"/>
            <w:gridSpan w:val="12"/>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440" w:type="dxa"/>
            <w:vAlign w:val="bottom"/>
          </w:tcPr>
          <w:p>
            <w:pPr>
              <w:spacing w:after="0"/>
              <w:rPr>
                <w:sz w:val="22"/>
                <w:szCs w:val="22"/>
                <w:color w:val="auto"/>
              </w:rPr>
            </w:pPr>
          </w:p>
        </w:tc>
        <w:tc>
          <w:tcPr>
            <w:tcW w:w="7520" w:type="dxa"/>
            <w:vAlign w:val="bottom"/>
            <w:gridSpan w:val="12"/>
          </w:tcPr>
          <w:p>
            <w:pPr>
              <w:spacing w:after="0"/>
              <w:rPr>
                <w:sz w:val="22"/>
                <w:szCs w:val="22"/>
                <w:color w:val="auto"/>
              </w:rPr>
            </w:pPr>
          </w:p>
        </w:tc>
        <w:tc>
          <w:tcPr>
            <w:tcW w:w="500" w:type="dxa"/>
            <w:vAlign w:val="bottom"/>
            <w:gridSpan w:val="2"/>
          </w:tcPr>
          <w:p>
            <w:pPr>
              <w:jc w:val="center"/>
              <w:ind w:left="231"/>
              <w:spacing w:after="0"/>
              <w:rPr>
                <w:sz w:val="20"/>
                <w:szCs w:val="20"/>
                <w:color w:val="auto"/>
              </w:rPr>
            </w:pPr>
            <w:r>
              <w:rPr>
                <w:rFonts w:ascii="Times New Roman" w:cs="Times New Roman" w:eastAsia="Times New Roman" w:hAnsi="Times New Roman"/>
                <w:sz w:val="18"/>
                <w:szCs w:val="18"/>
                <w:color w:val="0000FF"/>
                <w:w w:val="99"/>
              </w:rPr>
              <w:t>31</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7960" w:type="dxa"/>
            <w:vAlign w:val="bottom"/>
            <w:gridSpan w:val="13"/>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20" w:type="dxa"/>
            <w:vAlign w:val="bottom"/>
            <w:gridSpan w:val="3"/>
          </w:tcPr>
          <w:p>
            <w:pPr>
              <w:spacing w:after="0"/>
              <w:rPr>
                <w:sz w:val="22"/>
                <w:szCs w:val="22"/>
                <w:color w:val="auto"/>
              </w:rPr>
            </w:pPr>
          </w:p>
        </w:tc>
        <w:tc>
          <w:tcPr>
            <w:tcW w:w="7960" w:type="dxa"/>
            <w:vAlign w:val="bottom"/>
            <w:gridSpan w:val="13"/>
          </w:tcPr>
          <w:p>
            <w:pPr>
              <w:spacing w:after="0"/>
              <w:rPr>
                <w:sz w:val="22"/>
                <w:szCs w:val="22"/>
                <w:color w:val="auto"/>
              </w:rPr>
            </w:pPr>
          </w:p>
        </w:tc>
        <w:tc>
          <w:tcPr>
            <w:tcW w:w="500" w:type="dxa"/>
            <w:vAlign w:val="bottom"/>
            <w:gridSpan w:val="2"/>
          </w:tcPr>
          <w:p>
            <w:pPr>
              <w:jc w:val="center"/>
              <w:ind w:left="231"/>
              <w:spacing w:after="0"/>
              <w:rPr>
                <w:sz w:val="20"/>
                <w:szCs w:val="20"/>
                <w:color w:val="auto"/>
              </w:rPr>
            </w:pPr>
            <w:r>
              <w:rPr>
                <w:rFonts w:ascii="Times New Roman" w:cs="Times New Roman" w:eastAsia="Times New Roman" w:hAnsi="Times New Roman"/>
                <w:sz w:val="18"/>
                <w:szCs w:val="18"/>
                <w:color w:val="0000FF"/>
                <w:w w:val="99"/>
              </w:rPr>
              <w:t>31</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Signature</w:t>
            </w: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gridSpan w:val="2"/>
          </w:tcPr>
          <w:p>
            <w:pPr>
              <w:jc w:val="center"/>
              <w:ind w:left="231"/>
              <w:spacing w:after="0"/>
              <w:rPr>
                <w:sz w:val="20"/>
                <w:szCs w:val="20"/>
                <w:color w:val="auto"/>
              </w:rPr>
            </w:pPr>
            <w:r>
              <w:rPr>
                <w:rFonts w:ascii="Times New Roman" w:cs="Times New Roman" w:eastAsia="Times New Roman" w:hAnsi="Times New Roman"/>
                <w:sz w:val="18"/>
                <w:szCs w:val="18"/>
                <w:color w:val="0000FF"/>
                <w:w w:val="99"/>
              </w:rPr>
              <w:t>33</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13"/>
        </w:trPr>
        <w:tc>
          <w:tcPr>
            <w:tcW w:w="2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8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2620" w:type="dxa"/>
            <w:vAlign w:val="bottom"/>
            <w:gridSpan w:val="4"/>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5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28"/>
        </w:trPr>
        <w:tc>
          <w:tcPr>
            <w:tcW w:w="54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152"/>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right"/>
              <w:ind w:right="172"/>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54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175,042</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352,748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372,701</w:t>
            </w:r>
          </w:p>
        </w:tc>
      </w:tr>
      <w:tr>
        <w:trPr>
          <w:trHeight w:val="230"/>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176,277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164,453</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334,043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350,253</w:t>
            </w: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10,589</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22,448</w:t>
            </w:r>
          </w:p>
        </w:tc>
      </w:tr>
      <w:tr>
        <w:trPr>
          <w:trHeight w:val="230"/>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17,286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15,731</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35,866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32,844</w:t>
            </w: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(5,142)</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(10,396)</w:t>
            </w: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r>
      <w:tr>
        <w:trPr>
          <w:trHeight w:val="229"/>
        </w:trPr>
        <w:tc>
          <w:tcPr>
            <w:tcW w:w="5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r>
      <w:tr>
        <w:trPr>
          <w:trHeight w:val="230"/>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(Note 3)</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4,716</w:t>
            </w: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(6,012)</w:t>
            </w: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federal, state and foreign income taxes</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(2,851)</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(14,756)</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(6,018)</w:t>
            </w: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4"/>
        </w:trPr>
        <w:tc>
          <w:tcPr>
            <w:tcW w:w="5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loss per common share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loss per common share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27,377</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27,314</w:t>
            </w:r>
          </w:p>
        </w:tc>
      </w:tr>
      <w:tr>
        <w:trPr>
          <w:trHeight w:val="234"/>
        </w:trPr>
        <w:tc>
          <w:tcPr>
            <w:tcW w:w="5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27,801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27,377</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27,314</w:t>
            </w:r>
          </w:p>
        </w:tc>
      </w:tr>
    </w:tbl>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2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2400" w:type="dxa"/>
            <w:vAlign w:val="bottom"/>
            <w:gridSpan w:val="4"/>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6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31"/>
        </w:trPr>
        <w:tc>
          <w:tcPr>
            <w:tcW w:w="60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117"/>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117"/>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60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(6,018)</w:t>
            </w:r>
          </w:p>
        </w:tc>
      </w:tr>
      <w:tr>
        <w:trPr>
          <w:trHeight w:val="230"/>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6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(6,896)</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(15,683)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(5,994)</w:t>
            </w:r>
          </w:p>
        </w:tc>
      </w:tr>
      <w:tr>
        <w:trPr>
          <w:trHeight w:val="20"/>
        </w:trPr>
        <w:tc>
          <w:tcPr>
            <w:tcW w:w="6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1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3"/>
                <w:szCs w:val="13"/>
                <w:color w:val="auto"/>
              </w:rPr>
            </w:pPr>
          </w:p>
        </w:tc>
        <w:tc>
          <w:tcPr>
            <w:tcW w:w="102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6"/>
        </w:trPr>
        <w:tc>
          <w:tcPr>
            <w:tcW w:w="85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1"/>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4"/>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29"/>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156,777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115,615</w:t>
            </w:r>
          </w:p>
        </w:tc>
      </w:tr>
      <w:tr>
        <w:trPr>
          <w:trHeight w:val="229"/>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net of allowance for credit losses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134,726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138,987</w:t>
            </w:r>
          </w:p>
        </w:tc>
      </w:tr>
      <w:tr>
        <w:trPr>
          <w:trHeight w:val="230"/>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Costs and estimated earnings in excess of billings on uncompleted contracts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33,893</w:t>
            </w:r>
          </w:p>
        </w:tc>
      </w:tr>
      <w:tr>
        <w:trPr>
          <w:trHeight w:val="229"/>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8,839</w:t>
            </w:r>
          </w:p>
        </w:tc>
      </w:tr>
      <w:tr>
        <w:trPr>
          <w:trHeight w:val="230"/>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 receivable</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29"/>
        </w:trPr>
        <w:tc>
          <w:tcPr>
            <w:tcW w:w="85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4,077</w:t>
            </w:r>
          </w:p>
        </w:tc>
      </w:tr>
      <w:tr>
        <w:trPr>
          <w:trHeight w:val="223"/>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343,922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301,591</w:t>
            </w:r>
          </w:p>
        </w:tc>
      </w:tr>
      <w:tr>
        <w:trPr>
          <w:trHeight w:val="22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22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41,392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43,498</w:t>
            </w:r>
          </w:p>
        </w:tc>
      </w:tr>
      <w:tr>
        <w:trPr>
          <w:trHeight w:val="230"/>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19,150</w:t>
            </w:r>
          </w:p>
        </w:tc>
      </w:tr>
      <w:tr>
        <w:trPr>
          <w:trHeight w:val="22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29,023</w:t>
            </w:r>
          </w:p>
        </w:tc>
      </w:tr>
      <w:tr>
        <w:trPr>
          <w:trHeight w:val="22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 net of accumulated amortization</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w:t>
            </w:r>
          </w:p>
        </w:tc>
      </w:tr>
      <w:tr>
        <w:trPr>
          <w:trHeight w:val="23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non-current (Note 2)</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55,385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31,438</w:t>
            </w:r>
          </w:p>
        </w:tc>
      </w:tr>
      <w:tr>
        <w:trPr>
          <w:trHeight w:val="223"/>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513,845</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451,351</w:t>
            </w:r>
          </w:p>
        </w:tc>
      </w:tr>
      <w:tr>
        <w:trPr>
          <w:trHeight w:val="20"/>
        </w:trPr>
        <w:tc>
          <w:tcPr>
            <w:tcW w:w="8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ectPr>
          <w:pgSz w:w="11900" w:h="16838" w:orient="portrait"/>
          <w:cols w:equalWidth="0" w:num="1">
            <w:col w:w="11220"/>
          </w:cols>
          <w:pgMar w:left="320" w:top="36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17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3"/>
                <w:szCs w:val="13"/>
                <w:color w:val="auto"/>
              </w:rPr>
            </w:pPr>
          </w:p>
        </w:tc>
        <w:tc>
          <w:tcPr>
            <w:tcW w:w="102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4"/>
        </w:trPr>
        <w:tc>
          <w:tcPr>
            <w:tcW w:w="85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1"/>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4"/>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30"/>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79,976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65,629</w:t>
            </w:r>
          </w:p>
        </w:tc>
      </w:tr>
      <w:tr>
        <w:trPr>
          <w:trHeight w:val="229"/>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Billings on uncompleted contracts in excess of costs and estimated earnings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237,537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171,308</w:t>
            </w:r>
          </w:p>
        </w:tc>
      </w:tr>
      <w:tr>
        <w:trPr>
          <w:trHeight w:val="229"/>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wages and benefits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15,878</w:t>
            </w:r>
          </w:p>
        </w:tc>
      </w:tr>
      <w:tr>
        <w:trPr>
          <w:trHeight w:val="230"/>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insurance</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4,605</w:t>
            </w:r>
          </w:p>
        </w:tc>
      </w:tr>
      <w:tr>
        <w:trPr>
          <w:trHeight w:val="229"/>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w:t>
            </w:r>
          </w:p>
        </w:tc>
      </w:tr>
      <w:tr>
        <w:trPr>
          <w:trHeight w:val="229"/>
        </w:trPr>
        <w:tc>
          <w:tcPr>
            <w:tcW w:w="85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accrued expenses</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3,956</w:t>
            </w:r>
          </w:p>
        </w:tc>
      </w:tr>
      <w:tr>
        <w:trPr>
          <w:trHeight w:val="223"/>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341,099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265,115</w:t>
            </w:r>
          </w:p>
        </w:tc>
      </w:tr>
      <w:tr>
        <w:trPr>
          <w:trHeight w:val="229"/>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19,156</w:t>
            </w:r>
          </w:p>
        </w:tc>
      </w:tr>
      <w:tr>
        <w:trPr>
          <w:trHeight w:val="229"/>
        </w:trPr>
        <w:tc>
          <w:tcPr>
            <w:tcW w:w="85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2,873</w:t>
            </w:r>
          </w:p>
        </w:tc>
      </w:tr>
      <w:tr>
        <w:trPr>
          <w:trHeight w:val="223"/>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287,169</w:t>
            </w:r>
          </w:p>
        </w:tc>
      </w:tr>
      <w:tr>
        <w:trPr>
          <w:trHeight w:val="22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176"/>
        </w:trPr>
        <w:tc>
          <w:tcPr>
            <w:tcW w:w="85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 $0.01 par value; 60,000,000 shares authorized; 27,888,217 shares issued at December 31, 2024 and</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4"/>
        </w:trPr>
        <w:tc>
          <w:tcPr>
            <w:tcW w:w="85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June 30, 2024, respectively; 27,602,825 and 27,308,795 shares outstanding as of December 31, 2024 and June 30,</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4"/>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 respectively;</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30"/>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145,608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145,580</w:t>
            </w:r>
          </w:p>
        </w:tc>
      </w:tr>
      <w:tr>
        <w:trPr>
          <w:trHeight w:val="230"/>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33,941</w:t>
            </w:r>
          </w:p>
        </w:tc>
      </w:tr>
      <w:tr>
        <w:trPr>
          <w:trHeight w:val="230"/>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(9,535)</w:t>
            </w:r>
          </w:p>
        </w:tc>
      </w:tr>
      <w:tr>
        <w:trPr>
          <w:trHeight w:val="229"/>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Treasury stock, at cost — 285,392 and 579,422 shares as of December 31, 2024 and June 30, 2024, respectively;</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(6,083)</w:t>
            </w:r>
          </w:p>
        </w:tc>
      </w:tr>
      <w:tr>
        <w:trPr>
          <w:trHeight w:val="223"/>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151,934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164,182</w:t>
            </w:r>
          </w:p>
        </w:tc>
      </w:tr>
      <w:tr>
        <w:trPr>
          <w:trHeight w:val="223"/>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513,845</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451,351</w:t>
            </w:r>
          </w:p>
        </w:tc>
      </w:tr>
      <w:tr>
        <w:trPr>
          <w:trHeight w:val="20"/>
        </w:trPr>
        <w:tc>
          <w:tcPr>
            <w:tcW w:w="8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13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80" w:type="dxa"/>
            <w:vAlign w:val="bottom"/>
            <w:gridSpan w:val="4"/>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3"/>
        </w:trPr>
        <w:tc>
          <w:tcPr>
            <w:tcW w:w="8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1"/>
                <w:szCs w:val="11"/>
                <w:color w:val="auto"/>
              </w:rPr>
            </w:pPr>
          </w:p>
        </w:tc>
        <w:tc>
          <w:tcPr>
            <w:tcW w:w="1100" w:type="dxa"/>
            <w:vAlign w:val="bottom"/>
          </w:tcPr>
          <w:p>
            <w:pPr>
              <w:jc w:val="right"/>
              <w:ind w:right="131"/>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5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4"/>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(6,018)</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provided (used) by operating activities: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5,692</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3,785</w:t>
            </w:r>
          </w:p>
        </w:tc>
        <w:tc>
          <w:tcPr>
            <w:tcW w:w="0" w:type="dxa"/>
            <w:vAlign w:val="bottom"/>
          </w:tcPr>
          <w:p>
            <w:pPr>
              <w:spacing w:after="0"/>
              <w:rPr>
                <w:sz w:val="1"/>
                <w:szCs w:val="1"/>
                <w:color w:val="auto"/>
              </w:rPr>
            </w:pPr>
          </w:p>
        </w:tc>
      </w:tr>
      <w:tr>
        <w:trPr>
          <w:trHeight w:val="230"/>
        </w:trPr>
        <w:tc>
          <w:tcPr>
            <w:tcW w:w="8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Gain on disposal of property, plant and equipment (Note 3)</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(4,589)</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29"/>
        </w:trPr>
        <w:tc>
          <w:tcPr>
            <w:tcW w:w="8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 increasing (decreasing) cash:</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receivable, net of allowance for credit losses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(19,752)</w:t>
            </w:r>
          </w:p>
        </w:tc>
        <w:tc>
          <w:tcPr>
            <w:tcW w:w="0" w:type="dxa"/>
            <w:vAlign w:val="bottom"/>
          </w:tcPr>
          <w:p>
            <w:pPr>
              <w:spacing w:after="0"/>
              <w:rPr>
                <w:sz w:val="1"/>
                <w:szCs w:val="1"/>
                <w:color w:val="auto"/>
              </w:rPr>
            </w:pPr>
          </w:p>
        </w:tc>
      </w:tr>
      <w:tr>
        <w:trPr>
          <w:trHeight w:val="229"/>
        </w:trPr>
        <w:tc>
          <w:tcPr>
            <w:tcW w:w="85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Costs and estimated earnings in excess of billings on uncompleted contracts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4,462</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0" w:type="dxa"/>
            <w:vAlign w:val="bottom"/>
          </w:tcPr>
          <w:p>
            <w:pPr>
              <w:spacing w:after="0"/>
              <w:rPr>
                <w:sz w:val="1"/>
                <w:szCs w:val="1"/>
                <w:color w:val="auto"/>
              </w:rPr>
            </w:pPr>
          </w:p>
        </w:tc>
      </w:tr>
      <w:tr>
        <w:trPr>
          <w:trHeight w:val="229"/>
        </w:trPr>
        <w:tc>
          <w:tcPr>
            <w:tcW w:w="85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(14,303)</w:t>
            </w:r>
          </w:p>
        </w:tc>
        <w:tc>
          <w:tcPr>
            <w:tcW w:w="0" w:type="dxa"/>
            <w:vAlign w:val="bottom"/>
          </w:tcPr>
          <w:p>
            <w:pPr>
              <w:spacing w:after="0"/>
              <w:rPr>
                <w:sz w:val="1"/>
                <w:szCs w:val="1"/>
                <w:color w:val="auto"/>
              </w:rPr>
            </w:pPr>
          </w:p>
        </w:tc>
      </w:tr>
      <w:tr>
        <w:trPr>
          <w:trHeight w:val="230"/>
        </w:trPr>
        <w:tc>
          <w:tcPr>
            <w:tcW w:w="85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Billings on uncompleted contracts in excess of costs and estimated earnings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66,229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31,837</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w:t>
            </w:r>
          </w:p>
        </w:tc>
        <w:tc>
          <w:tcPr>
            <w:tcW w:w="0" w:type="dxa"/>
            <w:vAlign w:val="bottom"/>
          </w:tcPr>
          <w:p>
            <w:pPr>
              <w:spacing w:after="0"/>
              <w:rPr>
                <w:sz w:val="1"/>
                <w:szCs w:val="1"/>
                <w:color w:val="auto"/>
              </w:rPr>
            </w:pPr>
          </w:p>
        </w:tc>
      </w:tr>
      <w:tr>
        <w:trPr>
          <w:trHeight w:val="223"/>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property, plant and equipment (Note 3)</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2,806</w:t>
            </w:r>
          </w:p>
        </w:tc>
        <w:tc>
          <w:tcPr>
            <w:tcW w:w="0" w:type="dxa"/>
            <w:vAlign w:val="bottom"/>
          </w:tcPr>
          <w:p>
            <w:pPr>
              <w:spacing w:after="0"/>
              <w:rPr>
                <w:sz w:val="1"/>
                <w:szCs w:val="1"/>
                <w:color w:val="auto"/>
              </w:rPr>
            </w:pPr>
          </w:p>
        </w:tc>
      </w:tr>
      <w:tr>
        <w:trPr>
          <w:trHeight w:val="223"/>
        </w:trPr>
        <w:tc>
          <w:tcPr>
            <w:tcW w:w="8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provided (used) by investing activities</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0" w:type="dxa"/>
            <w:vAlign w:val="bottom"/>
          </w:tcPr>
          <w:p>
            <w:pPr>
              <w:spacing w:after="0"/>
              <w:rPr>
                <w:sz w:val="1"/>
                <w:szCs w:val="1"/>
                <w:color w:val="auto"/>
              </w:rPr>
            </w:pPr>
          </w:p>
        </w:tc>
      </w:tr>
      <w:tr>
        <w:trPr>
          <w:trHeight w:val="210"/>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Advances under asset-backed credit facility</w:t>
            </w:r>
          </w:p>
        </w:tc>
        <w:tc>
          <w:tcPr>
            <w:tcW w:w="1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 of advances under asset-backed credit facility</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0" w:type="dxa"/>
            <w:vAlign w:val="bottom"/>
          </w:tcPr>
          <w:p>
            <w:pPr>
              <w:spacing w:after="0"/>
              <w:rPr>
                <w:sz w:val="1"/>
                <w:szCs w:val="1"/>
                <w:color w:val="auto"/>
              </w:rPr>
            </w:pPr>
          </w:p>
        </w:tc>
      </w:tr>
      <w:tr>
        <w:trPr>
          <w:trHeight w:val="230"/>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common stock under employee stock purchase plan</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common stock for payment of statutory taxes due on equity-based compensation</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23"/>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by financing activities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(10,365)</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3"/>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41,162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(7,652)</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140,615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79,812</w:t>
            </w:r>
          </w:p>
        </w:tc>
        <w:tc>
          <w:tcPr>
            <w:tcW w:w="0" w:type="dxa"/>
            <w:vAlign w:val="bottom"/>
          </w:tcPr>
          <w:p>
            <w:pPr>
              <w:spacing w:after="0"/>
              <w:rPr>
                <w:sz w:val="1"/>
                <w:szCs w:val="1"/>
                <w:color w:val="auto"/>
              </w:rPr>
            </w:pPr>
          </w:p>
        </w:tc>
      </w:tr>
      <w:tr>
        <w:trPr>
          <w:trHeight w:val="223"/>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181,777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72,160</w:t>
            </w:r>
          </w:p>
        </w:tc>
        <w:tc>
          <w:tcPr>
            <w:tcW w:w="0" w:type="dxa"/>
            <w:vAlign w:val="bottom"/>
          </w:tcPr>
          <w:p>
            <w:pPr>
              <w:spacing w:after="0"/>
              <w:rPr>
                <w:sz w:val="1"/>
                <w:szCs w:val="1"/>
                <w:color w:val="auto"/>
              </w:rPr>
            </w:pPr>
          </w:p>
        </w:tc>
      </w:tr>
      <w:tr>
        <w:trPr>
          <w:trHeight w:val="20"/>
        </w:trPr>
        <w:tc>
          <w:tcPr>
            <w:tcW w:w="85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Cash paid (received) during the period for:</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85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Interest</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540" w:type="dxa"/>
            <w:vAlign w:val="bottom"/>
            <w:vMerge w:val="continue"/>
          </w:tcPr>
          <w:p>
            <w:pPr>
              <w:spacing w:after="0"/>
              <w:rPr>
                <w:sz w:val="15"/>
                <w:szCs w:val="15"/>
                <w:color w:val="auto"/>
              </w:rPr>
            </w:pPr>
          </w:p>
        </w:tc>
        <w:tc>
          <w:tcPr>
            <w:tcW w:w="16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232</w:t>
            </w:r>
          </w:p>
        </w:tc>
        <w:tc>
          <w:tcPr>
            <w:tcW w:w="120" w:type="dxa"/>
            <w:vAlign w:val="bottom"/>
          </w:tcPr>
          <w:p>
            <w:pPr>
              <w:spacing w:after="0"/>
              <w:rPr>
                <w:sz w:val="15"/>
                <w:szCs w:val="15"/>
                <w:color w:val="auto"/>
              </w:rPr>
            </w:pPr>
          </w:p>
        </w:tc>
        <w:tc>
          <w:tcPr>
            <w:tcW w:w="16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647</w:t>
            </w:r>
          </w:p>
        </w:tc>
        <w:tc>
          <w:tcPr>
            <w:tcW w:w="0" w:type="dxa"/>
            <w:vAlign w:val="bottom"/>
          </w:tcPr>
          <w:p>
            <w:pPr>
              <w:spacing w:after="0"/>
              <w:rPr>
                <w:sz w:val="1"/>
                <w:szCs w:val="1"/>
                <w:color w:val="auto"/>
              </w:rPr>
            </w:pPr>
          </w:p>
        </w:tc>
      </w:tr>
      <w:tr>
        <w:trPr>
          <w:trHeight w:val="20"/>
        </w:trPr>
        <w:tc>
          <w:tcPr>
            <w:tcW w:w="85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Non-cash investing and financing activities:</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Purchases of property, plant and equipment on account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
        </w:trPr>
        <w:tc>
          <w:tcPr>
            <w:tcW w:w="8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ectPr>
          <w:pgSz w:w="11900" w:h="16838" w:orient="portrait"/>
          <w:cols w:equalWidth="0" w:num="1">
            <w:col w:w="11220"/>
          </w:cols>
          <w:pgMar w:left="320" w:top="36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080" w:type="dxa"/>
            <w:vAlign w:val="bottom"/>
          </w:tcPr>
          <w:p>
            <w:pPr>
              <w:spacing w:after="0"/>
              <w:rPr>
                <w:sz w:val="12"/>
                <w:szCs w:val="12"/>
                <w:color w:val="auto"/>
              </w:rPr>
            </w:pPr>
          </w:p>
        </w:tc>
        <w:tc>
          <w:tcPr>
            <w:tcW w:w="2000" w:type="dxa"/>
            <w:vAlign w:val="bottom"/>
            <w:gridSpan w:val="4"/>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84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080" w:type="dxa"/>
            <w:vAlign w:val="bottom"/>
          </w:tcPr>
          <w:p>
            <w:pPr>
              <w:spacing w:after="0"/>
              <w:rPr>
                <w:sz w:val="9"/>
                <w:szCs w:val="9"/>
                <w:color w:val="auto"/>
              </w:rPr>
            </w:pPr>
          </w:p>
        </w:tc>
        <w:tc>
          <w:tcPr>
            <w:tcW w:w="200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9"/>
                <w:szCs w:val="9"/>
                <w:color w:val="auto"/>
              </w:rPr>
            </w:pPr>
          </w:p>
        </w:tc>
        <w:tc>
          <w:tcPr>
            <w:tcW w:w="860" w:type="dxa"/>
            <w:vAlign w:val="bottom"/>
            <w:gridSpan w:val="2"/>
            <w:vMerge w:val="restart"/>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9"/>
                <w:szCs w:val="9"/>
                <w:color w:val="auto"/>
              </w:rPr>
            </w:pPr>
          </w:p>
        </w:tc>
        <w:tc>
          <w:tcPr>
            <w:tcW w:w="1200" w:type="dxa"/>
            <w:vAlign w:val="bottom"/>
            <w:gridSpan w:val="2"/>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40" w:type="dxa"/>
            <w:vAlign w:val="bottom"/>
            <w:gridSpan w:val="4"/>
            <w:vMerge w:val="continue"/>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3080" w:type="dxa"/>
            <w:vAlign w:val="bottom"/>
          </w:tcPr>
          <w:p>
            <w:pPr>
              <w:spacing w:after="0"/>
              <w:rPr>
                <w:sz w:val="3"/>
                <w:szCs w:val="3"/>
                <w:color w:val="auto"/>
              </w:rPr>
            </w:pPr>
          </w:p>
        </w:tc>
        <w:tc>
          <w:tcPr>
            <w:tcW w:w="1000" w:type="dxa"/>
            <w:vAlign w:val="bottom"/>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3"/>
                <w:szCs w:val="3"/>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82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3"/>
                <w:szCs w:val="3"/>
                <w:color w:val="auto"/>
              </w:rPr>
            </w:pP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3"/>
                <w:szCs w:val="3"/>
                <w:color w:val="auto"/>
              </w:rPr>
            </w:pPr>
          </w:p>
        </w:tc>
        <w:tc>
          <w:tcPr>
            <w:tcW w:w="720" w:type="dxa"/>
            <w:vAlign w:val="bottom"/>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98"/>
        </w:trPr>
        <w:tc>
          <w:tcPr>
            <w:tcW w:w="308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7"/>
                <w:szCs w:val="17"/>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8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30, 2024</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27,888,217</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143,765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24,718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(9,099)</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338,015</w:t>
            </w:r>
          </w:p>
        </w:tc>
        <w:tc>
          <w:tcPr>
            <w:tcW w:w="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(3,146)</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156,517</w:t>
            </w:r>
          </w:p>
        </w:tc>
        <w:tc>
          <w:tcPr>
            <w:tcW w:w="0" w:type="dxa"/>
            <w:vAlign w:val="bottom"/>
          </w:tcPr>
          <w:p>
            <w:pPr>
              <w:spacing w:after="0"/>
              <w:rPr>
                <w:sz w:val="1"/>
                <w:szCs w:val="1"/>
                <w:color w:val="auto"/>
              </w:rPr>
            </w:pPr>
          </w:p>
        </w:tc>
      </w:tr>
      <w:tr>
        <w:trPr>
          <w:trHeight w:val="213"/>
        </w:trPr>
        <w:tc>
          <w:tcPr>
            <w:tcW w:w="3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(5,533)</w:t>
            </w: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(1,363)</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(1,363)</w:t>
            </w:r>
          </w:p>
        </w:tc>
        <w:tc>
          <w:tcPr>
            <w:tcW w:w="0" w:type="dxa"/>
            <w:vAlign w:val="bottom"/>
          </w:tcPr>
          <w:p>
            <w:pPr>
              <w:spacing w:after="0"/>
              <w:rPr>
                <w:sz w:val="1"/>
                <w:szCs w:val="1"/>
                <w:color w:val="auto"/>
              </w:rPr>
            </w:pPr>
          </w:p>
        </w:tc>
      </w:tr>
      <w:tr>
        <w:trPr>
          <w:trHeight w:val="213"/>
        </w:trPr>
        <w:tc>
          <w:tcPr>
            <w:tcW w:w="3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restricted stock</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(47,946)</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30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Treasury shares sold to Employee Stock</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(4,677)</w:t>
            </w:r>
          </w:p>
        </w:tc>
        <w:tc>
          <w:tcPr>
            <w:tcW w:w="1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Plan</w:t>
            </w:r>
          </w:p>
        </w:tc>
        <w:tc>
          <w:tcPr>
            <w:tcW w:w="10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2,257</w:t>
            </w:r>
          </w:p>
        </w:tc>
        <w:tc>
          <w:tcPr>
            <w:tcW w:w="0" w:type="dxa"/>
            <w:vAlign w:val="bottom"/>
          </w:tcPr>
          <w:p>
            <w:pPr>
              <w:spacing w:after="0"/>
              <w:rPr>
                <w:sz w:val="1"/>
                <w:szCs w:val="1"/>
                <w:color w:val="auto"/>
              </w:rPr>
            </w:pPr>
          </w:p>
        </w:tc>
      </w:tr>
      <w:tr>
        <w:trPr>
          <w:trHeight w:val="235"/>
        </w:trPr>
        <w:tc>
          <w:tcPr>
            <w:tcW w:w="3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31, 2024</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27,888,217</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145,608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19,185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(10,462)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285,392</w:t>
            </w:r>
          </w:p>
        </w:tc>
        <w:tc>
          <w:tcPr>
            <w:tcW w:w="1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151,934</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0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30, 2023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27,888,217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139,773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55,750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(9,307)</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678,379</w:t>
            </w:r>
          </w:p>
        </w:tc>
        <w:tc>
          <w:tcPr>
            <w:tcW w:w="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179,123</w:t>
            </w:r>
          </w:p>
        </w:tc>
        <w:tc>
          <w:tcPr>
            <w:tcW w:w="0" w:type="dxa"/>
            <w:vAlign w:val="bottom"/>
          </w:tcPr>
          <w:p>
            <w:pPr>
              <w:spacing w:after="0"/>
              <w:rPr>
                <w:sz w:val="1"/>
                <w:szCs w:val="1"/>
                <w:color w:val="auto"/>
              </w:rPr>
            </w:pPr>
          </w:p>
        </w:tc>
      </w:tr>
      <w:tr>
        <w:trPr>
          <w:trHeight w:val="213"/>
        </w:trPr>
        <w:tc>
          <w:tcPr>
            <w:tcW w:w="3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(2,851)</w:t>
            </w: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w:t>
            </w:r>
          </w:p>
        </w:tc>
        <w:tc>
          <w:tcPr>
            <w:tcW w:w="0" w:type="dxa"/>
            <w:vAlign w:val="bottom"/>
          </w:tcPr>
          <w:p>
            <w:pPr>
              <w:spacing w:after="0"/>
              <w:rPr>
                <w:sz w:val="1"/>
                <w:szCs w:val="1"/>
                <w:color w:val="auto"/>
              </w:rPr>
            </w:pPr>
          </w:p>
        </w:tc>
      </w:tr>
      <w:tr>
        <w:trPr>
          <w:trHeight w:val="213"/>
        </w:trPr>
        <w:tc>
          <w:tcPr>
            <w:tcW w:w="3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restricted stock</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(86,783)</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30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Treasury shares sold to Employee Stock</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(3,864)</w:t>
            </w:r>
          </w:p>
        </w:tc>
        <w:tc>
          <w:tcPr>
            <w:tcW w:w="1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Plan</w:t>
            </w:r>
          </w:p>
        </w:tc>
        <w:tc>
          <w:tcPr>
            <w:tcW w:w="10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2,030</w:t>
            </w:r>
          </w:p>
        </w:tc>
        <w:tc>
          <w:tcPr>
            <w:tcW w:w="0" w:type="dxa"/>
            <w:vAlign w:val="bottom"/>
          </w:tcPr>
          <w:p>
            <w:pPr>
              <w:spacing w:after="0"/>
              <w:rPr>
                <w:sz w:val="1"/>
                <w:szCs w:val="1"/>
                <w:color w:val="auto"/>
              </w:rPr>
            </w:pPr>
          </w:p>
        </w:tc>
      </w:tr>
      <w:tr>
        <w:trPr>
          <w:trHeight w:val="234"/>
        </w:trPr>
        <w:tc>
          <w:tcPr>
            <w:tcW w:w="3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31, 2023</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27,888,217</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140,668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52,899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587,732</w:t>
            </w:r>
          </w:p>
        </w:tc>
        <w:tc>
          <w:tcPr>
            <w:tcW w:w="1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178,910</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3"/>
        </w:trPr>
        <w:tc>
          <w:tcPr>
            <w:tcW w:w="3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3080" w:type="dxa"/>
            <w:vAlign w:val="bottom"/>
          </w:tcPr>
          <w:p>
            <w:pPr>
              <w:spacing w:after="0"/>
              <w:rPr>
                <w:sz w:val="12"/>
                <w:szCs w:val="12"/>
                <w:color w:val="auto"/>
              </w:rPr>
            </w:pPr>
          </w:p>
        </w:tc>
        <w:tc>
          <w:tcPr>
            <w:tcW w:w="2000" w:type="dxa"/>
            <w:vAlign w:val="bottom"/>
            <w:gridSpan w:val="4"/>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84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080" w:type="dxa"/>
            <w:vAlign w:val="bottom"/>
          </w:tcPr>
          <w:p>
            <w:pPr>
              <w:spacing w:after="0"/>
              <w:rPr>
                <w:sz w:val="9"/>
                <w:szCs w:val="9"/>
                <w:color w:val="auto"/>
              </w:rPr>
            </w:pPr>
          </w:p>
        </w:tc>
        <w:tc>
          <w:tcPr>
            <w:tcW w:w="200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9"/>
                <w:szCs w:val="9"/>
                <w:color w:val="auto"/>
              </w:rPr>
            </w:pPr>
          </w:p>
        </w:tc>
        <w:tc>
          <w:tcPr>
            <w:tcW w:w="860" w:type="dxa"/>
            <w:vAlign w:val="bottom"/>
            <w:gridSpan w:val="2"/>
            <w:vMerge w:val="restart"/>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9"/>
                <w:szCs w:val="9"/>
                <w:color w:val="auto"/>
              </w:rPr>
            </w:pPr>
          </w:p>
        </w:tc>
        <w:tc>
          <w:tcPr>
            <w:tcW w:w="1200" w:type="dxa"/>
            <w:vAlign w:val="bottom"/>
            <w:gridSpan w:val="2"/>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40" w:type="dxa"/>
            <w:vAlign w:val="bottom"/>
            <w:gridSpan w:val="4"/>
            <w:vMerge w:val="continue"/>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3080" w:type="dxa"/>
            <w:vAlign w:val="bottom"/>
          </w:tcPr>
          <w:p>
            <w:pPr>
              <w:spacing w:after="0"/>
              <w:rPr>
                <w:sz w:val="3"/>
                <w:szCs w:val="3"/>
                <w:color w:val="auto"/>
              </w:rPr>
            </w:pPr>
          </w:p>
        </w:tc>
        <w:tc>
          <w:tcPr>
            <w:tcW w:w="1000" w:type="dxa"/>
            <w:vAlign w:val="bottom"/>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3"/>
                <w:szCs w:val="3"/>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82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3"/>
                <w:szCs w:val="3"/>
                <w:color w:val="auto"/>
              </w:rPr>
            </w:pP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3"/>
                <w:szCs w:val="3"/>
                <w:color w:val="auto"/>
              </w:rPr>
            </w:pPr>
          </w:p>
        </w:tc>
        <w:tc>
          <w:tcPr>
            <w:tcW w:w="720" w:type="dxa"/>
            <w:vAlign w:val="bottom"/>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98"/>
        </w:trPr>
        <w:tc>
          <w:tcPr>
            <w:tcW w:w="308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7"/>
                <w:szCs w:val="17"/>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8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June 30, 2024</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27,888,217</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145,580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33,941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(9,535)</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579,422</w:t>
            </w:r>
          </w:p>
        </w:tc>
        <w:tc>
          <w:tcPr>
            <w:tcW w:w="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164,182</w:t>
            </w:r>
          </w:p>
        </w:tc>
        <w:tc>
          <w:tcPr>
            <w:tcW w:w="0" w:type="dxa"/>
            <w:vAlign w:val="bottom"/>
          </w:tcPr>
          <w:p>
            <w:pPr>
              <w:spacing w:after="0"/>
              <w:rPr>
                <w:sz w:val="1"/>
                <w:szCs w:val="1"/>
                <w:color w:val="auto"/>
              </w:rPr>
            </w:pPr>
          </w:p>
        </w:tc>
      </w:tr>
      <w:tr>
        <w:trPr>
          <w:trHeight w:val="213"/>
        </w:trPr>
        <w:tc>
          <w:tcPr>
            <w:tcW w:w="3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(14,756)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(14,756)</w:t>
            </w: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w:t>
            </w:r>
          </w:p>
        </w:tc>
        <w:tc>
          <w:tcPr>
            <w:tcW w:w="0" w:type="dxa"/>
            <w:vAlign w:val="bottom"/>
          </w:tcPr>
          <w:p>
            <w:pPr>
              <w:spacing w:after="0"/>
              <w:rPr>
                <w:sz w:val="1"/>
                <w:szCs w:val="1"/>
                <w:color w:val="auto"/>
              </w:rPr>
            </w:pPr>
          </w:p>
        </w:tc>
      </w:tr>
      <w:tr>
        <w:trPr>
          <w:trHeight w:val="213"/>
        </w:trPr>
        <w:tc>
          <w:tcPr>
            <w:tcW w:w="3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restricted stock</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(408,406)</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30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Treasury shares sold to Employee Stock</w:t>
            </w: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(9,474)</w:t>
            </w:r>
          </w:p>
        </w:tc>
        <w:tc>
          <w:tcPr>
            <w:tcW w:w="1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Plan</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0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Treasury shares purchased to satisfy tax</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2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123,850</w:t>
            </w:r>
          </w:p>
        </w:tc>
        <w:tc>
          <w:tcPr>
            <w:tcW w:w="1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(1,235)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(1,235)</w:t>
            </w:r>
          </w:p>
        </w:tc>
        <w:tc>
          <w:tcPr>
            <w:tcW w:w="0" w:type="dxa"/>
            <w:vAlign w:val="bottom"/>
          </w:tcPr>
          <w:p>
            <w:pPr>
              <w:spacing w:after="0"/>
              <w:rPr>
                <w:sz w:val="1"/>
                <w:szCs w:val="1"/>
                <w:color w:val="auto"/>
              </w:rPr>
            </w:pPr>
          </w:p>
        </w:tc>
      </w:tr>
      <w:tr>
        <w:trPr>
          <w:trHeight w:val="213"/>
        </w:trPr>
        <w:tc>
          <w:tcPr>
            <w:tcW w:w="3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withholding obligations</w:t>
            </w:r>
          </w:p>
        </w:tc>
        <w:tc>
          <w:tcPr>
            <w:tcW w:w="10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4,568</w:t>
            </w:r>
          </w:p>
        </w:tc>
        <w:tc>
          <w:tcPr>
            <w:tcW w:w="0" w:type="dxa"/>
            <w:vAlign w:val="bottom"/>
          </w:tcPr>
          <w:p>
            <w:pPr>
              <w:spacing w:after="0"/>
              <w:rPr>
                <w:sz w:val="1"/>
                <w:szCs w:val="1"/>
                <w:color w:val="auto"/>
              </w:rPr>
            </w:pPr>
          </w:p>
        </w:tc>
      </w:tr>
      <w:tr>
        <w:trPr>
          <w:trHeight w:val="207"/>
        </w:trPr>
        <w:tc>
          <w:tcPr>
            <w:tcW w:w="3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31, 2024</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27,888,217</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145,608</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19,185</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(10,462)</w:t>
            </w:r>
          </w:p>
        </w:tc>
        <w:tc>
          <w:tcPr>
            <w:tcW w:w="8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285,392</w:t>
            </w:r>
          </w:p>
        </w:tc>
        <w:tc>
          <w:tcPr>
            <w:tcW w:w="1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(2,676)</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151,934</w:t>
            </w:r>
          </w:p>
        </w:tc>
        <w:tc>
          <w:tcPr>
            <w:tcW w:w="0" w:type="dxa"/>
            <w:vAlign w:val="bottom"/>
          </w:tcPr>
          <w:p>
            <w:pPr>
              <w:spacing w:after="0"/>
              <w:rPr>
                <w:sz w:val="1"/>
                <w:szCs w:val="1"/>
                <w:color w:val="auto"/>
              </w:rPr>
            </w:pPr>
          </w:p>
        </w:tc>
      </w:tr>
      <w:tr>
        <w:trPr>
          <w:trHeight w:val="20"/>
        </w:trPr>
        <w:tc>
          <w:tcPr>
            <w:tcW w:w="30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30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June 30, 2023</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27,888,217</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140,810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58,917</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(8,769)</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840,899</w:t>
            </w:r>
          </w:p>
        </w:tc>
        <w:tc>
          <w:tcPr>
            <w:tcW w:w="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(9,753)</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181,484</w:t>
            </w: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(6,018)</w:t>
            </w:r>
          </w:p>
        </w:tc>
        <w:tc>
          <w:tcPr>
            <w:tcW w:w="0" w:type="dxa"/>
            <w:vAlign w:val="bottom"/>
          </w:tcPr>
          <w:p>
            <w:pPr>
              <w:spacing w:after="0"/>
              <w:rPr>
                <w:sz w:val="1"/>
                <w:szCs w:val="1"/>
                <w:color w:val="auto"/>
              </w:rPr>
            </w:pPr>
          </w:p>
        </w:tc>
      </w:tr>
      <w:tr>
        <w:trPr>
          <w:trHeight w:val="213"/>
        </w:trPr>
        <w:tc>
          <w:tcPr>
            <w:tcW w:w="3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restricted stock</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(297,026)</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30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Treasury shares sold to Employee Stock</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2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(11,465)</w:t>
            </w:r>
          </w:p>
        </w:tc>
        <w:tc>
          <w:tcPr>
            <w:tcW w:w="1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213"/>
        </w:trPr>
        <w:tc>
          <w:tcPr>
            <w:tcW w:w="3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Plan</w:t>
            </w:r>
          </w:p>
        </w:tc>
        <w:tc>
          <w:tcPr>
            <w:tcW w:w="10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0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Treasury shares purchased to satisfy tax</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55,324</w:t>
            </w:r>
          </w:p>
        </w:tc>
        <w:tc>
          <w:tcPr>
            <w:tcW w:w="1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withholding obligations</w:t>
            </w:r>
          </w:p>
        </w:tc>
        <w:tc>
          <w:tcPr>
            <w:tcW w:w="10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3,785</w:t>
            </w:r>
          </w:p>
        </w:tc>
        <w:tc>
          <w:tcPr>
            <w:tcW w:w="0" w:type="dxa"/>
            <w:vAlign w:val="bottom"/>
          </w:tcPr>
          <w:p>
            <w:pPr>
              <w:spacing w:after="0"/>
              <w:rPr>
                <w:sz w:val="1"/>
                <w:szCs w:val="1"/>
                <w:color w:val="auto"/>
              </w:rPr>
            </w:pPr>
          </w:p>
        </w:tc>
      </w:tr>
      <w:tr>
        <w:trPr>
          <w:trHeight w:val="234"/>
        </w:trPr>
        <w:tc>
          <w:tcPr>
            <w:tcW w:w="3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31, 2023</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27,888,217</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140,668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52,899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587,732</w:t>
            </w:r>
          </w:p>
        </w:tc>
        <w:tc>
          <w:tcPr>
            <w:tcW w:w="1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178,910</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Presentation and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Matrix Service Company and its subsidiaries (“Matrix”, “we”, “our”, “us”, “its” or the “Company”), unless otherwise indicated. Intercompany balances and transactions have been eliminated in consolidation.</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Rule 10-01 of Regulation S-X for interim financial statements required to be filed with the Securities and Exchange Commission and do not include all information and footnotes required by U.S. generally accepted accounting principles ("GAAP") for complete financial statements. The information furnished reflects all adjustments, consisting of normal recurring adjustments, that are, in the opinion of management, necessary for a fair statement of the results of operations, cash flows and financial position for the interim periods presented. The accompanying condensed consolidated financial statements should be read in conjunction with the audited financial statements for the year ended June 30, 2024, included in our Annual Report on Form 10-K. The results of operations for the three and six month periods ended December 31, 2024 may not necessarily be indicative of the results of operations for the full year ending June 30,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significant accounting policies are detailed in “Note 1 - Basis of Presentation and Significant Accounting Policies” of our Annual Report on Form 10-K for the year ended June 30, 2024.</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Not Yet Adopted</w:t>
      </w:r>
    </w:p>
    <w:p>
      <w:pPr>
        <w:spacing w:after="0" w:line="16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which expands disclosures about a public entity’s reportable segments and requires enhanced information about a reportable segment’s expenses, interim segment profit or loss, and how a public entity’s chief operating decision maker uses reported segment profit or loss information in assessing segment performance and allocating resources. The update will be effective for annual periods beginning after December 15, 2023 (fiscal 2025). Adoption of this ASU will result in additional disclosure, but will not impact the Company's consolidated financial position, results of operations or cash flows.</w:t>
      </w:r>
    </w:p>
    <w:p>
      <w:pPr>
        <w:spacing w:after="0" w:line="13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which expands disclosures in an entity’s income tax rate reconciliation table and regarding cash taxes paid both in the U.S. and foreign jurisdictions. The update will be effective for annual periods beginning after December 15, 2024 (fiscal 2026). Adoption of this ASU will result in additional disclosure, but will not impact the Company's consolidated financial position, results of operations or cash flows.</w:t>
      </w:r>
    </w:p>
    <w:p>
      <w:pPr>
        <w:spacing w:after="0" w:line="12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Reporting Comprehensive Income Expense Disaggregation Disclosures (Subtopic 220-40): Disaggregation of Income Statement Expenses, requiring companies to provide more detailed and organized disclosures of their expenses. Disclosures will include disaggregation of expense captions presented on the face of the income statement into specific categories, such as purchases of inventory, employee compensation, and costs related to depreciation and amortization. The new requirements will take effect for annual reporting periods beginning after December 15, 2026 (fiscal 2028) and for interim periods within fiscal years beginning after December 15, 2027 (fiscal 2029), with early adoption permitted. Adoption of this ASU will result in additional disclosure, but will not impact the Company's consolidated financial position, results of operations or cash flows.</w:t>
      </w:r>
    </w:p>
    <w:p>
      <w:pPr>
        <w:spacing w:after="0" w:line="135"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Other accounting pronouncements issued but not effective until after December 31, 2024 are not expected to have a material impact on the Company's consolidated financial position, results of operations, or cash flows.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Revenue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Remaining Performance Obligations</w:t>
      </w:r>
    </w:p>
    <w:p>
      <w:pPr>
        <w:spacing w:after="0" w:line="17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had $1.0 billion of remaining performance obligations yet to be satisfied as of December 31, 2024. We expect to recognize $558.9 million of our remaining performance obligations as revenue within the next twelve months.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Contract terms with customers include the timing of billing and payments, which usually differs from the timing of revenue recognition. As a result, we carry contract assets and liabilities in our balance sheet. These contract assets and liabilities are calculated on a contract-by-contract basis and are classified as current. We present our contract assets in the balance sheet as Costs and Estimated Earnings in Excess of Billings on Uncompleted Contracts ("CIE"). CIE consists of revenue recognized in excess of billings. We present our contract liabilities in the balance sheet as Billings on Uncompleted Contracts in Excess of Costs and Estimated Earnings ("BIE"). BIE consists of billings in excess of revenue recognized. The following table provides information about CIE and BIE:</w:t>
      </w:r>
    </w:p>
    <w:p>
      <w:pPr>
        <w:spacing w:after="0" w:line="1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3"/>
                <w:szCs w:val="13"/>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Pr>
          <w:p>
            <w:pPr>
              <w:spacing w:after="0"/>
              <w:rPr>
                <w:sz w:val="13"/>
                <w:szCs w:val="13"/>
                <w:color w:val="auto"/>
              </w:rPr>
            </w:pPr>
          </w:p>
        </w:tc>
        <w:tc>
          <w:tcPr>
            <w:tcW w:w="106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5"/>
        </w:trPr>
        <w:tc>
          <w:tcPr>
            <w:tcW w:w="70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estimated earnings in excess of billings on uncompleted contracts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34,711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33,893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0" w:type="dxa"/>
            <w:vAlign w:val="bottom"/>
          </w:tcPr>
          <w:p>
            <w:pPr>
              <w:spacing w:after="0"/>
              <w:rPr>
                <w:sz w:val="1"/>
                <w:szCs w:val="1"/>
                <w:color w:val="auto"/>
              </w:rPr>
            </w:pPr>
          </w:p>
        </w:tc>
      </w:tr>
      <w:tr>
        <w:trPr>
          <w:trHeight w:val="230"/>
        </w:trPr>
        <w:tc>
          <w:tcPr>
            <w:tcW w:w="7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Billings on uncompleted contracts in excess of costs and estimated earnings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(237,537)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(171,308)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(66,229)</w:t>
            </w:r>
          </w:p>
        </w:tc>
        <w:tc>
          <w:tcPr>
            <w:tcW w:w="0" w:type="dxa"/>
            <w:vAlign w:val="bottom"/>
          </w:tcPr>
          <w:p>
            <w:pPr>
              <w:spacing w:after="0"/>
              <w:rPr>
                <w:sz w:val="1"/>
                <w:szCs w:val="1"/>
                <w:color w:val="auto"/>
              </w:rPr>
            </w:pPr>
          </w:p>
        </w:tc>
      </w:tr>
      <w:tr>
        <w:trPr>
          <w:trHeight w:val="248"/>
        </w:trPr>
        <w:tc>
          <w:tcPr>
            <w:tcW w:w="7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contract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(65,411)</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difference between the beginning and ending balances of our CIE and BIE primarily results from the timing of revenue recognized relative to the billings on the associated contracts. The amount of revenue recognized during the six months ended December 31, 2024 that was included in the June 30, 2024 BIE balance was $149.9 million.</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Progress billings in accounts receivable at December 31, 2024 and June 30, 2024 included retentions to be collected within one year of $12.9 million and $11.6 million, respectively. Contract retentions collectible beyond one year are included in Other assets, non-current in the Condensed Consolidated Balance Sheets and totaled $51.9 million as of December 31, 2024 and $28.6 million as of June 30, 2024, respectively.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Unpriced Change Orders and Claims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Costs and estimated earnings in excess of billings on uncompleted contracts included revenues for unpriced change orders and claims of $8.4 million at December 31, 2024 and $9.9 million at June 30, 2024. The amounts ultimately realized may be different than the recorded amounts resulting in adjustments to future earnings. Generally, we expect collection of amounts related to unpriced change orders and claims within twelve months. However, customers may not pay these amounts until final resolution of related claims, and therefore collection of these amounts may extend beyond one year.</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Disaggregated Revenue</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disaggregated by reportable segment is presented in Note 8 - Segment Information. The following series of tables presents revenue disaggregated by geographic area where the work was performed and by contract type: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Geographic Disaggregation: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80" w:type="dxa"/>
            <w:vAlign w:val="bottom"/>
            <w:gridSpan w:val="8"/>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2480" w:type="dxa"/>
            <w:vAlign w:val="bottom"/>
            <w:gridSpan w:val="4"/>
          </w:tcPr>
          <w:p>
            <w:pPr>
              <w:jc w:val="right"/>
              <w:ind w:right="677"/>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3"/>
        </w:trPr>
        <w:tc>
          <w:tcPr>
            <w:tcW w:w="5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4"/>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center"/>
              <w:ind w:right="16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ind w:right="97"/>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5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194"/>
        </w:trPr>
        <w:tc>
          <w:tcPr>
            <w:tcW w:w="5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0" w:type="dxa"/>
            <w:vAlign w:val="bottom"/>
            <w:gridSpan w:val="6"/>
          </w:tcPr>
          <w:p>
            <w:pPr>
              <w:ind w:left="760"/>
              <w:spacing w:after="0"/>
              <w:rPr>
                <w:sz w:val="20"/>
                <w:szCs w:val="20"/>
                <w:color w:val="auto"/>
              </w:rPr>
            </w:pPr>
            <w:r>
              <w:rPr>
                <w:rFonts w:ascii="Times New Roman" w:cs="Times New Roman" w:eastAsia="Times New Roman" w:hAnsi="Times New Roman"/>
                <w:sz w:val="14"/>
                <w:szCs w:val="14"/>
                <w:color w:val="auto"/>
              </w:rPr>
              <w:t>(In thousands)</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175,489</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156,409</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328,711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333,959</w:t>
            </w:r>
          </w:p>
        </w:tc>
        <w:tc>
          <w:tcPr>
            <w:tcW w:w="0" w:type="dxa"/>
            <w:vAlign w:val="bottom"/>
          </w:tcPr>
          <w:p>
            <w:pPr>
              <w:spacing w:after="0"/>
              <w:rPr>
                <w:sz w:val="1"/>
                <w:szCs w:val="1"/>
                <w:color w:val="auto"/>
              </w:rPr>
            </w:pPr>
          </w:p>
        </w:tc>
      </w:tr>
      <w:tr>
        <w:trPr>
          <w:trHeight w:val="230"/>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31,421</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international</w:t>
            </w: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4,085</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7,321</w:t>
            </w:r>
          </w:p>
        </w:tc>
        <w:tc>
          <w:tcPr>
            <w:tcW w:w="0" w:type="dxa"/>
            <w:vAlign w:val="bottom"/>
          </w:tcPr>
          <w:p>
            <w:pPr>
              <w:spacing w:after="0"/>
              <w:rPr>
                <w:sz w:val="1"/>
                <w:szCs w:val="1"/>
                <w:color w:val="auto"/>
              </w:rPr>
            </w:pPr>
          </w:p>
        </w:tc>
      </w:tr>
      <w:tr>
        <w:trPr>
          <w:trHeight w:val="223"/>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187,169</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175,042</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352,748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372,701</w:t>
            </w:r>
          </w:p>
        </w:tc>
        <w:tc>
          <w:tcPr>
            <w:tcW w:w="0" w:type="dxa"/>
            <w:vAlign w:val="bottom"/>
          </w:tcPr>
          <w:p>
            <w:pPr>
              <w:spacing w:after="0"/>
              <w:rPr>
                <w:sz w:val="1"/>
                <w:szCs w:val="1"/>
                <w:color w:val="auto"/>
              </w:rPr>
            </w:pPr>
          </w:p>
        </w:tc>
      </w:tr>
      <w:tr>
        <w:trPr>
          <w:trHeight w:val="21"/>
        </w:trPr>
        <w:tc>
          <w:tcPr>
            <w:tcW w:w="5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Contract Type Disaggregation:</w:t>
            </w: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0"/>
        </w:trPr>
        <w:tc>
          <w:tcPr>
            <w:tcW w:w="58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5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80" w:type="dxa"/>
            <w:vAlign w:val="bottom"/>
            <w:gridSpan w:val="8"/>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7"/>
                <w:szCs w:val="17"/>
                <w:color w:val="auto"/>
              </w:rPr>
            </w:pPr>
          </w:p>
        </w:tc>
        <w:tc>
          <w:tcPr>
            <w:tcW w:w="2480" w:type="dxa"/>
            <w:vAlign w:val="bottom"/>
            <w:gridSpan w:val="4"/>
          </w:tcPr>
          <w:p>
            <w:pPr>
              <w:jc w:val="right"/>
              <w:ind w:right="677"/>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3"/>
        </w:trPr>
        <w:tc>
          <w:tcPr>
            <w:tcW w:w="5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4"/>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3"/>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84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4"/>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ind w:right="58"/>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gridSpan w:val="2"/>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ind w:right="97"/>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58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194"/>
        </w:trPr>
        <w:tc>
          <w:tcPr>
            <w:tcW w:w="5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0" w:type="dxa"/>
            <w:vAlign w:val="bottom"/>
            <w:gridSpan w:val="6"/>
          </w:tcPr>
          <w:p>
            <w:pPr>
              <w:ind w:left="740"/>
              <w:spacing w:after="0"/>
              <w:rPr>
                <w:sz w:val="20"/>
                <w:szCs w:val="20"/>
                <w:color w:val="auto"/>
              </w:rPr>
            </w:pPr>
            <w:r>
              <w:rPr>
                <w:rFonts w:ascii="Times New Roman" w:cs="Times New Roman" w:eastAsia="Times New Roman" w:hAnsi="Times New Roman"/>
                <w:sz w:val="14"/>
                <w:szCs w:val="14"/>
                <w:color w:val="auto"/>
              </w:rPr>
              <w:t>(In thousands)</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Fixed-price contracts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137,950</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97,711</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261,719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214,468</w:t>
            </w:r>
          </w:p>
        </w:tc>
        <w:tc>
          <w:tcPr>
            <w:tcW w:w="0" w:type="dxa"/>
            <w:vAlign w:val="bottom"/>
          </w:tcPr>
          <w:p>
            <w:pPr>
              <w:spacing w:after="0"/>
              <w:rPr>
                <w:sz w:val="1"/>
                <w:szCs w:val="1"/>
                <w:color w:val="auto"/>
              </w:rPr>
            </w:pPr>
          </w:p>
        </w:tc>
      </w:tr>
      <w:tr>
        <w:trPr>
          <w:trHeight w:val="229"/>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Time and materials and other cost reimbursable contracts</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49,219</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77,331</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91,029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158,233</w:t>
            </w:r>
          </w:p>
        </w:tc>
        <w:tc>
          <w:tcPr>
            <w:tcW w:w="0" w:type="dxa"/>
            <w:vAlign w:val="bottom"/>
          </w:tcPr>
          <w:p>
            <w:pPr>
              <w:spacing w:after="0"/>
              <w:rPr>
                <w:sz w:val="1"/>
                <w:szCs w:val="1"/>
                <w:color w:val="auto"/>
              </w:rPr>
            </w:pPr>
          </w:p>
        </w:tc>
      </w:tr>
      <w:tr>
        <w:trPr>
          <w:trHeight w:val="248"/>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187,169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175,042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352,748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372,701</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Property, Plant and Equipment</w:t>
      </w:r>
    </w:p>
    <w:p>
      <w:pPr>
        <w:spacing w:after="0" w:line="2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first quarter of fiscal 2024, we sold a previously utilized facility in Burlington, Ontario for $2.7 million in net proceeds, which resulted in a gain of $2.5 million. The gain was included in Other income in the Condensed Consolidated Statements of Income. We closed this previously utilized facility during the second quarter of fiscal 2023 because it was no longer strategic to the future of the business.</w:t>
      </w:r>
    </w:p>
    <w:p>
      <w:pPr>
        <w:spacing w:after="0" w:line="2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second quarter of fiscal 2024, we sold a facility in Catoosa, Oklahoma for $2.7 million in net proceeds, which resulted in a gain of $2.0 million. Proceeds were received in January 2024. The gain was included in Other income in the Condensed Consolidated Statements of Income. The facility was previously utilized for our industrial cleaning business, which was sold during the fourth quarter of fiscal 2023. The Catoosa, Oklahoma facility was closed as it was no longer strategic to the future of the business.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significant sales of property, plant and equipment in the first half of fiscal 2025.</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Debt</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9, 2021, the Company and our primary U.S. and Canada operating subsidiaries entered into an asset-based credit agreement, which was most recently amended on May 3, 2024 (as amended, the "ABL Facility"), with Bank of Montreal, as Administrative Agent, Swing Line Lender and a Letter of Credit Issuer. The maximum amount of loans under the ABL Facility is limited to $90.0 million. The ABL Facility is intended to be used for working capital, capital expenditures, issuances of letters of credit and other lawful purposes. Our obligations under the ABL Facility are guaranteed by substantially all of our U.S. and Canadian subsidiaries and are secured by a first lien on all our assets under the ABL Facility. The ABL Facility matures, and any outstanding amounts become due and payable, on September 9, 2026.</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maximum amount that we may borrow under the ABL Facility is subject to a borrowing base, which is based on restricted cash plus a percentage of the value of certain accounts receivable, inventory and equipment, reduced for certain reserves. We are required to maintain a minimum of $25.0 million of restricted cash at all times, but such amounts are also included in the borrowing base. The borrowing base is recalculated on a monthly basis and at December 31, 2024, our borrowing base was $59.7 million. The Company had $4.8 million in letters of credit outstanding as of December 31, 2024, which resulted in availability of $54.9 million under the ABL Facility.</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Borrowings under the ABL Facility bear interest through maturity at a variable rate based upon, at our option, an annual rate of either a base rate (“Base Rate”), an Adjusted Term Secured Overnight Financing Rate ("Adjusted Term SOFR"), or at the Canadian Prime Rate, plus an applicable margin. The Adjusted Term SOFR is defined as (i) the SOFR plus (ii) 11.448 basis points for a one-month tenor and 26.161 basis points for a three-month tenor; provided that the Adjusted Term SOFR cannot be below zero. The Base Rate is defined as a fluctuating interest rate equal to the greater of: (i) rate of interest announced by Bank of Montreal from time to time as its prime rate; (ii) the U.S. federal funds rate plus 0.50%; (iii) Adjusted Term SOFR for one month period plus 1.00%; or (iv) 1.00%. Depending on the amount of average availability, the applicable margin is between 1.00% to 1.50% for Base Rate and Canadian Prime Rate borrowings, which includes either U.S. or Canadian prime rate, and between 2.00% and 2.50% for Adjusted Term SOFR borrowings. Interest is payable either (i) monthly for Base Rate or Canadian Prime Rate borrowings or (ii) the last day of the interest period for Adjusted Term SOFR borrowings, as set forth in the ABL Facility. The fee for undrawn amounts is 0.25% per annum and is due quarterly.</w:t>
      </w:r>
    </w:p>
    <w:p>
      <w:pPr>
        <w:spacing w:after="0" w:line="1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ABL Facility contains customary conditions to borrowings, events of default and covenants, including, but not limited to, covenants that limit our ability to sell assets; engage in mergers and acquisitions; make investments, including investments in certain international subsidiaries; incur, assume or permit to exist additional indebtedness and guarantees; create or permit to exist liens; pay cash dividends or make distributions; issue equity instruments; or redeem or repurchase capital stock. In the event that our availability is less than the greater of (i) $15.0 million and (ii) 15.00% of the commitments under the ABL Facility then in effect, a consolidated Fixed Charge Coverage Ratio of at least 1.00 to 1.00 must be maintained. We were in compliance with all covenants of the ABL Facility as of December 31, 2024.</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Income Taxes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Effective Tax Rate</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December 31, 2024, our effective tax rates were (0.3%) and (0.1)%, respectively. During the three and six months ended December 31, 2023 our effective tax rates were zero. The effective tax rates during fiscal 2025 were impacted by valuation allowances of $1.8 million and $3.1 million, respectively, placed on deferred tax assets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generated during the three and six months ended December 31, 2024. The effective tax rates during fiscal 2024 were impacted by valuation allowances of $1.2 million and $1.4 million, respectively, placed on deferred tax assets during the three and six months ended December 31, 2023.</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Allowance</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placed a valuation allowance on our deferred tax assets in fiscal 2022 due to the existence of a cumulative loss over a three-year period. Currently, we place valuation allowances on newly generated deferred tax assets and will realize the benefit associated with the deferred tax assets for which the valuation allowance has been provided as we generate taxable income.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Commitments and Contingencies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Insurance Reserves</w:t>
      </w:r>
    </w:p>
    <w:p>
      <w:pPr>
        <w:spacing w:after="0" w:line="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maintain insurance coverage for various aspects of our operations. However, we retain exposure to potential losses through the use of deductibles, self-insured retentions and coverage limits.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Typically our contracts require us to indemnify our customers for injury, damage or loss arising from the performance of our services and provide warranties for materials and workmanship. We may also be required to name the customer as an additional insured up to the limits of insurance available, or we may be required to purchase special insurance policies or surety bonds for specific customers or provide letters of credit in lieu of bonds to satisfy performance and financial guarantees on some projects. We maintain a performance and payment bonding line sufficient to support the business. We generally require our subcontractors to indemnify us and our customer and name us as an additional insured for activities arising out of the subcontractors’ work. We also require certain subcontractors to provide additional insurance policies, including surety bonds in favor of us, to secure the subcontractors’ work or as required by the subcontract.</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can be no assurance that our insurance and the additional insurance coverage provided by our subcontractors will fully protect us against a valid claim or loss under the contracts with our customers.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January 2021, we achieved mechanical completion on a crude oil storage project. On April 1, 2022, we filed an arbitration demand against Keyera Energy, Inc. in an effort to collect outstanding balances of $32.7 million related to the project. In response, on June 2, 2022, the customer filed counterclaims seeking $20.0 million, which included liquidated damages and damages with respect to miscellaneous warranty items. On October 31, 2022, the customer amended its counterclaim claiming damages in a range of $18.8 million to $36.0 million, which included estimated amounts for “potential future costs.” In July 2024, the customer filed a second amended counterclaim which significantly increased the amount of alleged damages to a range of $69.6 million to $97.9 million, including a new claim for unspecified “other damages” of $46.9 million. A portion of the total alleged damages, if we are held liable, may be subject to certain insurance coverages. We are actively pursuing our claims and believe we have substantial legal and contractual defenses to the customer's counterclaims.</w:t>
      </w:r>
    </w:p>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fiscal 2023, we completed construction services on a time and materials basis for a customer at a mining and minerals facility. In late fiscal 2023, after numerous attempts to collect outstanding receivables, we filed a notice of default for lack of payment of outstanding balances, and in early fiscal 2024, we filed a lien on the facility. The customer, 5E Boron Americas, LLC, responded by commencing litigation against us on July 17, 2023 in the United States District Court for the Central District of California, Eastern Division (5E Boron Americas, LLC v. Matrix Service Inc., Case No. 5:23-cv-01396-AB(DTBx)), alleging breach of contract and breach of express warranty. We denied all claims and filed a countersuit against the customer for failure to pay amounts due of $5.6 million.</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we have set appropriate reserves based on our evaluation of the possible outcomes for the matters described above. However, the results of litigation are inherently unpredictable, and the possibility exists that the ultimate resolution of one or more of these matters could result in a material effect on our financial position, results of operations or liquidity. We and our subsidiaries are participants in various other legal actions; however, assessing the eventual outcome of litigation involves forward-looking speculation as to judgement being made by arbitrators, judges, juries and appellate courts in the future. Based upon information presently available, and in light of legal and other factual defenses available to the Company, management does not believe that such other known legal actions will have a material adverse effect on our financial position, results of operations or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Earnings per Common Share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earnings per share (“EPS”) is calculated based on the weighted average shares outstanding during the period. Diluted earnings per share includes the dilutive effect of employee and director nonvested restricted stock units. Nonvested restricted stock units are considered dilutive (antidilutive) to our EPS whenever the average market value of the shares during the period exceeds (is less than) the sum of the related average unamortized compensation expense during the period plus the related hypothetical estimated excess tax benefit that will be realized when the shares vest. Nonvested restricted stock units are considered antidilutive to our EPS in the event we report a net loss.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computation of basic and diluted earnings per share is as follows:</w:t>
      </w:r>
    </w:p>
    <w:p>
      <w:pPr>
        <w:spacing w:after="0" w:line="151" w:lineRule="exact"/>
        <w:rPr>
          <w:sz w:val="20"/>
          <w:szCs w:val="20"/>
          <w:color w:val="auto"/>
        </w:rPr>
      </w:pPr>
    </w:p>
    <w:tbl>
      <w:tblPr>
        <w:tblLayout w:type="fixed"/>
        <w:tblInd w:w="14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6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2720" w:type="dxa"/>
            <w:vAlign w:val="bottom"/>
            <w:gridSpan w:val="4"/>
          </w:tcPr>
          <w:p>
            <w:pPr>
              <w:jc w:val="right"/>
              <w:ind w:right="795"/>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5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28"/>
        </w:trPr>
        <w:tc>
          <w:tcPr>
            <w:tcW w:w="50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right"/>
              <w:ind w:right="197"/>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right"/>
              <w:ind w:right="195"/>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50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1"/>
        </w:trPr>
        <w:tc>
          <w:tcPr>
            <w:tcW w:w="5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0" w:type="dxa"/>
            <w:vAlign w:val="bottom"/>
            <w:gridSpan w:val="5"/>
          </w:tcPr>
          <w:p>
            <w:pPr>
              <w:ind w:left="340"/>
              <w:spacing w:after="0"/>
              <w:rPr>
                <w:sz w:val="20"/>
                <w:szCs w:val="20"/>
                <w:color w:val="auto"/>
              </w:rPr>
            </w:pPr>
            <w:r>
              <w:rPr>
                <w:rFonts w:ascii="Times New Roman" w:cs="Times New Roman" w:eastAsia="Times New Roman" w:hAnsi="Times New Roman"/>
                <w:sz w:val="13"/>
                <w:szCs w:val="13"/>
                <w:color w:val="auto"/>
              </w:rPr>
              <w:t>(In thousands, except per share data)</w:t>
            </w: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38"/>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EPS:</w:t>
            </w: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(2,851)</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(14,756)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(6,018)</w:t>
            </w: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49"/>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27,314</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0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Basic loss per share</w:t>
            </w:r>
          </w:p>
        </w:tc>
        <w:tc>
          <w:tcPr>
            <w:tcW w:w="20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(0.20)</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(0.10)</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(0.53)</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(0.22)</w:t>
            </w: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7"/>
        </w:trPr>
        <w:tc>
          <w:tcPr>
            <w:tcW w:w="50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Diluted EPS:</w:t>
            </w: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03"/>
        </w:trPr>
        <w:tc>
          <w:tcPr>
            <w:tcW w:w="50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(5,533)</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(2,851)</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(14,756)</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(6,018)</w:t>
            </w: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48"/>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2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27,314</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0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Diluted loss per share</w:t>
            </w:r>
          </w:p>
        </w:tc>
        <w:tc>
          <w:tcPr>
            <w:tcW w:w="20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(0.20)</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(0.10)</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(0.53)</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(0.22)</w:t>
            </w:r>
          </w:p>
        </w:tc>
      </w:tr>
      <w:tr>
        <w:trPr>
          <w:trHeight w:val="20"/>
        </w:trPr>
        <w:tc>
          <w:tcPr>
            <w:tcW w:w="5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securities are considered antidilutive and have been excluded from the calculation of Diluted EPS: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20" w:type="dxa"/>
            <w:vAlign w:val="bottom"/>
          </w:tcPr>
          <w:p>
            <w:pPr>
              <w:spacing w:after="0"/>
              <w:rPr>
                <w:sz w:val="16"/>
                <w:szCs w:val="16"/>
                <w:color w:val="auto"/>
              </w:rPr>
            </w:pPr>
          </w:p>
        </w:tc>
        <w:tc>
          <w:tcPr>
            <w:tcW w:w="3040" w:type="dxa"/>
            <w:vAlign w:val="bottom"/>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80" w:type="dxa"/>
            <w:vAlign w:val="bottom"/>
            <w:gridSpan w:val="2"/>
          </w:tcPr>
          <w:p>
            <w:pPr>
              <w:jc w:val="right"/>
              <w:ind w:right="80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532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28"/>
        </w:trPr>
        <w:tc>
          <w:tcPr>
            <w:tcW w:w="5320" w:type="dxa"/>
            <w:vAlign w:val="bottom"/>
          </w:tcPr>
          <w:p>
            <w:pPr>
              <w:spacing w:after="0"/>
              <w:rPr>
                <w:sz w:val="11"/>
                <w:szCs w:val="11"/>
                <w:color w:val="auto"/>
              </w:rPr>
            </w:pPr>
          </w:p>
        </w:tc>
        <w:tc>
          <w:tcPr>
            <w:tcW w:w="1540" w:type="dxa"/>
            <w:vAlign w:val="bottom"/>
          </w:tcPr>
          <w:p>
            <w:pPr>
              <w:jc w:val="center"/>
              <w:ind w:right="64"/>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3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1"/>
                <w:szCs w:val="11"/>
                <w:color w:val="auto"/>
              </w:rPr>
            </w:pPr>
          </w:p>
        </w:tc>
        <w:tc>
          <w:tcPr>
            <w:tcW w:w="1540" w:type="dxa"/>
            <w:vAlign w:val="bottom"/>
          </w:tcPr>
          <w:p>
            <w:pPr>
              <w:jc w:val="center"/>
              <w:ind w:right="104"/>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3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5320" w:type="dxa"/>
            <w:vAlign w:val="bottom"/>
          </w:tcPr>
          <w:p>
            <w:pPr>
              <w:spacing w:after="0"/>
              <w:rPr>
                <w:sz w:val="17"/>
                <w:szCs w:val="17"/>
                <w:color w:val="auto"/>
              </w:rPr>
            </w:pPr>
          </w:p>
        </w:tc>
        <w:tc>
          <w:tcPr>
            <w:tcW w:w="1540" w:type="dxa"/>
            <w:vAlign w:val="bottom"/>
            <w:tcBorders>
              <w:bottom w:val="single" w:sz="8" w:color="auto"/>
            </w:tcBorders>
          </w:tcPr>
          <w:p>
            <w:pPr>
              <w:jc w:val="right"/>
              <w:ind w:right="6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340" w:type="dxa"/>
            <w:vAlign w:val="bottom"/>
            <w:tcBorders>
              <w:bottom w:val="single" w:sz="8" w:color="auto"/>
            </w:tcBorders>
          </w:tcPr>
          <w:p>
            <w:pPr>
              <w:jc w:val="right"/>
              <w:ind w:right="46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6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34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1"/>
        </w:trPr>
        <w:tc>
          <w:tcPr>
            <w:tcW w:w="53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040" w:type="dxa"/>
            <w:vAlign w:val="bottom"/>
            <w:gridSpan w:val="3"/>
          </w:tcPr>
          <w:p>
            <w:pPr>
              <w:jc w:val="right"/>
              <w:ind w:right="1184"/>
              <w:spacing w:after="0"/>
              <w:rPr>
                <w:sz w:val="20"/>
                <w:szCs w:val="20"/>
                <w:color w:val="auto"/>
              </w:rPr>
            </w:pPr>
            <w:r>
              <w:rPr>
                <w:rFonts w:ascii="Times New Roman" w:cs="Times New Roman" w:eastAsia="Times New Roman" w:hAnsi="Times New Roman"/>
                <w:sz w:val="13"/>
                <w:szCs w:val="13"/>
                <w:color w:val="auto"/>
              </w:rPr>
              <w:t>(In thousands)</w:t>
            </w:r>
          </w:p>
        </w:tc>
        <w:tc>
          <w:tcPr>
            <w:tcW w:w="1340" w:type="dxa"/>
            <w:vAlign w:val="bottom"/>
          </w:tcPr>
          <w:p>
            <w:pPr>
              <w:spacing w:after="0"/>
              <w:rPr>
                <w:sz w:val="15"/>
                <w:szCs w:val="15"/>
                <w:color w:val="auto"/>
              </w:rPr>
            </w:pPr>
          </w:p>
        </w:tc>
      </w:tr>
      <w:tr>
        <w:trPr>
          <w:trHeight w:val="238"/>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restricted stock units</w:t>
            </w:r>
          </w:p>
        </w:tc>
        <w:tc>
          <w:tcPr>
            <w:tcW w:w="154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8"/>
                <w:szCs w:val="18"/>
                <w:color w:val="auto"/>
              </w:rPr>
              <w:t>917</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60" w:type="dxa"/>
            <w:vAlign w:val="bottom"/>
            <w:shd w:val="clear" w:color="auto" w:fill="CCEEFF"/>
          </w:tcPr>
          <w:p>
            <w:pPr>
              <w:spacing w:after="0"/>
              <w:rPr>
                <w:sz w:val="20"/>
                <w:szCs w:val="20"/>
                <w:color w:val="auto"/>
              </w:rPr>
            </w:pPr>
          </w:p>
        </w:tc>
        <w:tc>
          <w:tcPr>
            <w:tcW w:w="154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8"/>
                <w:szCs w:val="18"/>
                <w:color w:val="auto"/>
              </w:rPr>
              <w:t>926</w:t>
            </w:r>
          </w:p>
        </w:tc>
        <w:tc>
          <w:tcPr>
            <w:tcW w:w="13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757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Segment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our business through three reportable segments:</w:t>
      </w:r>
    </w:p>
    <w:p>
      <w:pPr>
        <w:spacing w:after="0" w:line="167" w:lineRule="exact"/>
        <w:rPr>
          <w:sz w:val="20"/>
          <w:szCs w:val="20"/>
          <w:color w:val="auto"/>
        </w:rPr>
      </w:pPr>
    </w:p>
    <w:p>
      <w:pPr>
        <w:jc w:val="both"/>
        <w:ind w:left="660" w:hanging="328"/>
        <w:spacing w:after="0" w:line="257"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Storage and Terminal Solutions</w:t>
      </w:r>
      <w:r>
        <w:rPr>
          <w:rFonts w:ascii="Times New Roman" w:cs="Times New Roman" w:eastAsia="Times New Roman" w:hAnsi="Times New Roman"/>
          <w:sz w:val="18"/>
          <w:szCs w:val="18"/>
          <w:color w:val="auto"/>
        </w:rPr>
        <w:t>: primarily consists of engineering, procurement, fabrication, and construction services related to cryogenic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specialty tanks and terminals for LNG, NGLs, hydrogen, ammonia, propane, butane, liquid nitrogen/liquid oxygen, and liquid petroleum. We also perform work related to traditional aboveground crude oil and refined product storage tanks and terminals. This segment also includes terminal balance of plant work, truck and rail loading/offloading facilities, and marine structures as well as storage tank and terminal maintenance and repair. Finally, we manufacture and sell precision engineered specialty tank products, including geodesic domes, aluminum internal floating roofs, floating suction and skimmer systems, roof drain systems and floating roof seals.</w:t>
      </w:r>
    </w:p>
    <w:p>
      <w:pPr>
        <w:spacing w:after="0" w:line="128"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5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Utility and Power Infrastructure</w:t>
      </w:r>
      <w:r>
        <w:rPr>
          <w:rFonts w:ascii="Times New Roman" w:cs="Times New Roman" w:eastAsia="Times New Roman" w:hAnsi="Times New Roman"/>
          <w:sz w:val="18"/>
          <w:szCs w:val="18"/>
          <w:color w:val="auto"/>
        </w:rPr>
        <w:t>: primarily consists of engineering, procurement, fabrication, and construction services to support growing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demand for LNG utility peak shaving facilities. We also perform power delivery work for public and private utilities, including construction of new substations, upgrades of existing substations, transmission and distribution line installations, and upgrades and maintenance including live wire work. Work may also include emergency and storm restoration services. We also provide construction services to a variety of power generation facilities, including natural gas fired facilities in simple or combined cycle configurations.</w:t>
      </w:r>
    </w:p>
    <w:p>
      <w:pPr>
        <w:spacing w:after="0" w:line="125" w:lineRule="exact"/>
        <w:rPr>
          <w:rFonts w:ascii="Times New Roman" w:cs="Times New Roman" w:eastAsia="Times New Roman" w:hAnsi="Times New Roman"/>
          <w:sz w:val="18"/>
          <w:szCs w:val="18"/>
          <w:b w:val="1"/>
          <w:bCs w:val="1"/>
          <w:color w:val="auto"/>
        </w:rPr>
      </w:pPr>
    </w:p>
    <w:p>
      <w:pPr>
        <w:jc w:val="both"/>
        <w:ind w:left="660" w:hanging="328"/>
        <w:spacing w:after="0" w:line="257"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Process and Industrial Facilities</w:t>
      </w:r>
      <w:r>
        <w:rPr>
          <w:rFonts w:ascii="Times New Roman" w:cs="Times New Roman" w:eastAsia="Times New Roman" w:hAnsi="Times New Roman"/>
          <w:sz w:val="18"/>
          <w:szCs w:val="18"/>
          <w:color w:val="auto"/>
        </w:rPr>
        <w:t>: primarily consists of plant maintenance, repair, and turnarounds in the downstream and midstream markets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energy clients including refining and processing of crude oil, fractionating, and marketing of natural gas and natural gas liquids. We also perform engineering, procurement, fabrication, and construction for refinery upgrades and retrofits for renewable fuels, including hydrogen processing, production, loading and distribution facilities. We also engineer and construct thermal vacuum test chambers for aerospace and defense industries and other infrastructure for industries including chemicals, petrochemical, sulfur, mining and minerals primarily in the extraction of non-ferrous metals, cement, agriculture, wastewater treatment facilities and other industrial customers.</w:t>
      </w:r>
    </w:p>
    <w:p>
      <w:pPr>
        <w:spacing w:after="0" w:line="21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evaluate performance and allocate resources based on operating income. We eliminate intersegment sales; therefore, no intercompany profit or loss is recognized. Corporate selling, general and administrative expenses, including corporate salaries and facilities costs, are excluded from our three reportable segments in order to align controllable costs with the responsibility of segment management, and to be consistent with how our chief operating decision-maker assesses segment performance and allocates resources. Segment assets consist primarily of accounts receivable, costs and estimated earnings in excess of billings on uncompleted contracts, property, plant and equipment, right-of-use lease assets, goodwill and other intangible assets. Corporate assets consist primarily of cash, restricted cash, prepaid expenses, corporate fixed assets, and corporate operating lease right-of-use assets.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Operating Segment Information </w:t>
      </w:r>
      <w:r>
        <w:rPr>
          <w:rFonts w:ascii="Times New Roman" w:cs="Times New Roman" w:eastAsia="Times New Roman" w:hAnsi="Times New Roman"/>
          <w:sz w:val="18"/>
          <w:szCs w:val="18"/>
          <w:color w:val="auto"/>
        </w:rPr>
        <w:t>- The following tables set forth certain selected financial information for our operating segments for the periods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indicated: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Storage and Terminal</w:t>
            </w:r>
          </w:p>
        </w:tc>
        <w:tc>
          <w:tcPr>
            <w:tcW w:w="180" w:type="dxa"/>
            <w:vAlign w:val="bottom"/>
          </w:tcPr>
          <w:p>
            <w:pPr>
              <w:spacing w:after="0"/>
              <w:rPr>
                <w:sz w:val="13"/>
                <w:szCs w:val="13"/>
                <w:color w:val="auto"/>
              </w:rPr>
            </w:pPr>
          </w:p>
        </w:tc>
        <w:tc>
          <w:tcPr>
            <w:tcW w:w="132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Utility and Power</w:t>
            </w:r>
          </w:p>
        </w:tc>
        <w:tc>
          <w:tcPr>
            <w:tcW w:w="160" w:type="dxa"/>
            <w:vAlign w:val="bottom"/>
          </w:tcPr>
          <w:p>
            <w:pPr>
              <w:spacing w:after="0"/>
              <w:rPr>
                <w:sz w:val="13"/>
                <w:szCs w:val="13"/>
                <w:color w:val="auto"/>
              </w:rPr>
            </w:pPr>
          </w:p>
        </w:tc>
        <w:tc>
          <w:tcPr>
            <w:tcW w:w="134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Process and</w:t>
            </w:r>
          </w:p>
        </w:tc>
        <w:tc>
          <w:tcPr>
            <w:tcW w:w="300" w:type="dxa"/>
            <w:vAlign w:val="bottom"/>
          </w:tcPr>
          <w:p>
            <w:pPr>
              <w:spacing w:after="0"/>
              <w:rPr>
                <w:sz w:val="13"/>
                <w:szCs w:val="13"/>
                <w:color w:val="auto"/>
              </w:rPr>
            </w:pPr>
          </w:p>
        </w:tc>
        <w:tc>
          <w:tcPr>
            <w:tcW w:w="1200" w:type="dxa"/>
            <w:vAlign w:val="bottom"/>
            <w:vMerge w:val="restart"/>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380" w:type="dxa"/>
            <w:vAlign w:val="bottom"/>
          </w:tcPr>
          <w:p>
            <w:pPr>
              <w:spacing w:after="0"/>
              <w:rPr>
                <w:sz w:val="13"/>
                <w:szCs w:val="13"/>
                <w:color w:val="auto"/>
              </w:rPr>
            </w:pPr>
          </w:p>
        </w:tc>
        <w:tc>
          <w:tcPr>
            <w:tcW w:w="1080" w:type="dxa"/>
            <w:vAlign w:val="bottom"/>
            <w:vMerge w:val="restart"/>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Infrastructure</w:t>
            </w: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Industrial Facilities</w:t>
            </w: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8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320" w:type="dxa"/>
            <w:vAlign w:val="bottom"/>
            <w:tcBorders>
              <w:bottom w:val="single" w:sz="8" w:color="auto"/>
            </w:tcBorders>
            <w:gridSpan w:val="5"/>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Three Months Ended December 31, 2024</w:t>
            </w: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Total revenue </w:t>
            </w:r>
            <w:r>
              <w:rPr>
                <w:rFonts w:ascii="Times New Roman" w:cs="Times New Roman" w:eastAsia="Times New Roman" w:hAnsi="Times New Roman"/>
                <w:sz w:val="21"/>
                <w:szCs w:val="21"/>
                <w:color w:val="auto"/>
                <w:vertAlign w:val="superscript"/>
              </w:rPr>
              <w:t>(1)</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95,507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61,076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30,586</w:t>
            </w:r>
          </w:p>
        </w:tc>
        <w:tc>
          <w:tcPr>
            <w:tcW w:w="3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187,169</w:t>
            </w:r>
          </w:p>
        </w:tc>
        <w:tc>
          <w:tcPr>
            <w:tcW w:w="0" w:type="dxa"/>
            <w:vAlign w:val="bottom"/>
          </w:tcPr>
          <w:p>
            <w:pPr>
              <w:spacing w:after="0"/>
              <w:rPr>
                <w:sz w:val="1"/>
                <w:szCs w:val="1"/>
                <w:color w:val="auto"/>
              </w:rPr>
            </w:pPr>
          </w:p>
        </w:tc>
      </w:tr>
      <w:tr>
        <w:trPr>
          <w:trHeight w:val="213"/>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6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(88,235)</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(57,667)</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(30,216)</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(176,277)</w:t>
            </w: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 (loss)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7,272</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3,409</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370</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10,892</w:t>
            </w:r>
          </w:p>
        </w:tc>
        <w:tc>
          <w:tcPr>
            <w:tcW w:w="0" w:type="dxa"/>
            <w:vAlign w:val="bottom"/>
          </w:tcPr>
          <w:p>
            <w:pPr>
              <w:spacing w:after="0"/>
              <w:rPr>
                <w:sz w:val="1"/>
                <w:szCs w:val="1"/>
                <w:color w:val="auto"/>
              </w:rPr>
            </w:pPr>
          </w:p>
        </w:tc>
      </w:tr>
      <w:tr>
        <w:trPr>
          <w:trHeight w:val="213"/>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5,567</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3,561</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1,677</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6,481</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17,286</w:t>
            </w:r>
          </w:p>
        </w:tc>
        <w:tc>
          <w:tcPr>
            <w:tcW w:w="0" w:type="dxa"/>
            <w:vAlign w:val="bottom"/>
          </w:tcPr>
          <w:p>
            <w:pPr>
              <w:spacing w:after="0"/>
              <w:rPr>
                <w:sz w:val="1"/>
                <w:szCs w:val="1"/>
                <w:color w:val="auto"/>
              </w:rPr>
            </w:pPr>
          </w:p>
        </w:tc>
      </w:tr>
      <w:tr>
        <w:trPr>
          <w:trHeight w:val="219"/>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1,705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(1,307)</w:t>
            </w:r>
          </w:p>
        </w:tc>
        <w:tc>
          <w:tcPr>
            <w:tcW w:w="3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(6,640)</w:t>
            </w:r>
          </w:p>
        </w:tc>
        <w:tc>
          <w:tcPr>
            <w:tcW w:w="38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(6,394)</w:t>
            </w: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4"/>
          <w:szCs w:val="14"/>
          <w:color w:val="auto"/>
        </w:rPr>
        <w:t>(1) Total revenues are net of inter-segment revenues which are primarily Process and Industrial Facilities and were $0.8 million for the three months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-92710</wp:posOffset>
            </wp:positionV>
            <wp:extent cx="470598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70598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Storage and Terminal</w:t>
            </w:r>
          </w:p>
        </w:tc>
        <w:tc>
          <w:tcPr>
            <w:tcW w:w="180" w:type="dxa"/>
            <w:vAlign w:val="bottom"/>
          </w:tcPr>
          <w:p>
            <w:pPr>
              <w:spacing w:after="0"/>
              <w:rPr>
                <w:sz w:val="13"/>
                <w:szCs w:val="13"/>
                <w:color w:val="auto"/>
              </w:rPr>
            </w:pPr>
          </w:p>
        </w:tc>
        <w:tc>
          <w:tcPr>
            <w:tcW w:w="132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Utility and Power</w:t>
            </w:r>
          </w:p>
        </w:tc>
        <w:tc>
          <w:tcPr>
            <w:tcW w:w="160" w:type="dxa"/>
            <w:vAlign w:val="bottom"/>
          </w:tcPr>
          <w:p>
            <w:pPr>
              <w:spacing w:after="0"/>
              <w:rPr>
                <w:sz w:val="13"/>
                <w:szCs w:val="13"/>
                <w:color w:val="auto"/>
              </w:rPr>
            </w:pPr>
          </w:p>
        </w:tc>
        <w:tc>
          <w:tcPr>
            <w:tcW w:w="134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Process and</w:t>
            </w:r>
          </w:p>
        </w:tc>
        <w:tc>
          <w:tcPr>
            <w:tcW w:w="300" w:type="dxa"/>
            <w:vAlign w:val="bottom"/>
          </w:tcPr>
          <w:p>
            <w:pPr>
              <w:spacing w:after="0"/>
              <w:rPr>
                <w:sz w:val="13"/>
                <w:szCs w:val="13"/>
                <w:color w:val="auto"/>
              </w:rPr>
            </w:pPr>
          </w:p>
        </w:tc>
        <w:tc>
          <w:tcPr>
            <w:tcW w:w="1200" w:type="dxa"/>
            <w:vAlign w:val="bottom"/>
            <w:vMerge w:val="restart"/>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380" w:type="dxa"/>
            <w:vAlign w:val="bottom"/>
          </w:tcPr>
          <w:p>
            <w:pPr>
              <w:spacing w:after="0"/>
              <w:rPr>
                <w:sz w:val="13"/>
                <w:szCs w:val="13"/>
                <w:color w:val="auto"/>
              </w:rPr>
            </w:pPr>
          </w:p>
        </w:tc>
        <w:tc>
          <w:tcPr>
            <w:tcW w:w="1080" w:type="dxa"/>
            <w:vAlign w:val="bottom"/>
            <w:vMerge w:val="restart"/>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Infrastructure</w:t>
            </w: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Industrial Facilities</w:t>
            </w: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8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320" w:type="dxa"/>
            <w:vAlign w:val="bottom"/>
            <w:tcBorders>
              <w:bottom w:val="single" w:sz="8" w:color="auto"/>
            </w:tcBorders>
            <w:gridSpan w:val="5"/>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Three Months Ended December 31, 2023</w:t>
            </w: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Total revenue </w:t>
            </w:r>
            <w:r>
              <w:rPr>
                <w:rFonts w:ascii="Times New Roman" w:cs="Times New Roman" w:eastAsia="Times New Roman" w:hAnsi="Times New Roman"/>
                <w:sz w:val="21"/>
                <w:szCs w:val="21"/>
                <w:color w:val="auto"/>
                <w:vertAlign w:val="superscript"/>
              </w:rPr>
              <w:t>(1)</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62,360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40,144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71,305</w:t>
            </w:r>
          </w:p>
        </w:tc>
        <w:tc>
          <w:tcPr>
            <w:tcW w:w="3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1,233</w:t>
            </w:r>
          </w:p>
        </w:tc>
        <w:tc>
          <w:tcPr>
            <w:tcW w:w="3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175,042</w:t>
            </w:r>
          </w:p>
        </w:tc>
        <w:tc>
          <w:tcPr>
            <w:tcW w:w="0" w:type="dxa"/>
            <w:vAlign w:val="bottom"/>
          </w:tcPr>
          <w:p>
            <w:pPr>
              <w:spacing w:after="0"/>
              <w:rPr>
                <w:sz w:val="1"/>
                <w:szCs w:val="1"/>
                <w:color w:val="auto"/>
              </w:rPr>
            </w:pPr>
          </w:p>
        </w:tc>
      </w:tr>
      <w:tr>
        <w:trPr>
          <w:trHeight w:val="213"/>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6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(60,522)</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(38,729)</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(64,634)</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(164,453)</w:t>
            </w: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1,838</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1,415</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6,671</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665</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10,589</w:t>
            </w:r>
          </w:p>
        </w:tc>
        <w:tc>
          <w:tcPr>
            <w:tcW w:w="0" w:type="dxa"/>
            <w:vAlign w:val="bottom"/>
          </w:tcPr>
          <w:p>
            <w:pPr>
              <w:spacing w:after="0"/>
              <w:rPr>
                <w:sz w:val="1"/>
                <w:szCs w:val="1"/>
                <w:color w:val="auto"/>
              </w:rPr>
            </w:pPr>
          </w:p>
        </w:tc>
      </w:tr>
      <w:tr>
        <w:trPr>
          <w:trHeight w:val="213"/>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4,338</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1,978</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2,206</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7,209</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15,731</w:t>
            </w:r>
          </w:p>
        </w:tc>
        <w:tc>
          <w:tcPr>
            <w:tcW w:w="0" w:type="dxa"/>
            <w:vAlign w:val="bottom"/>
          </w:tcPr>
          <w:p>
            <w:pPr>
              <w:spacing w:after="0"/>
              <w:rPr>
                <w:sz w:val="1"/>
                <w:szCs w:val="1"/>
                <w:color w:val="auto"/>
              </w:rPr>
            </w:pPr>
          </w:p>
        </w:tc>
      </w:tr>
      <w:tr>
        <w:trPr>
          <w:trHeight w:val="219"/>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(2,500)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4,465</w:t>
            </w:r>
          </w:p>
        </w:tc>
        <w:tc>
          <w:tcPr>
            <w:tcW w:w="3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(6,544)</w:t>
            </w:r>
          </w:p>
        </w:tc>
        <w:tc>
          <w:tcPr>
            <w:tcW w:w="38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(5,142)</w:t>
            </w: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4"/>
          <w:szCs w:val="14"/>
          <w:color w:val="auto"/>
        </w:rPr>
        <w:t>(1) Total revenues are net of inter-segment revenues which are primarily Storage and Terminal Solutions and were $0.9 million for the three months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-92710</wp:posOffset>
            </wp:positionV>
            <wp:extent cx="47059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705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Storage and Terminal</w:t>
            </w:r>
          </w:p>
        </w:tc>
        <w:tc>
          <w:tcPr>
            <w:tcW w:w="180" w:type="dxa"/>
            <w:vAlign w:val="bottom"/>
          </w:tcPr>
          <w:p>
            <w:pPr>
              <w:spacing w:after="0"/>
              <w:rPr>
                <w:sz w:val="13"/>
                <w:szCs w:val="13"/>
                <w:color w:val="auto"/>
              </w:rPr>
            </w:pPr>
          </w:p>
        </w:tc>
        <w:tc>
          <w:tcPr>
            <w:tcW w:w="132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Utility and Power</w:t>
            </w:r>
          </w:p>
        </w:tc>
        <w:tc>
          <w:tcPr>
            <w:tcW w:w="160" w:type="dxa"/>
            <w:vAlign w:val="bottom"/>
          </w:tcPr>
          <w:p>
            <w:pPr>
              <w:spacing w:after="0"/>
              <w:rPr>
                <w:sz w:val="13"/>
                <w:szCs w:val="13"/>
                <w:color w:val="auto"/>
              </w:rPr>
            </w:pPr>
          </w:p>
        </w:tc>
        <w:tc>
          <w:tcPr>
            <w:tcW w:w="134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Process and</w:t>
            </w:r>
          </w:p>
        </w:tc>
        <w:tc>
          <w:tcPr>
            <w:tcW w:w="440" w:type="dxa"/>
            <w:vAlign w:val="bottom"/>
          </w:tcPr>
          <w:p>
            <w:pPr>
              <w:spacing w:after="0"/>
              <w:rPr>
                <w:sz w:val="13"/>
                <w:szCs w:val="13"/>
                <w:color w:val="auto"/>
              </w:rPr>
            </w:pPr>
          </w:p>
        </w:tc>
        <w:tc>
          <w:tcPr>
            <w:tcW w:w="1060" w:type="dxa"/>
            <w:vAlign w:val="bottom"/>
            <w:vMerge w:val="restart"/>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w w:val="99"/>
              </w:rPr>
              <w:t>Corporate</w:t>
            </w:r>
          </w:p>
        </w:tc>
        <w:tc>
          <w:tcPr>
            <w:tcW w:w="380" w:type="dxa"/>
            <w:vAlign w:val="bottom"/>
          </w:tcPr>
          <w:p>
            <w:pPr>
              <w:spacing w:after="0"/>
              <w:rPr>
                <w:sz w:val="13"/>
                <w:szCs w:val="13"/>
                <w:color w:val="auto"/>
              </w:rPr>
            </w:pPr>
          </w:p>
        </w:tc>
        <w:tc>
          <w:tcPr>
            <w:tcW w:w="1080" w:type="dxa"/>
            <w:vAlign w:val="bottom"/>
            <w:vMerge w:val="restart"/>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Infrastructure</w:t>
            </w: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Industrial Facilities</w:t>
            </w:r>
          </w:p>
        </w:tc>
        <w:tc>
          <w:tcPr>
            <w:tcW w:w="4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8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4"/>
          </w:tcPr>
          <w:p>
            <w:pPr>
              <w:jc w:val="center"/>
              <w:ind w:left="802"/>
              <w:spacing w:after="0"/>
              <w:rPr>
                <w:sz w:val="20"/>
                <w:szCs w:val="20"/>
                <w:color w:val="auto"/>
              </w:rPr>
            </w:pPr>
            <w:r>
              <w:rPr>
                <w:rFonts w:ascii="Times New Roman" w:cs="Times New Roman" w:eastAsia="Times New Roman" w:hAnsi="Times New Roman"/>
                <w:sz w:val="14"/>
                <w:szCs w:val="14"/>
                <w:b w:val="1"/>
                <w:bCs w:val="1"/>
                <w:color w:val="auto"/>
              </w:rPr>
              <w:t>Six Months Ended December 31, 2024</w:t>
            </w:r>
          </w:p>
        </w:tc>
        <w:tc>
          <w:tcPr>
            <w:tcW w:w="10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Total revenue </w:t>
            </w:r>
            <w:r>
              <w:rPr>
                <w:rFonts w:ascii="Times New Roman" w:cs="Times New Roman" w:eastAsia="Times New Roman" w:hAnsi="Times New Roman"/>
                <w:sz w:val="21"/>
                <w:szCs w:val="21"/>
                <w:color w:val="auto"/>
                <w:vertAlign w:val="superscript"/>
              </w:rPr>
              <w:t>(1)</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173,746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116,988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62,014</w:t>
            </w:r>
          </w:p>
        </w:tc>
        <w:tc>
          <w:tcPr>
            <w:tcW w:w="4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352,748</w:t>
            </w:r>
          </w:p>
        </w:tc>
        <w:tc>
          <w:tcPr>
            <w:tcW w:w="0" w:type="dxa"/>
            <w:vAlign w:val="bottom"/>
          </w:tcPr>
          <w:p>
            <w:pPr>
              <w:spacing w:after="0"/>
              <w:rPr>
                <w:sz w:val="1"/>
                <w:szCs w:val="1"/>
                <w:color w:val="auto"/>
              </w:rPr>
            </w:pPr>
          </w:p>
        </w:tc>
      </w:tr>
      <w:tr>
        <w:trPr>
          <w:trHeight w:val="213"/>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6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(161,777)</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(112,272)</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(59,647)</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(334,043)</w:t>
            </w: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 (loss)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11,969</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4,716</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2,367</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18,705</w:t>
            </w:r>
          </w:p>
        </w:tc>
        <w:tc>
          <w:tcPr>
            <w:tcW w:w="0" w:type="dxa"/>
            <w:vAlign w:val="bottom"/>
          </w:tcPr>
          <w:p>
            <w:pPr>
              <w:spacing w:after="0"/>
              <w:rPr>
                <w:sz w:val="1"/>
                <w:szCs w:val="1"/>
                <w:color w:val="auto"/>
              </w:rPr>
            </w:pPr>
          </w:p>
        </w:tc>
      </w:tr>
      <w:tr>
        <w:trPr>
          <w:trHeight w:val="213"/>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11,136</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7,537</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3,443</w:t>
            </w: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13,750</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35,866</w:t>
            </w:r>
          </w:p>
        </w:tc>
        <w:tc>
          <w:tcPr>
            <w:tcW w:w="0" w:type="dxa"/>
            <w:vAlign w:val="bottom"/>
          </w:tcPr>
          <w:p>
            <w:pPr>
              <w:spacing w:after="0"/>
              <w:rPr>
                <w:sz w:val="1"/>
                <w:szCs w:val="1"/>
                <w:color w:val="auto"/>
              </w:rPr>
            </w:pPr>
          </w:p>
        </w:tc>
      </w:tr>
      <w:tr>
        <w:trPr>
          <w:trHeight w:val="219"/>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833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(1,076)</w:t>
            </w:r>
          </w:p>
        </w:tc>
        <w:tc>
          <w:tcPr>
            <w:tcW w:w="44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(14,097)</w:t>
            </w:r>
          </w:p>
        </w:tc>
        <w:tc>
          <w:tcPr>
            <w:tcW w:w="38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(17,161)</w:t>
            </w: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4"/>
          <w:szCs w:val="14"/>
          <w:color w:val="auto"/>
        </w:rPr>
        <w:t>(1) Total revenues are net of inter-segment revenues which are primarily Process and Industrial Facilities and were $1.7 million for the six months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-92710</wp:posOffset>
            </wp:positionV>
            <wp:extent cx="47059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705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Storage and Terminal</w:t>
            </w:r>
          </w:p>
        </w:tc>
        <w:tc>
          <w:tcPr>
            <w:tcW w:w="180" w:type="dxa"/>
            <w:vAlign w:val="bottom"/>
          </w:tcPr>
          <w:p>
            <w:pPr>
              <w:spacing w:after="0"/>
              <w:rPr>
                <w:sz w:val="13"/>
                <w:szCs w:val="13"/>
                <w:color w:val="auto"/>
              </w:rPr>
            </w:pPr>
          </w:p>
        </w:tc>
        <w:tc>
          <w:tcPr>
            <w:tcW w:w="132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Utility and Power</w:t>
            </w:r>
          </w:p>
        </w:tc>
        <w:tc>
          <w:tcPr>
            <w:tcW w:w="160" w:type="dxa"/>
            <w:vAlign w:val="bottom"/>
          </w:tcPr>
          <w:p>
            <w:pPr>
              <w:spacing w:after="0"/>
              <w:rPr>
                <w:sz w:val="13"/>
                <w:szCs w:val="13"/>
                <w:color w:val="auto"/>
              </w:rPr>
            </w:pPr>
          </w:p>
        </w:tc>
        <w:tc>
          <w:tcPr>
            <w:tcW w:w="134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Process and</w:t>
            </w:r>
          </w:p>
        </w:tc>
        <w:tc>
          <w:tcPr>
            <w:tcW w:w="440" w:type="dxa"/>
            <w:vAlign w:val="bottom"/>
          </w:tcPr>
          <w:p>
            <w:pPr>
              <w:spacing w:after="0"/>
              <w:rPr>
                <w:sz w:val="13"/>
                <w:szCs w:val="13"/>
                <w:color w:val="auto"/>
              </w:rPr>
            </w:pPr>
          </w:p>
        </w:tc>
        <w:tc>
          <w:tcPr>
            <w:tcW w:w="1060" w:type="dxa"/>
            <w:vAlign w:val="bottom"/>
            <w:vMerge w:val="restart"/>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w w:val="99"/>
              </w:rPr>
              <w:t>Corporate</w:t>
            </w:r>
          </w:p>
        </w:tc>
        <w:tc>
          <w:tcPr>
            <w:tcW w:w="380" w:type="dxa"/>
            <w:vAlign w:val="bottom"/>
          </w:tcPr>
          <w:p>
            <w:pPr>
              <w:spacing w:after="0"/>
              <w:rPr>
                <w:sz w:val="13"/>
                <w:szCs w:val="13"/>
                <w:color w:val="auto"/>
              </w:rPr>
            </w:pPr>
          </w:p>
        </w:tc>
        <w:tc>
          <w:tcPr>
            <w:tcW w:w="1080" w:type="dxa"/>
            <w:vAlign w:val="bottom"/>
            <w:vMerge w:val="restart"/>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Infrastructure</w:t>
            </w: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Industrial Facilities</w:t>
            </w:r>
          </w:p>
        </w:tc>
        <w:tc>
          <w:tcPr>
            <w:tcW w:w="4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8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4"/>
          </w:tcPr>
          <w:p>
            <w:pPr>
              <w:jc w:val="center"/>
              <w:ind w:left="802"/>
              <w:spacing w:after="0"/>
              <w:rPr>
                <w:sz w:val="20"/>
                <w:szCs w:val="20"/>
                <w:color w:val="auto"/>
              </w:rPr>
            </w:pPr>
            <w:r>
              <w:rPr>
                <w:rFonts w:ascii="Times New Roman" w:cs="Times New Roman" w:eastAsia="Times New Roman" w:hAnsi="Times New Roman"/>
                <w:sz w:val="14"/>
                <w:szCs w:val="14"/>
                <w:b w:val="1"/>
                <w:bCs w:val="1"/>
                <w:color w:val="auto"/>
              </w:rPr>
              <w:t>Six Months Ended December 31, 2023</w:t>
            </w:r>
          </w:p>
        </w:tc>
        <w:tc>
          <w:tcPr>
            <w:tcW w:w="10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Total revenue </w:t>
            </w:r>
            <w:r>
              <w:rPr>
                <w:rFonts w:ascii="Times New Roman" w:cs="Times New Roman" w:eastAsia="Times New Roman" w:hAnsi="Times New Roman"/>
                <w:sz w:val="21"/>
                <w:szCs w:val="21"/>
                <w:color w:val="auto"/>
                <w:vertAlign w:val="superscript"/>
              </w:rPr>
              <w:t>(1)</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152,504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72,539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146,425</w:t>
            </w:r>
          </w:p>
        </w:tc>
        <w:tc>
          <w:tcPr>
            <w:tcW w:w="4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1,233</w:t>
            </w:r>
          </w:p>
        </w:tc>
        <w:tc>
          <w:tcPr>
            <w:tcW w:w="3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372,701</w:t>
            </w:r>
          </w:p>
        </w:tc>
        <w:tc>
          <w:tcPr>
            <w:tcW w:w="0" w:type="dxa"/>
            <w:vAlign w:val="bottom"/>
          </w:tcPr>
          <w:p>
            <w:pPr>
              <w:spacing w:after="0"/>
              <w:rPr>
                <w:sz w:val="1"/>
                <w:szCs w:val="1"/>
                <w:color w:val="auto"/>
              </w:rPr>
            </w:pPr>
          </w:p>
        </w:tc>
      </w:tr>
      <w:tr>
        <w:trPr>
          <w:trHeight w:val="213"/>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6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(145,714)</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(67,428)</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(134,676)</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(2,435)</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(350,253)</w:t>
            </w: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 (loss)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6,790</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5,111</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11,749</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(1,202)</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22,448</w:t>
            </w:r>
          </w:p>
        </w:tc>
        <w:tc>
          <w:tcPr>
            <w:tcW w:w="0" w:type="dxa"/>
            <w:vAlign w:val="bottom"/>
          </w:tcPr>
          <w:p>
            <w:pPr>
              <w:spacing w:after="0"/>
              <w:rPr>
                <w:sz w:val="1"/>
                <w:szCs w:val="1"/>
                <w:color w:val="auto"/>
              </w:rPr>
            </w:pPr>
          </w:p>
        </w:tc>
      </w:tr>
      <w:tr>
        <w:trPr>
          <w:trHeight w:val="213"/>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8,967</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3,526</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5,293</w:t>
            </w: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15,058</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32,844</w:t>
            </w:r>
          </w:p>
        </w:tc>
        <w:tc>
          <w:tcPr>
            <w:tcW w:w="0" w:type="dxa"/>
            <w:vAlign w:val="bottom"/>
          </w:tcPr>
          <w:p>
            <w:pPr>
              <w:spacing w:after="0"/>
              <w:rPr>
                <w:sz w:val="1"/>
                <w:szCs w:val="1"/>
                <w:color w:val="auto"/>
              </w:rPr>
            </w:pPr>
          </w:p>
        </w:tc>
      </w:tr>
      <w:tr>
        <w:trPr>
          <w:trHeight w:val="219"/>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(2,177)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1,585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6,456</w:t>
            </w:r>
          </w:p>
        </w:tc>
        <w:tc>
          <w:tcPr>
            <w:tcW w:w="44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(16,260)</w:t>
            </w:r>
          </w:p>
        </w:tc>
        <w:tc>
          <w:tcPr>
            <w:tcW w:w="38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(10,396)</w:t>
            </w: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4"/>
          <w:szCs w:val="14"/>
          <w:color w:val="auto"/>
        </w:rPr>
        <w:t>(1) Total revenues are net of inter-segment revenues which are primarily Storage and Terminal Solutions and were $1.8 million for the six months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-92710</wp:posOffset>
            </wp:positionV>
            <wp:extent cx="470598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7059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color w:val="auto"/>
        </w:rPr>
        <w:t>Total assets by segment</w:t>
      </w:r>
    </w:p>
    <w:p>
      <w:pPr>
        <w:spacing w:after="0" w:line="299" w:lineRule="exact"/>
        <w:rPr>
          <w:sz w:val="20"/>
          <w:szCs w:val="20"/>
          <w:color w:val="auto"/>
        </w:rPr>
      </w:pPr>
    </w:p>
    <w:tbl>
      <w:tblPr>
        <w:tblLayout w:type="fixed"/>
        <w:tblInd w:w="940" w:type="dxa"/>
        <w:tblCellMar>
          <w:top w:w="0" w:type="dxa"/>
          <w:left w:w="0" w:type="dxa"/>
          <w:bottom w:w="0" w:type="dxa"/>
          <w:right w:w="0" w:type="dxa"/>
        </w:tblCellMar>
      </w:tblPr>
      <w:tr>
        <w:trPr>
          <w:trHeight w:val="215"/>
        </w:trPr>
        <w:tc>
          <w:tcPr>
            <w:tcW w:w="4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360" w:type="dxa"/>
            <w:vAlign w:val="bottom"/>
          </w:tcPr>
          <w:p>
            <w:pPr>
              <w:spacing w:after="0"/>
              <w:rPr>
                <w:sz w:val="18"/>
                <w:szCs w:val="18"/>
                <w:color w:val="auto"/>
              </w:rPr>
            </w:pPr>
          </w:p>
        </w:tc>
        <w:tc>
          <w:tcPr>
            <w:tcW w:w="1860" w:type="dxa"/>
            <w:vAlign w:val="bottom"/>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June 30, 2024</w:t>
            </w:r>
          </w:p>
        </w:tc>
      </w:tr>
      <w:tr>
        <w:trPr>
          <w:trHeight w:val="226"/>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Storage and Terminal Solutions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172,932</w:t>
            </w:r>
          </w:p>
        </w:tc>
        <w:tc>
          <w:tcPr>
            <w:tcW w:w="16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138,529</w:t>
            </w:r>
          </w:p>
        </w:tc>
      </w:tr>
      <w:tr>
        <w:trPr>
          <w:trHeight w:val="23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Utility and Power Infrastructure</w:t>
            </w:r>
          </w:p>
        </w:tc>
        <w:tc>
          <w:tcPr>
            <w:tcW w:w="2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108,865</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84,108</w:t>
            </w: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Process and Industrial Facilities</w:t>
            </w:r>
          </w:p>
        </w:tc>
        <w:tc>
          <w:tcPr>
            <w:tcW w:w="2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34,379</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81,524</w:t>
            </w:r>
          </w:p>
        </w:tc>
      </w:tr>
      <w:tr>
        <w:trPr>
          <w:trHeight w:val="229"/>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197,669</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147,190</w:t>
            </w:r>
          </w:p>
        </w:tc>
      </w:tr>
      <w:tr>
        <w:trPr>
          <w:trHeight w:val="248"/>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Assets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513,845</w:t>
            </w: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451,351</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20"/>
          </w:cols>
          <w:pgMar w:left="320" w:top="121" w:right="12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ind w:right="3820"/>
        <w:spacing w:after="0" w:line="440"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Form 10-Q includes “forward-looking statements” within the meaning of Section 27A of the Securities Act of 1933, as amended, and Section 21E of the Securities Exchange Act of 1934, as amended. All statements, other than statements of historical facts, included in this Form 10-Q which address activities, events or developments which we expect, believe or anticipate will or may occur in the future are forward-looking statements. The words “believes,” “intends,” “expects,” “anticipates,” “projects,” “estimates,” “predicts” and similar expressions are also intended to identify forward-looking statements. Although we believe that our expectations regarding future events are based on reasonable assumptions, we can give no assurance that such expectations or assumptions will be achieved. Important factors that could cause actual results to differ materially from those in the forward-looking statements are described under Item 1A of Part I of our Annual Report on Form 10-K for the fiscal year ended June 30, 2024.</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forward-looking statements include, among others, such things as:</w:t>
      </w:r>
    </w:p>
    <w:p>
      <w:pPr>
        <w:spacing w:after="0" w:line="171"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and nature of future project awards, revenue and margins from each of our segments;</w:t>
      </w:r>
    </w:p>
    <w:p>
      <w:pPr>
        <w:spacing w:after="0" w:line="171"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sufficient cash from operations, access our credit facility, or raise cash in order to meet our short and long-term capital requirements;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the covenants in our credit agreement;</w:t>
      </w:r>
    </w:p>
    <w:p>
      <w:pPr>
        <w:spacing w:after="0" w:line="17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to our business from economic, market or business conditions in general and in the natural gas, oil, petrochemical, industrial and power industries in particular;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interest rates and inflation on our operating expenses and our business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likely impact of new or existing regulations or market forces on the demand for our services;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to our business from disruptions to supply chains, inflation and availability of materials and labor;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with respect to the likelihood of a future impairment;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pending litigation;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and other trends of the industries we serve.</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statements are based on certain assumptions and analyses we made in light of our experience and our historical trends, current conditions and expected future developments as well as other factors we believe are appropriate. However, whether actual results and developments will conform to our expectations and predictions is subject to a number of risks and uncertainties which could cause actual results to differ materially from our expectations, including:</w:t>
      </w:r>
    </w:p>
    <w:p>
      <w:pPr>
        <w:spacing w:after="0" w:line="207" w:lineRule="exact"/>
        <w:rPr>
          <w:sz w:val="20"/>
          <w:szCs w:val="20"/>
          <w:color w:val="auto"/>
        </w:rPr>
      </w:pPr>
    </w:p>
    <w:p>
      <w:pPr>
        <w:ind w:left="660" w:right="24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risk factors discussed in this Form 10-Q, Form 10-K for the fiscal year ended June 30, 2024, and in our other filings with the Securities and Exchange Commission;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market or business conditions in general and in the natural gas, power, oil, petrochemical, industrial and power industries in particular;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transition to renewable energy sources and its impact on our current customer base;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 or over-utilization of our work force;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commencement or progression of major projects, whether due to permitting issues or other factors;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creditworthiness of our customer base and the higher risk of non-payment of receivables;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inherently uncertain outcome of current and future litigation;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reserves for claims and contingencies;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including the imposition, cancellation or delay of tariffs on imported goods.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Consequently, all of the forward-looking statements made in this Form 10-Q are qualified by these cautionary statements and there can be no assurance that the actual results or developments anticipated by us will be realized or, even if substantially realized, that they will have the expected consequences or effects on our business operations. We assume no obligation to update, except as required by law, any such forward-looking statements, whether as a result of new information, future events or otherwise.</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our business through three reportable segments:</w:t>
      </w:r>
    </w:p>
    <w:p>
      <w:pPr>
        <w:spacing w:after="0" w:line="167" w:lineRule="exact"/>
        <w:rPr>
          <w:sz w:val="20"/>
          <w:szCs w:val="20"/>
          <w:color w:val="auto"/>
        </w:rPr>
      </w:pPr>
    </w:p>
    <w:p>
      <w:pPr>
        <w:jc w:val="both"/>
        <w:ind w:left="660" w:hanging="328"/>
        <w:spacing w:after="0" w:line="257"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Storage and Terminal Solutions</w:t>
      </w:r>
      <w:r>
        <w:rPr>
          <w:rFonts w:ascii="Times New Roman" w:cs="Times New Roman" w:eastAsia="Times New Roman" w:hAnsi="Times New Roman"/>
          <w:sz w:val="18"/>
          <w:szCs w:val="18"/>
          <w:color w:val="auto"/>
        </w:rPr>
        <w:t>: primarily consists of engineering, procurement, fabrication, and construction services related to cryogenic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specialty tanks and terminals for LNG, NGLs, hydrogen, ammonia, propane, butane, liquid nitrogen/liquid oxygen, and liquid petroleum. We also perform work related to traditional aboveground crude oil and refined product storage tanks and terminals. This segment also includes terminal balance of plant work, truck and rail loading/offloading facilities, and marine structures as well as storage tank and terminal maintenance and repair. Finally, we manufacture and sell precision engineered specialty tank products, including geodesic domes, aluminum internal floating roofs, floating suction and skimmer systems, roof drain systems and floating roof seals.</w:t>
      </w:r>
    </w:p>
    <w:p>
      <w:pPr>
        <w:spacing w:after="0" w:line="128"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55"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Utility and Power Infrastructure</w:t>
      </w:r>
      <w:r>
        <w:rPr>
          <w:rFonts w:ascii="Times New Roman" w:cs="Times New Roman" w:eastAsia="Times New Roman" w:hAnsi="Times New Roman"/>
          <w:sz w:val="18"/>
          <w:szCs w:val="18"/>
          <w:color w:val="auto"/>
        </w:rPr>
        <w:t>: primarily consists of engineering, procurement, fabrication, and construction services to support growing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demand for LNG utility peak shaving facilities. We also perform power delivery work for public and private utilities, including construction of new substations, upgrades of existing substations, transmission and distribution line installations, and upgrades and maintenance including live wire work. Work may also include emergency and storm restoration services. We also provide construction services to a variety of power generation facilities, including natural gas fired facilities in simple or combined cycle configurations.</w:t>
      </w:r>
    </w:p>
    <w:p>
      <w:pPr>
        <w:spacing w:after="0" w:line="125" w:lineRule="exact"/>
        <w:rPr>
          <w:rFonts w:ascii="Times New Roman" w:cs="Times New Roman" w:eastAsia="Times New Roman" w:hAnsi="Times New Roman"/>
          <w:sz w:val="18"/>
          <w:szCs w:val="18"/>
          <w:b w:val="1"/>
          <w:bCs w:val="1"/>
          <w:color w:val="auto"/>
        </w:rPr>
      </w:pPr>
    </w:p>
    <w:p>
      <w:pPr>
        <w:jc w:val="both"/>
        <w:ind w:left="660" w:hanging="328"/>
        <w:spacing w:after="0" w:line="257"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Process and Industrial Facilities</w:t>
      </w:r>
      <w:r>
        <w:rPr>
          <w:rFonts w:ascii="Times New Roman" w:cs="Times New Roman" w:eastAsia="Times New Roman" w:hAnsi="Times New Roman"/>
          <w:sz w:val="18"/>
          <w:szCs w:val="18"/>
          <w:color w:val="auto"/>
        </w:rPr>
        <w:t>: primarily consists of plant maintenance, repair, and turnarounds in the downstream and midstream markets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energy clients including refining and processing of crude oil, fractionating, and marketing of natural gas and natural gas liquids. We also perform engineering, procurement, fabrication, and construction for refinery upgrades and retrofits for renewable fuels, including hydrogen processing, production, loading and distribution facilities. We also engineer and construct thermal vacuum test chambers for aerospace and defense industries and other infrastructure for industries including chemicals, petrochemical, sulfur, mining and minerals primarily in the extraction of non-ferrous metals, cement, agriculture, wastewater treatment facilities and other industrial customers.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Operational Update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activity increased during the second quarter of fiscal 2025 as revenues showed a 13% increase from first quarter of 2025. This increase marks the beginning of a ramp in activity, and was fueled by growth primarily in the Storage and Terminal Solutions segment, as well as the Utility and Power Infrastructure segment. We believe these positive trends will continue as we progress through the remainder of the fiscal year. Combined with strong project execution, we believe the continued increase in activity will result in enhanced leverage of our cost structure, improved operating margins, and bottom-line results.</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Project awards during the quarter were $90.5 million. We have experienced lower levels of project awards as many customers delayed spending decisions pending the outcome of the 2024 presidential election. It is not uncommon for awards to shift from one period to another as the timing of awards is dependent on a number of factors, and while project awards in the quarter is the lowest quarterly awards in over three years, demand in the markets we serve remains strong based upon significant market trends, and recent and anticipated actions by the new administration. The market drivers for each of our segments are strong and include increased oil and gas demand, the clean energy transition, low-cost feed stock, data center energy demand, industrial reshoring/onshoring, grid reliability and electrical supply assurance. As a result, we believe we will have strong award activity in the coming quarters.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Backlog</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define backlog as the total dollar amount of revenue that we expect to recognize as a result of performing work that has been awarded to us through a signed contract, limited notice to proceed ("LNTP") or other type of assurance that we consider firm. The following arrangements are considered firm:</w:t>
      </w:r>
    </w:p>
    <w:p>
      <w:pPr>
        <w:spacing w:after="0" w:line="189"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fixed-price awards;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customer commitments on cost plus arrangements; and</w:t>
      </w:r>
    </w:p>
    <w:p>
      <w:pPr>
        <w:spacing w:after="0" w:line="252" w:lineRule="exact"/>
        <w:rPr>
          <w:rFonts w:ascii="Times New Roman" w:cs="Times New Roman" w:eastAsia="Times New Roman" w:hAnsi="Times New Roman"/>
          <w:sz w:val="18"/>
          <w:szCs w:val="18"/>
          <w:color w:val="auto"/>
        </w:rPr>
      </w:pPr>
    </w:p>
    <w:p>
      <w:pPr>
        <w:ind w:left="980" w:right="80" w:hanging="324"/>
        <w:spacing w:after="0" w:line="282"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time and material arrangements in which the estimated value is firm or can be estimated with a reasonable amount of certainty in both timing and amounts.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long-term maintenance contracts with no minimum commitments and other established customer agreements, we include only the amounts that we expect to recognize as revenue over the next 12 months. For arrangements in which we have received a LNTP, we include the entire scope of work in our backlog if we conclude that the likelihood of the full project proceeding is probable. For all other arrangements, we calculate backlog as the estimated contract amount less revenue recognized as of the reporting date.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changes in our backlog for the three months ended December 31, 2024:</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1540" w:type="dxa"/>
            <w:vAlign w:val="bottom"/>
            <w:gridSpan w:val="2"/>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Storage and Terminal</w:t>
            </w:r>
          </w:p>
        </w:tc>
        <w:tc>
          <w:tcPr>
            <w:tcW w:w="220" w:type="dxa"/>
            <w:vAlign w:val="bottom"/>
          </w:tcPr>
          <w:p>
            <w:pPr>
              <w:spacing w:after="0"/>
              <w:rPr>
                <w:sz w:val="13"/>
                <w:szCs w:val="13"/>
                <w:color w:val="auto"/>
              </w:rPr>
            </w:pPr>
          </w:p>
        </w:tc>
        <w:tc>
          <w:tcPr>
            <w:tcW w:w="140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Utility and Power</w:t>
            </w:r>
          </w:p>
        </w:tc>
        <w:tc>
          <w:tcPr>
            <w:tcW w:w="1600" w:type="dxa"/>
            <w:vAlign w:val="bottom"/>
            <w:gridSpan w:val="2"/>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Process and Industrial</w:t>
            </w:r>
          </w:p>
        </w:tc>
        <w:tc>
          <w:tcPr>
            <w:tcW w:w="420" w:type="dxa"/>
            <w:vAlign w:val="bottom"/>
          </w:tcPr>
          <w:p>
            <w:pPr>
              <w:spacing w:after="0"/>
              <w:rPr>
                <w:sz w:val="13"/>
                <w:szCs w:val="13"/>
                <w:color w:val="auto"/>
              </w:rPr>
            </w:pPr>
          </w:p>
        </w:tc>
        <w:tc>
          <w:tcPr>
            <w:tcW w:w="1140" w:type="dxa"/>
            <w:vAlign w:val="bottom"/>
            <w:vMerge w:val="restart"/>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Infrastructure</w:t>
            </w:r>
          </w:p>
        </w:tc>
        <w:tc>
          <w:tcPr>
            <w:tcW w:w="4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Backlog as of September 30, 2024</w:t>
            </w:r>
          </w:p>
        </w:tc>
        <w:tc>
          <w:tcPr>
            <w:tcW w:w="2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801,667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358,150</w:t>
            </w:r>
          </w:p>
        </w:tc>
        <w:tc>
          <w:tcPr>
            <w:tcW w:w="48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252,054</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1,411,871</w:t>
            </w:r>
          </w:p>
        </w:tc>
        <w:tc>
          <w:tcPr>
            <w:tcW w:w="0" w:type="dxa"/>
            <w:vAlign w:val="bottom"/>
          </w:tcPr>
          <w:p>
            <w:pPr>
              <w:spacing w:after="0"/>
              <w:rPr>
                <w:sz w:val="1"/>
                <w:szCs w:val="1"/>
                <w:color w:val="auto"/>
              </w:rPr>
            </w:pPr>
          </w:p>
        </w:tc>
      </w:tr>
      <w:tr>
        <w:trPr>
          <w:trHeight w:val="22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Project awards</w:t>
            </w:r>
          </w:p>
        </w:tc>
        <w:tc>
          <w:tcPr>
            <w:tcW w:w="280" w:type="dxa"/>
            <w:vAlign w:val="bottom"/>
          </w:tcPr>
          <w:p>
            <w:pPr>
              <w:spacing w:after="0"/>
              <w:rPr>
                <w:sz w:val="19"/>
                <w:szCs w:val="19"/>
                <w:color w:val="auto"/>
              </w:rPr>
            </w:pPr>
          </w:p>
        </w:tc>
        <w:tc>
          <w:tcPr>
            <w:tcW w:w="12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32,826</w:t>
            </w:r>
          </w:p>
        </w:tc>
        <w:tc>
          <w:tcPr>
            <w:tcW w:w="220" w:type="dxa"/>
            <w:vAlign w:val="bottom"/>
          </w:tcPr>
          <w:p>
            <w:pPr>
              <w:spacing w:after="0"/>
              <w:rPr>
                <w:sz w:val="19"/>
                <w:szCs w:val="19"/>
                <w:color w:val="auto"/>
              </w:rPr>
            </w:pPr>
          </w:p>
        </w:tc>
        <w:tc>
          <w:tcPr>
            <w:tcW w:w="140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21,442</w:t>
            </w:r>
          </w:p>
        </w:tc>
        <w:tc>
          <w:tcPr>
            <w:tcW w:w="480" w:type="dxa"/>
            <w:vAlign w:val="bottom"/>
          </w:tcPr>
          <w:p>
            <w:pPr>
              <w:spacing w:after="0"/>
              <w:rPr>
                <w:sz w:val="19"/>
                <w:szCs w:val="19"/>
                <w:color w:val="auto"/>
              </w:rPr>
            </w:pPr>
          </w:p>
        </w:tc>
        <w:tc>
          <w:tcPr>
            <w:tcW w:w="11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36,270</w:t>
            </w:r>
          </w:p>
        </w:tc>
        <w:tc>
          <w:tcPr>
            <w:tcW w:w="420" w:type="dxa"/>
            <w:vAlign w:val="bottom"/>
          </w:tcPr>
          <w:p>
            <w:pPr>
              <w:spacing w:after="0"/>
              <w:rPr>
                <w:sz w:val="19"/>
                <w:szCs w:val="19"/>
                <w:color w:val="auto"/>
              </w:rPr>
            </w:pP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90,538</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adjustment</w:t>
            </w:r>
            <w:r>
              <w:rPr>
                <w:rFonts w:ascii="Times New Roman" w:cs="Times New Roman" w:eastAsia="Times New Roman" w:hAnsi="Times New Roman"/>
                <w:sz w:val="23"/>
                <w:szCs w:val="23"/>
                <w:color w:val="auto"/>
                <w:vertAlign w:val="superscript"/>
              </w:rPr>
              <w:t>(2)</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(4,106)</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(4,106)</w:t>
            </w:r>
          </w:p>
        </w:tc>
        <w:tc>
          <w:tcPr>
            <w:tcW w:w="0" w:type="dxa"/>
            <w:vAlign w:val="bottom"/>
          </w:tcPr>
          <w:p>
            <w:pPr>
              <w:spacing w:after="0"/>
              <w:rPr>
                <w:sz w:val="1"/>
                <w:szCs w:val="1"/>
                <w:color w:val="auto"/>
              </w:rPr>
            </w:pPr>
          </w:p>
        </w:tc>
      </w:tr>
      <w:tr>
        <w:trPr>
          <w:trHeight w:val="229"/>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Revenue recognized</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(95,507)</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color w:val="auto"/>
              </w:rPr>
              <w:t>(61,076)</w:t>
            </w:r>
          </w:p>
        </w:tc>
        <w:tc>
          <w:tcPr>
            <w:tcW w:w="4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(30,586)</w:t>
            </w: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(187,169)</w:t>
            </w:r>
          </w:p>
        </w:tc>
        <w:tc>
          <w:tcPr>
            <w:tcW w:w="0" w:type="dxa"/>
            <w:vAlign w:val="bottom"/>
          </w:tcPr>
          <w:p>
            <w:pPr>
              <w:spacing w:after="0"/>
              <w:rPr>
                <w:sz w:val="1"/>
                <w:szCs w:val="1"/>
                <w:color w:val="auto"/>
              </w:rPr>
            </w:pPr>
          </w:p>
        </w:tc>
      </w:tr>
      <w:tr>
        <w:trPr>
          <w:trHeight w:val="248"/>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Backlog as of December 31, 2024</w:t>
            </w: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738,986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318,516</w:t>
            </w:r>
          </w:p>
        </w:tc>
        <w:tc>
          <w:tcPr>
            <w:tcW w:w="48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253,632</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1,311,134</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Book-to-bill ratio</w:t>
            </w:r>
            <w:r>
              <w:rPr>
                <w:rFonts w:ascii="Times New Roman" w:cs="Times New Roman" w:eastAsia="Times New Roman" w:hAnsi="Times New Roman"/>
                <w:sz w:val="23"/>
                <w:szCs w:val="23"/>
                <w:color w:val="auto"/>
                <w:vertAlign w:val="superscript"/>
              </w:rPr>
              <w:t>(1)</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4640" w:type="dxa"/>
            <w:vAlign w:val="bottom"/>
            <w:vMerge w:val="continue"/>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x</w:t>
            </w:r>
          </w:p>
        </w:tc>
        <w:tc>
          <w:tcPr>
            <w:tcW w:w="2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x</w:t>
            </w:r>
          </w:p>
        </w:tc>
        <w:tc>
          <w:tcPr>
            <w:tcW w:w="4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x</w:t>
            </w:r>
          </w:p>
        </w:tc>
        <w:tc>
          <w:tcPr>
            <w:tcW w:w="4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969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96925" cy="8890"/>
                    </a:xfrm>
                    <a:prstGeom prst="rect">
                      <a:avLst/>
                    </a:prstGeom>
                    <a:noFill/>
                  </pic:spPr>
                </pic:pic>
              </a:graphicData>
            </a:graphic>
          </wp:anchor>
        </w:drawing>
      </w:r>
    </w:p>
    <w:p>
      <w:pPr>
        <w:spacing w:after="0" w:line="213" w:lineRule="exact"/>
        <w:rPr>
          <w:sz w:val="20"/>
          <w:szCs w:val="20"/>
          <w:color w:val="auto"/>
        </w:rPr>
      </w:pPr>
    </w:p>
    <w:p>
      <w:pPr>
        <w:ind w:left="560" w:hanging="309"/>
        <w:spacing w:after="0"/>
        <w:tabs>
          <w:tab w:leader="none" w:pos="5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by dividing project awards by revenue recognized.</w:t>
      </w:r>
    </w:p>
    <w:p>
      <w:pPr>
        <w:spacing w:after="0" w:line="27" w:lineRule="exact"/>
        <w:rPr>
          <w:rFonts w:ascii="Times New Roman" w:cs="Times New Roman" w:eastAsia="Times New Roman" w:hAnsi="Times New Roman"/>
          <w:sz w:val="14"/>
          <w:szCs w:val="14"/>
          <w:color w:val="auto"/>
        </w:rPr>
      </w:pPr>
    </w:p>
    <w:p>
      <w:pPr>
        <w:ind w:left="560" w:hanging="309"/>
        <w:spacing w:after="0"/>
        <w:tabs>
          <w:tab w:leader="none" w:pos="5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Backlog was reduced as a result of the closure of a customer's facility. This customer has historically represented less than 1% of our consolidated revenues.</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changes in our backlog for the six months ended December 31, 2024:</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3"/>
                <w:szCs w:val="13"/>
                <w:color w:val="auto"/>
              </w:rPr>
            </w:pPr>
          </w:p>
        </w:tc>
        <w:tc>
          <w:tcPr>
            <w:tcW w:w="1580" w:type="dxa"/>
            <w:vAlign w:val="bottom"/>
            <w:gridSpan w:val="2"/>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Storage and Terminal</w:t>
            </w:r>
          </w:p>
        </w:tc>
        <w:tc>
          <w:tcPr>
            <w:tcW w:w="280" w:type="dxa"/>
            <w:vAlign w:val="bottom"/>
          </w:tcPr>
          <w:p>
            <w:pPr>
              <w:spacing w:after="0"/>
              <w:rPr>
                <w:sz w:val="13"/>
                <w:szCs w:val="13"/>
                <w:color w:val="auto"/>
              </w:rPr>
            </w:pPr>
          </w:p>
        </w:tc>
        <w:tc>
          <w:tcPr>
            <w:tcW w:w="160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Utility and Power</w:t>
            </w:r>
          </w:p>
        </w:tc>
        <w:tc>
          <w:tcPr>
            <w:tcW w:w="1580" w:type="dxa"/>
            <w:vAlign w:val="bottom"/>
            <w:gridSpan w:val="2"/>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Process and Industrial</w:t>
            </w:r>
          </w:p>
        </w:tc>
        <w:tc>
          <w:tcPr>
            <w:tcW w:w="440" w:type="dxa"/>
            <w:vAlign w:val="bottom"/>
          </w:tcPr>
          <w:p>
            <w:pPr>
              <w:spacing w:after="0"/>
              <w:rPr>
                <w:sz w:val="13"/>
                <w:szCs w:val="13"/>
                <w:color w:val="auto"/>
              </w:rPr>
            </w:pPr>
          </w:p>
        </w:tc>
        <w:tc>
          <w:tcPr>
            <w:tcW w:w="1280" w:type="dxa"/>
            <w:vAlign w:val="bottom"/>
            <w:vMerge w:val="restart"/>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4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Infrastructure</w:t>
            </w:r>
          </w:p>
        </w:tc>
        <w:tc>
          <w:tcPr>
            <w:tcW w:w="4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4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Backlog as of June 30, 2024</w:t>
            </w:r>
          </w:p>
        </w:tc>
        <w:tc>
          <w:tcPr>
            <w:tcW w:w="3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798,255</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379,697</w:t>
            </w:r>
          </w:p>
        </w:tc>
        <w:tc>
          <w:tcPr>
            <w:tcW w:w="4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251,521</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1,429,473</w:t>
            </w:r>
          </w:p>
        </w:tc>
        <w:tc>
          <w:tcPr>
            <w:tcW w:w="0" w:type="dxa"/>
            <w:vAlign w:val="bottom"/>
          </w:tcPr>
          <w:p>
            <w:pPr>
              <w:spacing w:after="0"/>
              <w:rPr>
                <w:sz w:val="1"/>
                <w:szCs w:val="1"/>
                <w:color w:val="auto"/>
              </w:rPr>
            </w:pPr>
          </w:p>
        </w:tc>
      </w:tr>
      <w:tr>
        <w:trPr>
          <w:trHeight w:val="230"/>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Project awards</w:t>
            </w:r>
          </w:p>
        </w:tc>
        <w:tc>
          <w:tcPr>
            <w:tcW w:w="300" w:type="dxa"/>
            <w:vAlign w:val="bottom"/>
          </w:tcPr>
          <w:p>
            <w:pPr>
              <w:spacing w:after="0"/>
              <w:rPr>
                <w:sz w:val="19"/>
                <w:szCs w:val="19"/>
                <w:color w:val="auto"/>
              </w:rPr>
            </w:pPr>
          </w:p>
        </w:tc>
        <w:tc>
          <w:tcPr>
            <w:tcW w:w="12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114,477</w:t>
            </w:r>
          </w:p>
        </w:tc>
        <w:tc>
          <w:tcPr>
            <w:tcW w:w="280" w:type="dxa"/>
            <w:vAlign w:val="bottom"/>
          </w:tcPr>
          <w:p>
            <w:pPr>
              <w:spacing w:after="0"/>
              <w:rPr>
                <w:sz w:val="19"/>
                <w:szCs w:val="19"/>
                <w:color w:val="auto"/>
              </w:rPr>
            </w:pPr>
          </w:p>
        </w:tc>
        <w:tc>
          <w:tcPr>
            <w:tcW w:w="160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55,807</w:t>
            </w:r>
          </w:p>
        </w:tc>
        <w:tc>
          <w:tcPr>
            <w:tcW w:w="440" w:type="dxa"/>
            <w:vAlign w:val="bottom"/>
          </w:tcPr>
          <w:p>
            <w:pPr>
              <w:spacing w:after="0"/>
              <w:rPr>
                <w:sz w:val="19"/>
                <w:szCs w:val="19"/>
                <w:color w:val="auto"/>
              </w:rPr>
            </w:pPr>
          </w:p>
        </w:tc>
        <w:tc>
          <w:tcPr>
            <w:tcW w:w="11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68,231</w:t>
            </w:r>
          </w:p>
        </w:tc>
        <w:tc>
          <w:tcPr>
            <w:tcW w:w="440" w:type="dxa"/>
            <w:vAlign w:val="bottom"/>
          </w:tcPr>
          <w:p>
            <w:pPr>
              <w:spacing w:after="0"/>
              <w:rPr>
                <w:sz w:val="19"/>
                <w:szCs w:val="19"/>
                <w:color w:val="auto"/>
              </w:rPr>
            </w:pPr>
          </w:p>
        </w:tc>
        <w:tc>
          <w:tcPr>
            <w:tcW w:w="12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238,515</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adjustment</w:t>
            </w:r>
            <w:r>
              <w:rPr>
                <w:rFonts w:ascii="Times New Roman" w:cs="Times New Roman" w:eastAsia="Times New Roman" w:hAnsi="Times New Roman"/>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(4,106)</w:t>
            </w: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(4,106)</w:t>
            </w:r>
          </w:p>
        </w:tc>
        <w:tc>
          <w:tcPr>
            <w:tcW w:w="0" w:type="dxa"/>
            <w:vAlign w:val="bottom"/>
          </w:tcPr>
          <w:p>
            <w:pPr>
              <w:spacing w:after="0"/>
              <w:rPr>
                <w:sz w:val="1"/>
                <w:szCs w:val="1"/>
                <w:color w:val="auto"/>
              </w:rPr>
            </w:pPr>
          </w:p>
        </w:tc>
      </w:tr>
      <w:tr>
        <w:trPr>
          <w:trHeight w:val="230"/>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Revenue recognized</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(173,746)</w:t>
            </w: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color w:val="auto"/>
              </w:rPr>
              <w:t>(116,988)</w:t>
            </w: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(62,014)</w:t>
            </w:r>
          </w:p>
        </w:tc>
        <w:tc>
          <w:tcPr>
            <w:tcW w:w="4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(352,748)</w:t>
            </w:r>
          </w:p>
        </w:tc>
        <w:tc>
          <w:tcPr>
            <w:tcW w:w="0" w:type="dxa"/>
            <w:vAlign w:val="bottom"/>
          </w:tcPr>
          <w:p>
            <w:pPr>
              <w:spacing w:after="0"/>
              <w:rPr>
                <w:sz w:val="1"/>
                <w:szCs w:val="1"/>
                <w:color w:val="auto"/>
              </w:rPr>
            </w:pPr>
          </w:p>
        </w:tc>
      </w:tr>
      <w:tr>
        <w:trPr>
          <w:trHeight w:val="248"/>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Backlog as of December 31, 2024</w:t>
            </w:r>
          </w:p>
        </w:tc>
        <w:tc>
          <w:tcPr>
            <w:tcW w:w="3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738,986</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318,516</w:t>
            </w:r>
          </w:p>
        </w:tc>
        <w:tc>
          <w:tcPr>
            <w:tcW w:w="4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253,632</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1,311,134</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Book-to-bill ratio</w:t>
            </w:r>
            <w:r>
              <w:rPr>
                <w:rFonts w:ascii="Times New Roman" w:cs="Times New Roman" w:eastAsia="Times New Roman" w:hAnsi="Times New Roman"/>
                <w:sz w:val="23"/>
                <w:szCs w:val="23"/>
                <w:color w:val="auto"/>
                <w:vertAlign w:val="superscript"/>
              </w:rPr>
              <w:t>(1)</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4480" w:type="dxa"/>
            <w:vAlign w:val="bottom"/>
            <w:vMerge w:val="continue"/>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x</w:t>
            </w:r>
          </w:p>
        </w:tc>
        <w:tc>
          <w:tcPr>
            <w:tcW w:w="2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x</w:t>
            </w:r>
          </w:p>
        </w:tc>
        <w:tc>
          <w:tcPr>
            <w:tcW w:w="4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x</w:t>
            </w:r>
          </w:p>
        </w:tc>
        <w:tc>
          <w:tcPr>
            <w:tcW w:w="4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141414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13" w:lineRule="exact"/>
        <w:rPr>
          <w:sz w:val="20"/>
          <w:szCs w:val="20"/>
          <w:color w:val="auto"/>
        </w:rPr>
      </w:pPr>
    </w:p>
    <w:p>
      <w:pPr>
        <w:ind w:left="560" w:hanging="309"/>
        <w:spacing w:after="0"/>
        <w:tabs>
          <w:tab w:leader="none" w:pos="5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by dividing project awards by revenue recognized.</w:t>
      </w:r>
    </w:p>
    <w:p>
      <w:pPr>
        <w:spacing w:after="0" w:line="27" w:lineRule="exact"/>
        <w:rPr>
          <w:rFonts w:ascii="Times New Roman" w:cs="Times New Roman" w:eastAsia="Times New Roman" w:hAnsi="Times New Roman"/>
          <w:sz w:val="14"/>
          <w:szCs w:val="14"/>
          <w:color w:val="auto"/>
        </w:rPr>
      </w:pPr>
    </w:p>
    <w:p>
      <w:pPr>
        <w:ind w:left="560" w:hanging="309"/>
        <w:spacing w:after="0"/>
        <w:tabs>
          <w:tab w:leader="none" w:pos="5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Backlog was reduced as a result of the closure of a customer's facility. This customer has historically represented less than 1% of our consolidated revenues.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Storage and Terminal Solutions segment, we booked $32.8 million of project awards during the second quarter of fiscal 2025. During the six months ended December 31, 2024, we booked $114.5 million of project awards. This segment includes significant opportunities for storage infrastructure projects related to natural gas, LNG, ammonia, NGLs and other forms of renewable energy. We believe LNG and ammonia projects in particular will be key growth drivers for this segment. Bidding activity on LNG and ammonia projects has been strong and we expect that to continue.</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Utility and Power Infrastructure segment, we booked $21.4 million of project awards during the second quarter of fiscal 2025. During the six months ended December 31, 2024, we booked $55.8 million of project awards. Our opportunity pipeline for LNG peak shaving projects continues to be promising; however those awards, while significant, can be less frequent. Power delivery opportunities are expected to be driven over the long-term by increasing electrical demand and the related electrical grid requirements. Project opportunities and bidding activity are strong for both the power delivery portion of the business and LNG peak shaving.</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Process and Industrial Facilities segment, we booked $36.3 million of project awards during the second quarter of fiscal 2025. During the six months ended December 31, 2024, we booked $68.2 million of project awards, and were notified of a five-year renewal of a refinery maintenance contract. We continue to see demand for thermal vacuum chambers in the coming quarters, as well as increasing opportunities in mining and minerals, chemicals, renewables and refinery turnarounds.</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Project awards in all segments are cyclical and are typically the result of a sales process that can take several months or years to complete. It is common for awards to shift from one period to another as the timing of awards is dependent upon a number of factors including changes in market conditions, permitting, off take agreements, project financing and other factors. Backlog volatility may increase for some segments from time to time when individual project awards are less frequent, but more significant. There is an inherent lag between the time a project is awarded and when it begins to have a material impact on revenue. This lag can vary and can extend up to six months or longer in unique circumstances, depending on finalization of scopes, contracts, permits, and facility process requirements. Additionally, awards for larger construction projects may be recognized as revenue over a multi-year period as the projects may take a few years to complete.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December 31, 2024 Compared to the Three months ended December 31, 2023</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below is an analysis of our consolidated results for the three months ended December 31, 2024, compared to the three months ended December 31, 2023. See Results of Operations by Business Segment below for additional information describing the performance of each of our reportable segments.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 of Operations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ind w:left="2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940" w:type="dxa"/>
            <w:vAlign w:val="bottom"/>
            <w:tcBorders>
              <w:bottom w:val="single" w:sz="8" w:color="auto"/>
            </w:tcBorders>
          </w:tcPr>
          <w:p>
            <w:pPr>
              <w:spacing w:after="0"/>
              <w:rPr>
                <w:sz w:val="18"/>
                <w:szCs w:val="18"/>
                <w:color w:val="auto"/>
              </w:rPr>
            </w:pPr>
          </w:p>
        </w:tc>
      </w:tr>
      <w:tr>
        <w:trPr>
          <w:trHeight w:val="211"/>
        </w:trPr>
        <w:tc>
          <w:tcPr>
            <w:tcW w:w="53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6"/>
                <w:szCs w:val="16"/>
                <w:b w:val="1"/>
                <w:bCs w:val="1"/>
                <w:color w:val="auto"/>
              </w:rPr>
              <w:t>2024 v 2023</w:t>
            </w:r>
          </w:p>
        </w:tc>
        <w:tc>
          <w:tcPr>
            <w:tcW w:w="940" w:type="dxa"/>
            <w:vAlign w:val="bottom"/>
            <w:tcBorders>
              <w:bottom w:val="single" w:sz="8" w:color="auto"/>
            </w:tcBorders>
          </w:tcPr>
          <w:p>
            <w:pPr>
              <w:spacing w:after="0"/>
              <w:rPr>
                <w:sz w:val="18"/>
                <w:szCs w:val="18"/>
                <w:color w:val="auto"/>
              </w:rPr>
            </w:pPr>
          </w:p>
        </w:tc>
      </w:tr>
      <w:tr>
        <w:trPr>
          <w:trHeight w:val="209"/>
        </w:trPr>
        <w:tc>
          <w:tcPr>
            <w:tcW w:w="53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5"/>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187,169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12,127</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29"/>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176,277</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164,453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11,824</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23"/>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29"/>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17,286</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23"/>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29"/>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5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9"/>
        </w:trPr>
        <w:tc>
          <w:tcPr>
            <w:tcW w:w="5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874 %</w:t>
            </w:r>
          </w:p>
        </w:tc>
      </w:tr>
      <w:tr>
        <w:trPr>
          <w:trHeight w:val="229"/>
        </w:trPr>
        <w:tc>
          <w:tcPr>
            <w:tcW w:w="5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23"/>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(5,533)</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1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94 %</w:t>
            </w:r>
          </w:p>
        </w:tc>
      </w:tr>
      <w:tr>
        <w:trPr>
          <w:trHeight w:val="21"/>
        </w:trPr>
        <w:tc>
          <w:tcPr>
            <w:tcW w:w="5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w:t>
      </w:r>
      <w:r>
        <w:rPr>
          <w:rFonts w:ascii="Times New Roman" w:cs="Times New Roman" w:eastAsia="Times New Roman" w:hAnsi="Times New Roman"/>
          <w:sz w:val="18"/>
          <w:szCs w:val="18"/>
          <w:color w:val="auto"/>
        </w:rPr>
        <w:t>- The increase in consolidated revenue of $12.1 million, or 7%, was primarily attributable to increased revenue volumes in our Storage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Terminal Solutions and Utility and Power Infrastructure segments, partially offset by reduced revenue volumes in Process and Industrial Facilities.</w:t>
      </w:r>
    </w:p>
    <w:p>
      <w:pPr>
        <w:spacing w:after="0" w:line="10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 Gross profit in the second quarter of fiscal 2025 increased $0.3 million, or 3%, compared to the second quarter of fiscal 2024. Gross margin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5.8% for the second quarter of fiscal 2025 decreased slightly compared with gross margin of 6.0% for the second quarter of fiscal 2024. While project execution remained strong, gross margins were negatively impacted by the under-recovery of construction overhead costs.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 The increase in SG&amp;A expenses of $1.6 million, or 10%, is due to several factors, including an increase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salaries and wages of $0.6 million and an increase in project pursuit costs of $0.6 million, all necessitated to support conversion of backlog to revenue and expected growth of the business.</w:t>
      </w:r>
    </w:p>
    <w:p>
      <w:pPr>
        <w:spacing w:after="0" w:line="1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income </w:t>
      </w:r>
      <w:r>
        <w:rPr>
          <w:rFonts w:ascii="Times New Roman" w:cs="Times New Roman" w:eastAsia="Times New Roman" w:hAnsi="Times New Roman"/>
          <w:sz w:val="18"/>
          <w:szCs w:val="18"/>
          <w:color w:val="auto"/>
        </w:rPr>
        <w:t>- The increase in interest income of $1.4 million is primarily due to an increase in our cash balance. In late fiscal 2024, as a result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increasing cash balances, we invested excess cash balances in interest-bearing cash accounts.</w:t>
      </w:r>
    </w:p>
    <w:p>
      <w:pPr>
        <w:spacing w:after="0" w:line="10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income </w:t>
      </w:r>
      <w:r>
        <w:rPr>
          <w:rFonts w:ascii="Times New Roman" w:cs="Times New Roman" w:eastAsia="Times New Roman" w:hAnsi="Times New Roman"/>
          <w:sz w:val="18"/>
          <w:szCs w:val="18"/>
          <w:color w:val="auto"/>
        </w:rPr>
        <w:t>- Other income decreased $3.0 million compared to the second quarter of fiscal 2024. Other income during the three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2023 included a gain of $2.0 million on the sale of a facility in Catoosa, Oklahoma. Additionally, the Company incurred a foreign currency loss of $0.7 million for the three months ended December 31, 2024 compared to a gain of $0.3 million for the three months ended December 31, 2023.</w:t>
      </w:r>
    </w:p>
    <w:p>
      <w:pPr>
        <w:spacing w:after="0" w:line="1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Provision for income taxes </w:t>
      </w:r>
      <w:r>
        <w:rPr>
          <w:rFonts w:ascii="Times New Roman" w:cs="Times New Roman" w:eastAsia="Times New Roman" w:hAnsi="Times New Roman"/>
          <w:sz w:val="18"/>
          <w:szCs w:val="18"/>
          <w:color w:val="auto"/>
        </w:rPr>
        <w:t>- Our effective tax rates for the three months ended December 31, 2024 and December 31, 2023 were (0.3%) and zero,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respectively. The effective tax rates during both periods were impacted by valuation allowances of $1.8 million and $1.2 million, respectively, placed on deferred tax assets generated during the quarters. We placed a valuation allowance on our deferred tax assets due to the existence of a cumulative loss over a three-year period. Currently, we place valuation allowances on newly generated deferred tax assets and will realize the benefit associated with the deferred tax assets for which the valuation allowance has been provided as we generate taxable income.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by Business Segment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w w:val="99"/>
              </w:rPr>
              <w:t>Dollars in thousands</w:t>
            </w:r>
          </w:p>
        </w:tc>
        <w:tc>
          <w:tcPr>
            <w:tcW w:w="2660" w:type="dxa"/>
            <w:vAlign w:val="bottom"/>
            <w:vMerge w:val="restart"/>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6"/>
                <w:szCs w:val="16"/>
                <w:b w:val="1"/>
                <w:bCs w:val="1"/>
                <w:color w:val="auto"/>
              </w:rPr>
              <w:t>2024 v 2023</w:t>
            </w: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560" w:type="dxa"/>
            <w:vAlign w:val="bottom"/>
            <w:tcBorders>
              <w:bottom w:val="single" w:sz="8" w:color="auto"/>
            </w:tcBorders>
            <w:vMerge w:val="continue"/>
          </w:tcPr>
          <w:p>
            <w:pPr>
              <w:spacing w:after="0"/>
              <w:rPr>
                <w:sz w:val="15"/>
                <w:szCs w:val="15"/>
                <w:color w:val="auto"/>
              </w:rPr>
            </w:pPr>
          </w:p>
        </w:tc>
        <w:tc>
          <w:tcPr>
            <w:tcW w:w="26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ind w:right="553"/>
              <w:spacing w:after="0" w:line="173"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60" w:type="dxa"/>
            <w:vAlign w:val="bottom"/>
          </w:tcPr>
          <w:p>
            <w:pPr>
              <w:jc w:val="right"/>
              <w:ind w:right="555"/>
              <w:spacing w:after="0" w:line="173" w:lineRule="exact"/>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tcPr>
          <w:p>
            <w:pPr>
              <w:jc w:val="right"/>
              <w:ind w:right="673"/>
              <w:spacing w:after="0" w:line="173"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40" w:type="dxa"/>
            <w:vAlign w:val="bottom"/>
          </w:tcPr>
          <w:p>
            <w:pPr>
              <w:jc w:val="right"/>
              <w:ind w:right="712"/>
              <w:spacing w:after="0" w:line="173"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22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Storage and Terminal Solutions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95,507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62,360</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33,147</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Utility and Power Infrastructure</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61,076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40,144</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20,932</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Process and Industrial Facilities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71,305</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(40,719)</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Corporate</w:t>
            </w:r>
          </w:p>
        </w:tc>
        <w:tc>
          <w:tcPr>
            <w:tcW w:w="3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220" w:type="dxa"/>
            <w:vAlign w:val="bottom"/>
            <w:tcBorders>
              <w:top w:val="single" w:sz="8" w:color="CCEEFF"/>
              <w:bottom w:val="single" w:sz="8" w:color="CCEEFF"/>
            </w:tcBorders>
            <w:gridSpan w:val="2"/>
            <w:shd w:val="clear" w:color="auto" w:fill="CCEEFF"/>
          </w:tcPr>
          <w:p>
            <w:pPr>
              <w:ind w:left="220"/>
              <w:spacing w:after="0" w:line="223" w:lineRule="exact"/>
              <w:rPr>
                <w:sz w:val="20"/>
                <w:szCs w:val="20"/>
                <w:color w:val="auto"/>
              </w:rPr>
            </w:pPr>
            <w:r>
              <w:rPr>
                <w:rFonts w:ascii="Times New Roman" w:cs="Times New Roman" w:eastAsia="Times New Roman" w:hAnsi="Times New Roman"/>
                <w:sz w:val="18"/>
                <w:szCs w:val="18"/>
                <w:color w:val="auto"/>
              </w:rPr>
              <w:t xml:space="preserve">Total revenue </w:t>
            </w:r>
            <w:r>
              <w:rPr>
                <w:rFonts w:ascii="Times New Roman" w:cs="Times New Roman" w:eastAsia="Times New Roman" w:hAnsi="Times New Roman"/>
                <w:sz w:val="23"/>
                <w:szCs w:val="23"/>
                <w:color w:val="auto"/>
                <w:vertAlign w:val="superscript"/>
              </w:rPr>
              <w:t>(1)</w:t>
            </w: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187,169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175,042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bl>
    <w:p>
      <w:pPr>
        <w:ind w:left="20" w:right="220" w:firstLine="6"/>
        <w:spacing w:after="0" w:line="242" w:lineRule="auto"/>
        <w:tabs>
          <w:tab w:leader="none" w:pos="249"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revenues are net of inter-segment revenues which are primarily Process and Industrial Facilities and were $0.8 million for the three months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-226695</wp:posOffset>
            </wp:positionV>
            <wp:extent cx="437197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37197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5"/>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 (loss)</w:t>
            </w:r>
          </w:p>
        </w:tc>
        <w:tc>
          <w:tcPr>
            <w:tcW w:w="5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Storage and Terminal Solutions</w:t>
            </w: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5,434</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296 %</w:t>
            </w:r>
          </w:p>
        </w:tc>
        <w:tc>
          <w:tcPr>
            <w:tcW w:w="0" w:type="dxa"/>
            <w:vAlign w:val="bottom"/>
          </w:tcPr>
          <w:p>
            <w:pPr>
              <w:spacing w:after="0"/>
              <w:rPr>
                <w:sz w:val="1"/>
                <w:szCs w:val="1"/>
                <w:color w:val="auto"/>
              </w:rPr>
            </w:pPr>
          </w:p>
        </w:tc>
      </w:tr>
      <w:tr>
        <w:trPr>
          <w:trHeight w:val="230"/>
        </w:trPr>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Utility and Power Infrastructure</w:t>
            </w:r>
          </w:p>
        </w:tc>
        <w:tc>
          <w:tcPr>
            <w:tcW w:w="5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141 %</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Process and Industrial Facilities</w:t>
            </w:r>
          </w:p>
        </w:tc>
        <w:tc>
          <w:tcPr>
            <w:tcW w:w="5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6,671</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(6,301)</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29"/>
        </w:trPr>
        <w:tc>
          <w:tcPr>
            <w:tcW w:w="4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5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2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48"/>
        </w:trPr>
        <w:tc>
          <w:tcPr>
            <w:tcW w:w="4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gross profit</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10,589</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24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Storage and Terminal Solutions</w:t>
            </w: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4,205</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29"/>
        </w:trPr>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Utility and Power Infrastructure</w:t>
            </w:r>
          </w:p>
        </w:tc>
        <w:tc>
          <w:tcPr>
            <w:tcW w:w="5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Process and Industrial Facilities</w:t>
            </w:r>
          </w:p>
        </w:tc>
        <w:tc>
          <w:tcPr>
            <w:tcW w:w="5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4,465</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(5,772)</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29"/>
        </w:trPr>
        <w:tc>
          <w:tcPr>
            <w:tcW w:w="4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5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(6,640)</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(6,544)</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48"/>
        </w:trPr>
        <w:tc>
          <w:tcPr>
            <w:tcW w:w="4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Operating Loss</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(5,142)</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Storage and Terminal Solutions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Storage and Terminal Solutions revenues increased by $33.1 million, or 53%, in the three months ended December 31, 2024 compared to the same period last year, driven by an increased volume of work for specialty vessel and LNG storage.</w:t>
      </w:r>
    </w:p>
    <w:p>
      <w:pPr>
        <w:spacing w:after="0" w:line="10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Storage and Terminal Solutions gross profit increased by $5.4 million, or 296%, in the three months ended December 31, 2024 compared to the same period last year. The segment gross margin was 7.6% for the three months ended December 31, 2024 compared to segment gross margin of 2.9% in the same period last year. The improved gross margin relative to the prior year period reflects consistent project execution and improved construction overhead cost absorption as a result of higher revenues.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Utility and Power Infrastructure</w:t>
      </w:r>
    </w:p>
    <w:p>
      <w:pPr>
        <w:spacing w:after="0" w:line="1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Utility and Power Infrastructure revenues increased by $20.9 million, or 52%, in the three months ended December 31, 2024 compared to the same period last year. The increase is primarily attributable to a higher volume of work for LNG peak shaving projects, partially offset by decreases in power delivery work.</w:t>
      </w:r>
    </w:p>
    <w:p>
      <w:pPr>
        <w:spacing w:after="0" w:line="12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Utility and Power Infrastructure gross profit increased by $2.0 million, or 141%, in the three months ended December 31, 2024 compared to the same period last year. The segment gross margin was 5.6% for the three months ended December 31, 2024 compared to 3.5% in the same period last year, an increase of 2.1% due to an improved mix of work. Gross margins in both periods were negatively impacted by the under-recovery of construction overhead costs.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Process and Industrial Facilities</w:t>
      </w:r>
    </w:p>
    <w:p>
      <w:pPr>
        <w:spacing w:after="0" w:line="16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Process and Industrial Facilities revenues decreased by $40.7 million, or 57%, in the three months ended December 31, 2024 compared to the same period last year. The decrease is primarily attributable to lower revenue volumes resulting from the completion of a large renewable diesel project, and to lower revenue volumes for thermal vacuum chambers. We believe this reduction in revenue is temporary given our strong backlog, including a significant gas processing construction project that is expected to commence in late fiscal 2025.</w:t>
      </w:r>
    </w:p>
    <w:p>
      <w:pPr>
        <w:spacing w:after="0" w:line="1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Process and Industrial Facilities gross profit decreased by $6.3 million, or 94%, in the three months ended December 31, 2024 compared to the same period last year. The segment gross margin was 1.2% for the three months ended December 31, 2024 compared to 9.4% in the same period last year. Gross margins decreased due to changes in the mix of work, as well as an increase in under-recovery of construction overhead costs due to lower revenues.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Unallocated corporate expenses net to $6.6 million during the three months ended December 31, 2024 compared to $6.5 million in the same period last year.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Six months ended December 31, 2024 Compared to the Six months ended December 31, 2023</w:t>
      </w:r>
    </w:p>
    <w:p>
      <w:pPr>
        <w:spacing w:after="0" w:line="17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information below is an analysis of our consolidated results for the six months ended December 31, 2024, compared to the six months ended December 31, 2023. See Results of Operations by Business Segment below for additional information describing the performance of each of our reportable segments.</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 of Operations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11"/>
        </w:trPr>
        <w:tc>
          <w:tcPr>
            <w:tcW w:w="5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6"/>
                <w:szCs w:val="16"/>
                <w:b w:val="1"/>
                <w:bCs w:val="1"/>
                <w:color w:val="auto"/>
              </w:rPr>
              <w:t>2024 v 2023</w:t>
            </w:r>
          </w:p>
        </w:tc>
        <w:tc>
          <w:tcPr>
            <w:tcW w:w="980" w:type="dxa"/>
            <w:vAlign w:val="bottom"/>
            <w:tcBorders>
              <w:bottom w:val="single" w:sz="8" w:color="auto"/>
            </w:tcBorders>
          </w:tcPr>
          <w:p>
            <w:pPr>
              <w:spacing w:after="0"/>
              <w:rPr>
                <w:sz w:val="18"/>
                <w:szCs w:val="18"/>
                <w:color w:val="auto"/>
              </w:rPr>
            </w:pPr>
          </w:p>
        </w:tc>
      </w:tr>
      <w:tr>
        <w:trPr>
          <w:trHeight w:val="210"/>
        </w:trPr>
        <w:tc>
          <w:tcPr>
            <w:tcW w:w="52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5"/>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352,748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372,701</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(19,953)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334,043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350,253</w:t>
            </w:r>
          </w:p>
        </w:tc>
        <w:tc>
          <w:tcPr>
            <w:tcW w:w="8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(16,210)</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22,448</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35,866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32,844</w:t>
            </w:r>
          </w:p>
        </w:tc>
        <w:tc>
          <w:tcPr>
            <w:tcW w:w="8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3,022</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2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(10,396)</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9"/>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910 %</w:t>
            </w:r>
          </w:p>
        </w:tc>
      </w:tr>
      <w:tr>
        <w:trPr>
          <w:trHeight w:val="230"/>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4,716</w:t>
            </w:r>
          </w:p>
        </w:tc>
        <w:tc>
          <w:tcPr>
            <w:tcW w:w="8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(5,211)</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2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(6,012)</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145 %</w:t>
            </w: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federal, state and foreign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(14,756)</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(6,018)</w:t>
            </w:r>
          </w:p>
        </w:tc>
        <w:tc>
          <w:tcPr>
            <w:tcW w:w="80" w:type="dxa"/>
            <w:vAlign w:val="bottom"/>
          </w:tcPr>
          <w:p>
            <w:pPr>
              <w:spacing w:after="0"/>
              <w:rPr>
                <w:sz w:val="19"/>
                <w:szCs w:val="19"/>
                <w:color w:val="auto"/>
              </w:rPr>
            </w:pPr>
          </w:p>
        </w:tc>
        <w:tc>
          <w:tcPr>
            <w:tcW w:w="7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(8,738)</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145 %</w:t>
            </w:r>
          </w:p>
        </w:tc>
      </w:tr>
      <w:tr>
        <w:trPr>
          <w:trHeight w:val="21"/>
        </w:trPr>
        <w:tc>
          <w:tcPr>
            <w:tcW w:w="5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w:t>
      </w:r>
      <w:r>
        <w:rPr>
          <w:rFonts w:ascii="Times New Roman" w:cs="Times New Roman" w:eastAsia="Times New Roman" w:hAnsi="Times New Roman"/>
          <w:sz w:val="18"/>
          <w:szCs w:val="18"/>
          <w:color w:val="auto"/>
        </w:rPr>
        <w:t>- The decrease in overall revenue of $20.0 million, or 5%, was primarily attributable to reduced revenue volumes in our Process and Industrial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Facilities segment, partially offset by increases in Storage and Terminal Solutions and Utility and Power Infrastructure.</w:t>
      </w:r>
    </w:p>
    <w:p>
      <w:pPr>
        <w:spacing w:after="0" w:line="10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 Gross profit in the first half of fiscal 2025 decreased $3.7 million, or 17%, compared to the first half of fiscal 2024. Gross margin decreased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5.3% for the first half of fiscal 2025 compared to 6.0% for the first half of fiscal 2024. While project execution remained strong, gross margins were negatively impacted by the under-recovery of construction overhead costs, which increased for the first half of fiscal 2025 due to lower revenues.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 The increase in SG&amp;A expenses of $3.0 million, or 9%, is primarily due to several factors including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 in salaries and wages of $1.6 million and an increase in pursuit costs of $0.6 million, all necessitated to support conversion of backlog to revenue and expected growth of the business.</w:t>
      </w:r>
    </w:p>
    <w:p>
      <w:pPr>
        <w:spacing w:after="0" w:line="1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income </w:t>
      </w:r>
      <w:r>
        <w:rPr>
          <w:rFonts w:ascii="Times New Roman" w:cs="Times New Roman" w:eastAsia="Times New Roman" w:hAnsi="Times New Roman"/>
          <w:sz w:val="18"/>
          <w:szCs w:val="18"/>
          <w:color w:val="auto"/>
        </w:rPr>
        <w:t>- The increase in interest income of $2.8 million is primarily due to an increase in our cash balance. In late fiscal 2024, as a result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increasing cash balances, we invested excess cash balances in interest-bearing cash accounts.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income </w:t>
      </w:r>
      <w:r>
        <w:rPr>
          <w:rFonts w:ascii="Times New Roman" w:cs="Times New Roman" w:eastAsia="Times New Roman" w:hAnsi="Times New Roman"/>
          <w:sz w:val="18"/>
          <w:szCs w:val="18"/>
          <w:color w:val="auto"/>
        </w:rPr>
        <w:t>- Other income decreased $5.2 million in the first half of fiscal 2025 as compared to the first half of fiscal 2024. Other income during the six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months ended December 31, 2023, included a gain of $2.0 million from the sale of a facility in Catoosa, Oklahoma for $2.7 million in net proceeds. Additionally, in the first quarter of fiscal 2024, we recognized a gain of $2.5 million on the sale of a previously utilized facility in Burlington, Ontario.</w:t>
      </w:r>
    </w:p>
    <w:p>
      <w:pPr>
        <w:spacing w:after="0" w:line="1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Provision for income taxes </w:t>
      </w:r>
      <w:r>
        <w:rPr>
          <w:rFonts w:ascii="Times New Roman" w:cs="Times New Roman" w:eastAsia="Times New Roman" w:hAnsi="Times New Roman"/>
          <w:sz w:val="18"/>
          <w:szCs w:val="18"/>
          <w:color w:val="auto"/>
        </w:rPr>
        <w:t>- Our effective tax rates for the six months ended December 31, 2024 and December 31, 2023 were (0.1%) and zero,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respectively. The effective tax rates during both periods were impacted by valuation allowances of $3.1 million and $1.4 million, respectively, placed on deferred tax assets generated during the quarters. We placed a valuation allowance on our deferred tax assets due to the existence of a cumulative loss over a three-year period. Currently, we place valuation allowances on newly generated deferred tax assets and will realize the benefit associated with the deferred tax assets for which the valuation allowance has been provided as we generate taxable income.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by Business Segment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7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w:t>
            </w:r>
          </w:p>
        </w:tc>
        <w:tc>
          <w:tcPr>
            <w:tcW w:w="3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6"/>
                <w:szCs w:val="16"/>
                <w:b w:val="1"/>
                <w:bCs w:val="1"/>
                <w:color w:val="auto"/>
              </w:rPr>
              <w:t>2024 v 2023</w:t>
            </w: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473"/>
              <w:spacing w:after="0" w:line="173" w:lineRule="exact"/>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jc w:val="right"/>
              <w:ind w:right="473"/>
              <w:spacing w:after="0" w:line="173"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5"/>
                <w:szCs w:val="15"/>
                <w:color w:val="auto"/>
              </w:rPr>
            </w:pPr>
          </w:p>
        </w:tc>
        <w:tc>
          <w:tcPr>
            <w:tcW w:w="92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40" w:type="dxa"/>
            <w:vAlign w:val="bottom"/>
          </w:tcPr>
          <w:p>
            <w:pPr>
              <w:jc w:val="right"/>
              <w:ind w:right="692"/>
              <w:spacing w:after="0" w:line="173"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60" w:type="dxa"/>
            <w:vAlign w:val="bottom"/>
            <w:tcBorders>
              <w:top w:val="single" w:sz="8" w:color="auto"/>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Storage and Terminal Solutions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173,746</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152,504</w:t>
            </w:r>
          </w:p>
        </w:tc>
        <w:tc>
          <w:tcPr>
            <w:tcW w:w="100" w:type="dxa"/>
            <w:vAlign w:val="bottom"/>
          </w:tcPr>
          <w:p>
            <w:pPr>
              <w:spacing w:after="0"/>
              <w:rPr>
                <w:sz w:val="19"/>
                <w:szCs w:val="19"/>
                <w:color w:val="auto"/>
              </w:rPr>
            </w:pPr>
          </w:p>
        </w:tc>
        <w:tc>
          <w:tcPr>
            <w:tcW w:w="920" w:type="dxa"/>
            <w:vAlign w:val="bottom"/>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21,242</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Utility and Power Infrastructure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116,988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72,539</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44,449</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Process and Industrial Facilities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62,014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146,425</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(84,411)</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gridSpan w:val="2"/>
          </w:tcPr>
          <w:p>
            <w:pPr>
              <w:ind w:left="220"/>
              <w:spacing w:after="0" w:line="223" w:lineRule="exact"/>
              <w:rPr>
                <w:sz w:val="20"/>
                <w:szCs w:val="20"/>
                <w:color w:val="auto"/>
              </w:rPr>
            </w:pPr>
            <w:r>
              <w:rPr>
                <w:rFonts w:ascii="Times New Roman" w:cs="Times New Roman" w:eastAsia="Times New Roman" w:hAnsi="Times New Roman"/>
                <w:sz w:val="18"/>
                <w:szCs w:val="18"/>
                <w:color w:val="auto"/>
              </w:rPr>
              <w:t xml:space="preserve">Total revenue </w:t>
            </w:r>
            <w:r>
              <w:rPr>
                <w:rFonts w:ascii="Times New Roman" w:cs="Times New Roman" w:eastAsia="Times New Roman" w:hAnsi="Times New Roman"/>
                <w:sz w:val="23"/>
                <w:szCs w:val="23"/>
                <w:color w:val="auto"/>
                <w:vertAlign w:val="superscript"/>
              </w:rPr>
              <w:t>(1)</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352,748</w:t>
            </w:r>
          </w:p>
        </w:tc>
        <w:tc>
          <w:tcPr>
            <w:tcW w:w="1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372,701</w:t>
            </w:r>
          </w:p>
        </w:tc>
        <w:tc>
          <w:tcPr>
            <w:tcW w:w="1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(19,953)</w:t>
            </w:r>
          </w:p>
        </w:tc>
        <w:tc>
          <w:tcPr>
            <w:tcW w:w="120" w:type="dxa"/>
            <w:vAlign w:val="bottom"/>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20" w:right="380" w:firstLine="6"/>
        <w:spacing w:after="0" w:line="242" w:lineRule="auto"/>
        <w:tabs>
          <w:tab w:leader="none" w:pos="235"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revenues are net of inter-segment revenues which are primarily Process and Industrial Facilities and were $1.7 million for the six months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6960870" cy="2400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60870" cy="2400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5"/>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 (loss)</w:t>
            </w: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Storage and Terminal Solutions</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5,179</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0" w:type="dxa"/>
            <w:vAlign w:val="bottom"/>
          </w:tcPr>
          <w:p>
            <w:pPr>
              <w:spacing w:after="0"/>
              <w:rPr>
                <w:sz w:val="1"/>
                <w:szCs w:val="1"/>
                <w:color w:val="auto"/>
              </w:rPr>
            </w:pPr>
          </w:p>
        </w:tc>
      </w:tr>
      <w:tr>
        <w:trPr>
          <w:trHeight w:val="230"/>
        </w:trPr>
        <w:tc>
          <w:tcPr>
            <w:tcW w:w="4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Utility and Power Infrastructure</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Process and Industrial Facilities</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(9,382)</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30"/>
        </w:trPr>
        <w:tc>
          <w:tcPr>
            <w:tcW w:w="4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2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48"/>
        </w:trPr>
        <w:tc>
          <w:tcPr>
            <w:tcW w:w="43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gross profit</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22,448</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(3,743)</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38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Storage and Terminal Solutions</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29"/>
        </w:trPr>
        <w:tc>
          <w:tcPr>
            <w:tcW w:w="4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Utility and Power Infrastructure</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(4,406)</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Process and Industrial Facilities</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(7,532)</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30"/>
        </w:trPr>
        <w:tc>
          <w:tcPr>
            <w:tcW w:w="4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(14,097)</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(16,260)</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12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8"/>
        </w:trPr>
        <w:tc>
          <w:tcPr>
            <w:tcW w:w="43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Operating Loss</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(6,765)</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Storage and Terminal Solutions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Storage and Terminal Solutions revenues increased by $21.2 million, or 14%, in the six months ended December 31, 2024 compared to the same period last year, driven by increased volume of work for specialty vessel and LNG storage, partially offset by decreases in tank repair and maintenance work.</w:t>
      </w:r>
    </w:p>
    <w:p>
      <w:pPr>
        <w:spacing w:after="0" w:line="1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Storage and Terminal Solutions gross profit increased by $5.2 million, or 76%, in the six months ended December 31, 2024 compared to the same period last year. The segment gross margin was 6.9% for the six months ended December 31, 2024 compared to segment gross margin of 4.5% in the same period last year. The improved gross margin relative to the prior year period reflects consistent project execution and improved construction overhead cost absorption as a result of higher revenues.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Utility and Power Infrastructure</w:t>
      </w:r>
    </w:p>
    <w:p>
      <w:pPr>
        <w:spacing w:after="0" w:line="1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Utility and Power Infrastructure revenues increased by $44.4 million, or 61%, in the six months ended December 31, 2024 compared to the same period last year. The increase is primarily attributable to higher volumes of work for LNG peak shaving projects, partially offset by decreases in power delivery work.</w:t>
      </w:r>
    </w:p>
    <w:p>
      <w:pPr>
        <w:spacing w:after="0" w:line="12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Utility and Power Infrastructure gross profit decreased by $0.4 million, or 8%, in the six months ended December 31, 2024 compared to the same period last year. The segment gross margin was 4.0% for the six months ended December 31, 2024 compared to 7.0% in the same period last year. The segment gross margin in the current period was impacted by higher levels of under-recovery of construction overhead costs.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Process and Industrial Facilities</w:t>
      </w:r>
    </w:p>
    <w:p>
      <w:pPr>
        <w:spacing w:after="0" w:line="16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Process and Industrial Facilities revenues decreased by $84.4 million, or 58%, in the six months ended December 31, 2024 compared to the same period last year. The decrease is primarily attributable to lower revenue volumes for a now completed large renewable diesel project, in addition to lower revenue volumes for thermal vacuum chambers. We believe this reduction in revenue is temporary given our strong backlog, including a significant gas processing construction project that is expected to commence in late fiscal 2025.</w:t>
      </w:r>
    </w:p>
    <w:p>
      <w:pPr>
        <w:spacing w:after="0" w:line="12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Process and Industrial gross profit decreased by $9.4 million, or 80%, in the six months ended December 31, 2024 compared to the same period last year. The segment gross margin was 3.8% for the six months ended December 31, 2024 compared to 8.0% in the same period last year. The segment gross margin in the current period was impacted by higher levels of under-recovery of construction overhead costs due to lower revenue.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w:t>
      </w:r>
    </w:p>
    <w:p>
      <w:pPr>
        <w:spacing w:after="0" w:line="1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Unallocated corporate revenue and expenses net to $14.1 million during the six months ended December 31, 2024 compared to $16.3 million in the same period last year. The decrease of $2.2 million was primarily due to reduced legal expenses year over year. Legal expenses incurred during the first half of fiscal 2024 included costs related to a jury trial that resulted in a verdict in our favor.</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assess liquidity based on the ongoing ability to pay our liabilities as they become due, fund business operations and meet all monetary contractual obligations. Our primary sources of liquidity at December 31, 2024 were unrestricted cash and cash equivalents on hand, capacity under our ABL Facility, and cash generated from operations. Our primary operational uses of capital are expenditures required to execute our projects, fund business operations and fulfill our contractual obligations. We believe that for at least the next 12 months, anticipated cash generated by operating activities, along with our availability under the ABL Facility and cash position, is sufficient to support our operating requirements.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Unrestricted cash and cash equivalents at December 31, 2024 totaled $156.8 million and availability under the ABL Facility totaled $54.9 million, resulting in total liquidity of $211.7 million. During the second quarter of fiscal 2025, liquidity increased $30.4 million primarily as a result of cash provided by operating activities.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restricted cash and unrestricted cash in the Consolidated Balance Sheets to the total cash, cash equivalents and restricted cash shown in the Consolidated Statements of Cash Flows, as well as availability and total liquidity (in thousands):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3"/>
                <w:szCs w:val="13"/>
                <w:color w:val="auto"/>
              </w:rPr>
            </w:pP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20" w:type="dxa"/>
            <w:vAlign w:val="bottom"/>
          </w:tcPr>
          <w:p>
            <w:pPr>
              <w:spacing w:after="0"/>
              <w:rPr>
                <w:sz w:val="13"/>
                <w:szCs w:val="13"/>
                <w:color w:val="auto"/>
              </w:rPr>
            </w:pPr>
          </w:p>
        </w:tc>
        <w:tc>
          <w:tcPr>
            <w:tcW w:w="124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5"/>
        </w:trPr>
        <w:tc>
          <w:tcPr>
            <w:tcW w:w="62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181,777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140,615</w:t>
            </w:r>
          </w:p>
        </w:tc>
      </w:tr>
      <w:tr>
        <w:trPr>
          <w:trHeight w:val="230"/>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Restricted cash</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22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Unrestricted cash</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156,777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115,615</w:t>
            </w:r>
          </w:p>
        </w:tc>
      </w:tr>
      <w:tr>
        <w:trPr>
          <w:trHeight w:val="229"/>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Availability</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54,920</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56,642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53,988</w:t>
            </w:r>
          </w:p>
        </w:tc>
      </w:tr>
      <w:tr>
        <w:trPr>
          <w:trHeight w:val="248"/>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Liquidity</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211,697</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169,603</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changes in our liquidity for the three months ended December 31, 2024 (in thousands):</w:t>
      </w:r>
    </w:p>
    <w:p>
      <w:pPr>
        <w:spacing w:after="0" w:line="216" w:lineRule="exact"/>
        <w:rPr>
          <w:sz w:val="20"/>
          <w:szCs w:val="20"/>
          <w:color w:val="auto"/>
        </w:rPr>
      </w:pPr>
    </w:p>
    <w:tbl>
      <w:tblPr>
        <w:tblLayout w:type="fixed"/>
        <w:tblInd w:w="1560" w:type="dxa"/>
        <w:tblCellMar>
          <w:top w:w="0" w:type="dxa"/>
          <w:left w:w="0" w:type="dxa"/>
          <w:bottom w:w="0" w:type="dxa"/>
          <w:right w:w="0" w:type="dxa"/>
        </w:tblCellMar>
      </w:tblP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Liquidity at September 30, 2024</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181,252</w:t>
            </w: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33,598</w:t>
            </w: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w:t>
            </w: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asset sales</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availability under ABL Facility</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w:t>
            </w: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r>
      <w:tr>
        <w:trPr>
          <w:trHeight w:val="22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Liquidity at December 31, 2024</w:t>
            </w: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211,697</w:t>
            </w:r>
          </w:p>
        </w:tc>
      </w:tr>
      <w:tr>
        <w:trPr>
          <w:trHeight w:val="20"/>
        </w:trPr>
        <w:tc>
          <w:tcPr>
            <w:tcW w:w="64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changes in our liquidity for the six months ended December 31, 2024 (in thousands):</w:t>
      </w:r>
    </w:p>
    <w:p>
      <w:pPr>
        <w:spacing w:after="0" w:line="216" w:lineRule="exact"/>
        <w:rPr>
          <w:sz w:val="20"/>
          <w:szCs w:val="20"/>
          <w:color w:val="auto"/>
        </w:rPr>
      </w:pPr>
    </w:p>
    <w:tbl>
      <w:tblPr>
        <w:tblLayout w:type="fixed"/>
        <w:tblInd w:w="1560" w:type="dxa"/>
        <w:tblCellMar>
          <w:top w:w="0" w:type="dxa"/>
          <w:left w:w="0" w:type="dxa"/>
          <w:bottom w:w="0" w:type="dxa"/>
          <w:right w:w="0" w:type="dxa"/>
        </w:tblCellMar>
      </w:tblP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Liquidity at June 30, 2024</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169,603</w:t>
            </w: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45,516</w:t>
            </w: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(2,859)</w:t>
            </w: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asset sales</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availability under ABL Facility</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by financing activities</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w:t>
            </w: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r>
      <w:tr>
        <w:trPr>
          <w:trHeight w:val="22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Liquidity at December 31, 2024</w:t>
            </w: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211,697</w:t>
            </w:r>
          </w:p>
        </w:tc>
      </w:tr>
      <w:tr>
        <w:trPr>
          <w:trHeight w:val="20"/>
        </w:trPr>
        <w:tc>
          <w:tcPr>
            <w:tcW w:w="64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routinely impact our short-term liquidity and may impact our long-term liquidity include, but are not limited to:</w:t>
      </w:r>
    </w:p>
    <w:p>
      <w:pPr>
        <w:spacing w:after="0" w:line="252" w:lineRule="exact"/>
        <w:rPr>
          <w:sz w:val="20"/>
          <w:szCs w:val="20"/>
          <w:color w:val="auto"/>
        </w:rPr>
      </w:pPr>
    </w:p>
    <w:p>
      <w:pPr>
        <w:ind w:left="660" w:right="28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costs and estimated earnings in excess of billings on uncompleted contracts and billings on uncompleted contracts in excess of costs due to contract terms that determine the timing of billings to customers and the collection of those billings:</w:t>
      </w:r>
    </w:p>
    <w:p>
      <w:pPr>
        <w:spacing w:after="0" w:line="188" w:lineRule="exact"/>
        <w:rPr>
          <w:rFonts w:ascii="Times New Roman" w:cs="Times New Roman" w:eastAsia="Times New Roman" w:hAnsi="Times New Roman"/>
          <w:sz w:val="18"/>
          <w:szCs w:val="18"/>
          <w:color w:val="auto"/>
        </w:rPr>
      </w:pPr>
    </w:p>
    <w:p>
      <w:pPr>
        <w:ind w:left="1300" w:right="360" w:hanging="320"/>
        <w:spacing w:after="0" w:line="282" w:lineRule="auto"/>
        <w:tabs>
          <w:tab w:leader="none" w:pos="129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fixed-price customer contracts allow for significant upfront billings at the beginning of a project, which increases liquidity near term;</w:t>
      </w:r>
    </w:p>
    <w:p>
      <w:pPr>
        <w:spacing w:after="0" w:line="188" w:lineRule="exact"/>
        <w:rPr>
          <w:rFonts w:ascii="Times New Roman" w:cs="Times New Roman" w:eastAsia="Times New Roman" w:hAnsi="Times New Roman"/>
          <w:sz w:val="18"/>
          <w:szCs w:val="18"/>
          <w:color w:val="auto"/>
        </w:rPr>
      </w:pPr>
    </w:p>
    <w:p>
      <w:pPr>
        <w:ind w:left="1300" w:right="320" w:hanging="320"/>
        <w:spacing w:after="0" w:line="282" w:lineRule="auto"/>
        <w:tabs>
          <w:tab w:leader="none" w:pos="129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cost-plus and fixed-price customer contracts are billed based on milestones which may increase or decrease liquidity in the near term depending on the timing of when we incur significant expenditures and when we collect from our customers;</w:t>
      </w:r>
    </w:p>
    <w:p>
      <w:pPr>
        <w:spacing w:after="0" w:line="188" w:lineRule="exact"/>
        <w:rPr>
          <w:rFonts w:ascii="Times New Roman" w:cs="Times New Roman" w:eastAsia="Times New Roman" w:hAnsi="Times New Roman"/>
          <w:sz w:val="18"/>
          <w:szCs w:val="18"/>
          <w:color w:val="auto"/>
        </w:rPr>
      </w:pPr>
    </w:p>
    <w:p>
      <w:pPr>
        <w:ind w:left="1300" w:right="40" w:hanging="320"/>
        <w:spacing w:after="0" w:line="282" w:lineRule="auto"/>
        <w:tabs>
          <w:tab w:leader="none" w:pos="129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and material contracts are normally billed in arrears. Therefore, we are routinely required to carry these costs until they can be billed and collected; and</w:t>
      </w:r>
    </w:p>
    <w:p>
      <w:pPr>
        <w:spacing w:after="0" w:line="188"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large construction projects may require security in the form of significant retentions. Retentions are normally held until certain contractual milestones are achieved; therefore, collection may extend beyond one year;</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ind w:left="660" w:right="54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work can impact liquidity. In periods where fixed-price contracts comprise a larger portion of revenue, liquidity may increase. In periods where time and material contracts comprise a larger portion of revenue, liquidity may decrease;</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changes in working capital, including the timing of tax payments and refunds;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of contract retentions,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factors that may impact both short and long-term liquidity include:</w:t>
      </w:r>
    </w:p>
    <w:p>
      <w:pPr>
        <w:spacing w:after="0" w:line="252"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disputes;</w:t>
      </w:r>
    </w:p>
    <w:p>
      <w:pPr>
        <w:spacing w:after="0" w:line="252"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collection issues, including those caused by weak commodity prices, economic slowdowns or other factors which can lead to credit deterioration of our customers;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 constraints under our ABL Facility and maintaining compliance with all covenants contained in the ABL Facility;</w:t>
      </w:r>
    </w:p>
    <w:p>
      <w:pPr>
        <w:spacing w:after="0" w:line="252" w:lineRule="exact"/>
        <w:rPr>
          <w:rFonts w:ascii="Times New Roman" w:cs="Times New Roman" w:eastAsia="Times New Roman" w:hAnsi="Times New Roman"/>
          <w:sz w:val="18"/>
          <w:szCs w:val="18"/>
          <w:color w:val="auto"/>
        </w:rPr>
      </w:pPr>
    </w:p>
    <w:p>
      <w:pPr>
        <w:jc w:val="both"/>
        <w:ind w:left="660" w:right="28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letters of credit. We have certain contracts with customers, and may have future contracts, that permit the customer to obtain, at the customer's expense, letters of credit as a form of security under the contract. Letters of credit reduce our borrowing availability under the Company's ABL Facility;</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and disposals of businesses or assets;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of shares under our stock buyback program.</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ABL Credit Facility</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an asset-based credit agreement, which was most recently amended on May 3, 2024 (as amended, the "ABL Facility"), with Bank of Montreal, as Administrative Agent, Swing Line Lender and a Letter of Credit Issuer. The maximum amount of loans under the ABL Facility is limited to $90.0 million. The ABL Facility is intended to be used for working capital, capital expenditures, issuances of letters of credit and other lawful purposes. Our obligations under the ABL Facility are guaranteed by substantially all of our U.S. and Canadian subsidiaries and are secured by a first lien on all our assets under the ABL Facility. The ABL Facility matures, and any outstanding amounts become due and payable, on September 9, 2026.</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borrowing base is recalculated on a monthly basis and at December 31, 2024, our borrowing base was $59.7 million. We had no borrowings outstanding and $4.8 million in letters of credit outstanding as of December 31, 2024, which resulted in availability of $54.9 million under the ABL Facility. For additional information regarding our ABL Facility, see Item I of Part I, "Financial Statements - Note 4 -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Provided by Operating Activities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Cash provided by operating activities for the six months ended December 31, 2024 totaled $45.5 million. Major components of cash flows provided by operating activities for the six months ended December 31, 2024 are as follows:</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9880" w:type="dxa"/>
            <w:vAlign w:val="bottom"/>
          </w:tcPr>
          <w:p>
            <w:pPr>
              <w:ind w:left="396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4"/>
        </w:trPr>
        <w:tc>
          <w:tcPr>
            <w:tcW w:w="9880" w:type="dxa"/>
            <w:vAlign w:val="bottom"/>
          </w:tcPr>
          <w:p>
            <w:pPr>
              <w:ind w:left="5080"/>
              <w:spacing w:after="0"/>
              <w:rPr>
                <w:sz w:val="20"/>
                <w:szCs w:val="20"/>
                <w:color w:val="auto"/>
              </w:rPr>
            </w:pPr>
            <w:r>
              <w:rPr>
                <w:rFonts w:ascii="Times New Roman" w:cs="Times New Roman" w:eastAsia="Times New Roman" w:hAnsi="Times New Roman"/>
                <w:sz w:val="18"/>
                <w:szCs w:val="18"/>
                <w:color w:val="auto"/>
              </w:rPr>
              <w:t>(In thousands)</w:t>
            </w: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16"/>
        </w:trPr>
        <w:tc>
          <w:tcPr>
            <w:tcW w:w="9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9"/>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(14,756)</w:t>
            </w:r>
          </w:p>
        </w:tc>
      </w:tr>
      <w:tr>
        <w:trPr>
          <w:trHeight w:val="229"/>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sale of property, plant and equipment</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30"/>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5,025</w:t>
            </w:r>
          </w:p>
        </w:tc>
      </w:tr>
      <w:tr>
        <w:trPr>
          <w:trHeight w:val="229"/>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4,568</w:t>
            </w:r>
          </w:p>
        </w:tc>
      </w:tr>
      <w:tr>
        <w:trPr>
          <w:trHeight w:val="230"/>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non-cash expenses</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9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effect of changes in operating assets and liabilities</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50,762</w:t>
            </w:r>
          </w:p>
        </w:tc>
      </w:tr>
      <w:tr>
        <w:trPr>
          <w:trHeight w:val="248"/>
        </w:trPr>
        <w:tc>
          <w:tcPr>
            <w:tcW w:w="9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45,516</w:t>
            </w: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effect of changes in operating assets and liabilities at December 31, 2024 in comparison to June 30, 2024 include the following:</w:t>
      </w:r>
    </w:p>
    <w:p>
      <w:pPr>
        <w:spacing w:after="0" w:line="252" w:lineRule="exact"/>
        <w:rPr>
          <w:sz w:val="20"/>
          <w:szCs w:val="20"/>
          <w:color w:val="auto"/>
        </w:rPr>
      </w:pPr>
    </w:p>
    <w:p>
      <w:pPr>
        <w:jc w:val="both"/>
        <w:ind w:left="980" w:hanging="324"/>
        <w:spacing w:after="0" w:line="266"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receivable, excluding credit losses recognized during the period and including retention amounts classified as non-current, increased by $18.9 million during the six months ended December 31, 2024, which decreased cash flows from operating activities. The variance is primarily attributable to the timing of billing and collections.</w:t>
      </w:r>
    </w:p>
    <w:p>
      <w:pPr>
        <w:spacing w:after="0" w:line="202"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estimated earnings in excess of billings on uncompleted contracts ("CIE") increased $0.8 million, which decreased cash flows from operating activities. Billings on uncompleted contracts in excess of costs and estimated earnings ("BIE") increased $66.2 million, which increased cash flows from operating activities. CIE and BIE balances can experience significant fluctuations based on business volumes and the timing of when job costs are incurred and the timing of customer billings and payments.</w:t>
      </w:r>
    </w:p>
    <w:p>
      <w:pPr>
        <w:spacing w:after="0" w:line="206"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payable increased by $14.5 million during the six months ended December 31, 2024, which increased cash flows from operating activities. These operating liabilities can fluctuate based on business volumes; the timing of vendor payments; accruals; lease commencement, lease payments, expiration, or termination of operating leases; and other timing differences.</w:t>
      </w:r>
    </w:p>
    <w:p>
      <w:pPr>
        <w:spacing w:after="0" w:line="202"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income taxes receivable, prepaid expenses, other current assets, operating right-of-use lease assets and other assets, non-current, increased $4.4 million during the six months ended December 31, 2024, which decreased cash flows from operating activities. These operating assets can fluctuate based on business volumes; the timing of inventory builds and draw-downs, accrual and receipt of income taxes receivable; prepayments of certain expenses; lease commencement, passage of time, expiration, or termination of operating leases; and other timing differences.</w:t>
      </w:r>
    </w:p>
    <w:p>
      <w:pPr>
        <w:spacing w:after="0" w:line="210"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wages and benefits, accrued insurance, operating lease liabilities, other accrued expenses, and other liabilities, non-current decreased by $5.8 million during the six months ended December 31, 2024, which decreased cash flows from operating activities. These operating liabilities can fluctuate based on the timing of payroll, distributions, business volumes; vendor payments; accruals; lease commencement, lease payments, expiration, or termination of operating leases; and other timing differences.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by Investing Activities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Investing activities used $2.7 million of cash in the six months ended December 31, 2024 due to capital expenditures associated with improvements at a fabrication facility in Bakersfield, California that we purchased in fiscal 2024, as well as the purchase of construction equipment to support our projects.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by Financing Activities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Financing activities used $1.1 million of cash in the six months ended December 31, 2024 primarily due to the repurchase of common stock for payment of statutory taxes due on equity-based compensation.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never paid cash dividends on our common stock and the terms of our ABL Facility limit dividends to stock dividends only. Any future dividend payments will depend on the terms of our ABL Facility, our financial condition, capital requirements and earnings as well as other relevant factors.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Repurchase Program</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repurchase common stock pursuant to the Stock Buyback Program, which was approved by the board of directors in November 2018. Under the program, the aggregate number of shares repurchased may not exceed 2,707,175 shares. We may repurchase our stock from time to time in the open market at prevailing market prices or in privately negotiated transactions and are not obligated to purchase any shares. The program will continue unless and until it is modified or revoked by the Board of Directors. We made no repurchases under the program in the three months ended December 31, 2024 and have no current plans to repurchase stock. As of December 31, 2024, there were 1,349,037 shares available for repurchase under the Stock Buyback Program. The terms of our ABL Facility limit share repurchases to $2.5 million per fiscal year provided that we meet certain availability thresholds and do not violate our Fixed Charge Coverage Ratio financial covenant.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Treasury Shares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had 285,392 treasury shares as of December 31, 2024 and intend to utilize these treasury shares in connection with equity awards under our stock incentive plans and for sales to the Employee Stock Purchase Plan.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critical accounting policies from those reported in our fiscal 2024 Annual Report on Form 10-K filed with the SEC. For more information on our critical accounting policies, see Part II, Item 7 of our fiscal 2024 Annual Report on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in market risk faced by us from those reported in our Annual Report on Form 10-K for the fiscal year ended June 30, 2024, filed with the Securities and Exchange Commission. For more information on market risk, see Part II, Item 7A in our fiscal 2024 Annual Report on Form 10-K.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Securities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our management, including our Chief Executive Officer and our Chief Financial Officer, of the effectiveness of the design and operation of our disclosure controls and procedures as of December 31, 2024. Based on the foregoing, our Chief Executive Officer and Chief Financial Officer concluded that our disclosure controls and procedures were effective at the reasonable assurance level at December 31, 2024.</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controls over financial reporting that have materially affected, or are reasonably likely to materially affect our internal controls over financial reporting during the quarter ended December 31, 2024.</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 party to a number of legal proceedings. See Part I., Item 1. Financial Statements, Note 6 - Commitments and Contingencies, Litigation, for a description of our material ongoing litigation.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material changes in our Risk Factors from those reported in Item 1A of Part I of our Annual Report on Form 10-K for the fiscal year ended June 30, 2024.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repurchase common stock pursuant to the Stock Buyback Program, which was approved by the board of directors in November 2018. Under the program, the aggregate number of shares repurchased may not exceed 2,707,175 shares. As of December 31, 2024, 1,349,037 shares were available for repurchase under the stock buyback program. We may repurchase our stock from time to time in the open market at prevailing market prices or in privately negotiated transactions and are not obligated to purchase any shares. The program will continue unless and until it is modified or revoked by the Board of Directors. The terms of our ABL Facility also limit share repurchases to $2.5 million per fiscal year provided that we meet certain availability thresholds and we do not violate our Fixed Charge Coverage Ratio financial covenant. We made no repurchases under the stock buyback program in the second quarter of fiscal 2025 and have no current plans to repurchase stock.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never paid cash dividends on our common stock and the terms of our ABL Facility limit dividends to stock dividends only. Any future dividend payments will depend on the terms of our ABL Facility, our financial condition, capital requirements and earnings as well as other relevant factors.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Section 1503(a) of the Dodd-Frank Wall Street Reform and Consumer Protection Act (the "Dodd-Frank Act") requires domestic mine operators to disclose violations and orders issued under the Federal Mine Safety and Health Act of 1977 (the "Mine Act") by the Federal Mine Safety and Health Administration. We do not act as the owner of any mines, but as a result of our performing services or construction at mine sites as an independent contractor, we are considered an "operator" within the meaning of the Mine Act.</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Information concerning mine safety violations or other regulatory matters required to be disclosed in this quarterly report under Section 1503(a) of the Dodd-Frank Act and Item 104 of Regulation S-K is included in Exhibit 95.</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Trading Arrangements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six months ended December 31, 2024, none of our directors or officers adopted or terminated a Rule 10b5-1 trading arrangement or Non-Rule 10b5-1, as each term is defined under Item 408(a) of Regulation S-K.</w:t>
      </w:r>
    </w:p>
    <w:p>
      <w:pPr>
        <w:spacing w:after="0" w:line="9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A member of our Board of Directors, Jim Miller, purchased $5,000 of shares of our common stock through the 2011 Employee Stock Purchase Plan during the quarter ended September 30, 2024 and $5,000 of shares of our common stock through the 2011 Employee Stock Purchase Plan during the quarter ended December 31, 2024. The 2011 Employee Stock Purchase Plan may be considered a "Non-Rule 10b5-1 trading arrangement" under Item 408 of Regulation S-K.</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of Bylaws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February 4, 2025, the Board of Directors adopted and approved the Company’s Amended and Restated Bylaws (the “Amended and Restated Bylaws”), effective as of such date.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Amended and Restated Bylaws, among other things:</w:t>
      </w:r>
    </w:p>
    <w:p>
      <w:pPr>
        <w:spacing w:after="0" w:line="171" w:lineRule="exact"/>
        <w:rPr>
          <w:sz w:val="20"/>
          <w:szCs w:val="20"/>
          <w:color w:val="auto"/>
        </w:rPr>
      </w:pPr>
    </w:p>
    <w:p>
      <w:pPr>
        <w:jc w:val="both"/>
        <w:ind w:left="66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procedural mechanics and disclosure requirements in connection with stockholder nominations of directors and submissions of proposals regarding other business at stockholder meetings, including to define certain terms, to clarify or limit the scope of information required regarding proposing stockholders, proposed nominees and other related persons and to clarify a proposing stockholder’s obligation to update its notice;</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the powers of the Board of Directors and the chair of a stockholder meeting to regulate conduct at a meeting and to adjourn a meeting;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Clarify the power of the Company to hold virtual meetings of stockholders;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director candidates to make themselves available for interviews with members of the Board of Directors;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special meetings of the Board of Directors to be called on less than 24 hours’ notice, if necessary or appropriate;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non-substantive, technical, and conforming changes.</w:t>
      </w:r>
    </w:p>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updated provisions in the Amended and Restated Bylaws does not purport to be complete and is qualified in its entirety by reference to the full text of the Amended and Restated Bylaws, a copy of which is filed hereto as Exhibit 3.2 and incorporated herein by reference.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documents are included as exhibits to this Quarterly Report on Form 10-Q. Any exhibits below incorporated by reference herein are indicated as such by the information supplied in the parenthetical hereafter.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21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7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750"/>
        </w:trPr>
        <w:tc>
          <w:tcPr>
            <w:tcW w:w="56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6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6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56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09"/>
        </w:trPr>
        <w:tc>
          <w:tcPr>
            <w:tcW w:w="21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Exhibit 3.2:</w:t>
            </w:r>
          </w:p>
        </w:tc>
        <w:tc>
          <w:tcPr>
            <w:tcW w:w="87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Amended and Restated Bylaws, effective as of February 4, 2025.</w:t>
            </w:r>
          </w:p>
        </w:tc>
      </w:tr>
      <w:tr>
        <w:trPr>
          <w:trHeight w:val="20"/>
        </w:trPr>
        <w:tc>
          <w:tcPr>
            <w:tcW w:w="2100" w:type="dxa"/>
            <w:vAlign w:val="bottom"/>
            <w:gridSpan w:val="4"/>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940" w:type="dxa"/>
            <w:vAlign w:val="bottom"/>
            <w:gridSpan w:val="2"/>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63"/>
        </w:trPr>
        <w:tc>
          <w:tcPr>
            <w:tcW w:w="21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Exhibit 31.1:</w:t>
            </w:r>
          </w:p>
        </w:tc>
        <w:tc>
          <w:tcPr>
            <w:tcW w:w="55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Certification Pursuant to Section 302 of Sarbanes-Oxley Act of 2002 – CEO.</w:t>
            </w:r>
          </w:p>
        </w:tc>
        <w:tc>
          <w:tcPr>
            <w:tcW w:w="3220" w:type="dxa"/>
            <w:vAlign w:val="bottom"/>
            <w:gridSpan w:val="3"/>
          </w:tcPr>
          <w:p>
            <w:pPr>
              <w:spacing w:after="0"/>
              <w:rPr>
                <w:sz w:val="22"/>
                <w:szCs w:val="22"/>
                <w:color w:val="auto"/>
              </w:rPr>
            </w:pPr>
          </w:p>
        </w:tc>
      </w:tr>
      <w:tr>
        <w:trPr>
          <w:trHeight w:val="264"/>
        </w:trPr>
        <w:tc>
          <w:tcPr>
            <w:tcW w:w="21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Exhibit 31.2:</w:t>
            </w:r>
          </w:p>
        </w:tc>
        <w:tc>
          <w:tcPr>
            <w:tcW w:w="87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Pursuant to Section 302 of Sarbanes-Oxley Act of 2002 – CFO.</w:t>
            </w:r>
          </w:p>
        </w:tc>
      </w:tr>
      <w:tr>
        <w:trPr>
          <w:trHeight w:val="20"/>
        </w:trPr>
        <w:tc>
          <w:tcPr>
            <w:tcW w:w="2100" w:type="dxa"/>
            <w:vAlign w:val="bottom"/>
            <w:gridSpan w:val="4"/>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3800" w:type="dxa"/>
            <w:vAlign w:val="bottom"/>
            <w:gridSpan w:val="4"/>
            <w:shd w:val="clear" w:color="auto" w:fill="0000FF"/>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64"/>
        </w:trPr>
        <w:tc>
          <w:tcPr>
            <w:tcW w:w="21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Exhibit 32.1:</w:t>
            </w:r>
          </w:p>
        </w:tc>
        <w:tc>
          <w:tcPr>
            <w:tcW w:w="68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Certification Pursuant to 18 U.S.C. 1350 (section 906 of Sarbanes-Oxley Act of 2002) – CEO.</w:t>
            </w:r>
          </w:p>
        </w:tc>
        <w:tc>
          <w:tcPr>
            <w:tcW w:w="1960" w:type="dxa"/>
            <w:vAlign w:val="bottom"/>
          </w:tcPr>
          <w:p>
            <w:pPr>
              <w:spacing w:after="0"/>
              <w:rPr>
                <w:sz w:val="22"/>
                <w:szCs w:val="22"/>
                <w:color w:val="auto"/>
              </w:rPr>
            </w:pPr>
          </w:p>
        </w:tc>
      </w:tr>
      <w:tr>
        <w:trPr>
          <w:trHeight w:val="263"/>
        </w:trPr>
        <w:tc>
          <w:tcPr>
            <w:tcW w:w="21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Exhibit 32.2:</w:t>
            </w:r>
          </w:p>
        </w:tc>
        <w:tc>
          <w:tcPr>
            <w:tcW w:w="68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Certification Pursuant to 18 U.S.C. 1350 (section 906 of Sarbanes-Oxley Act of 2002) – CFO.</w:t>
            </w:r>
          </w:p>
        </w:tc>
        <w:tc>
          <w:tcPr>
            <w:tcW w:w="1980" w:type="dxa"/>
            <w:vAlign w:val="bottom"/>
            <w:gridSpan w:val="2"/>
          </w:tcPr>
          <w:p>
            <w:pPr>
              <w:spacing w:after="0"/>
              <w:rPr>
                <w:sz w:val="22"/>
                <w:szCs w:val="22"/>
                <w:color w:val="auto"/>
              </w:rPr>
            </w:pPr>
          </w:p>
        </w:tc>
      </w:tr>
      <w:tr>
        <w:trPr>
          <w:trHeight w:val="264"/>
        </w:trPr>
        <w:tc>
          <w:tcPr>
            <w:tcW w:w="21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Exhibit 95:</w:t>
            </w:r>
          </w:p>
        </w:tc>
        <w:tc>
          <w:tcPr>
            <w:tcW w:w="87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Mine Safety Disclosure.</w:t>
            </w:r>
          </w:p>
        </w:tc>
      </w:tr>
      <w:tr>
        <w:trPr>
          <w:trHeight w:val="20"/>
        </w:trPr>
        <w:tc>
          <w:tcPr>
            <w:tcW w:w="2100" w:type="dxa"/>
            <w:vAlign w:val="bottom"/>
            <w:gridSpan w:val="4"/>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7040" w:type="dxa"/>
            <w:vAlign w:val="bottom"/>
            <w:gridSpan w:val="8"/>
          </w:tcPr>
          <w:p>
            <w:pPr>
              <w:spacing w:after="0" w:line="20" w:lineRule="exact"/>
              <w:rPr>
                <w:sz w:val="1"/>
                <w:szCs w:val="1"/>
                <w:color w:val="auto"/>
              </w:rPr>
            </w:pPr>
          </w:p>
        </w:tc>
      </w:tr>
      <w:tr>
        <w:trPr>
          <w:trHeight w:val="250"/>
        </w:trPr>
        <w:tc>
          <w:tcPr>
            <w:tcW w:w="21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Exhibit 101.INS:</w:t>
            </w:r>
          </w:p>
        </w:tc>
        <w:tc>
          <w:tcPr>
            <w:tcW w:w="8780" w:type="dxa"/>
            <w:vAlign w:val="bottom"/>
            <w:gridSpan w:val="9"/>
          </w:tcPr>
          <w:p>
            <w:pPr>
              <w:spacing w:after="0"/>
              <w:rPr>
                <w:sz w:val="20"/>
                <w:szCs w:val="20"/>
                <w:color w:val="auto"/>
              </w:rPr>
            </w:pPr>
            <w:r>
              <w:rPr>
                <w:rFonts w:ascii="Times New Roman" w:cs="Times New Roman" w:eastAsia="Times New Roman" w:hAnsi="Times New Roman"/>
                <w:sz w:val="18"/>
                <w:szCs w:val="18"/>
                <w:color w:val="auto"/>
                <w:w w:val="99"/>
              </w:rPr>
              <w:t>XBRL Instance Document - the instance document does not appear in the Interactive Data File because its XBRL tags are</w:t>
            </w:r>
          </w:p>
        </w:tc>
      </w:tr>
      <w:tr>
        <w:trPr>
          <w:trHeight w:val="234"/>
        </w:trPr>
        <w:tc>
          <w:tcPr>
            <w:tcW w:w="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7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92"/>
        </w:trPr>
        <w:tc>
          <w:tcPr>
            <w:tcW w:w="21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Exhibit 101.SCH:</w:t>
            </w:r>
          </w:p>
        </w:tc>
        <w:tc>
          <w:tcPr>
            <w:tcW w:w="87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Schema Document.</w:t>
            </w:r>
          </w:p>
        </w:tc>
      </w:tr>
      <w:tr>
        <w:trPr>
          <w:trHeight w:val="283"/>
        </w:trPr>
        <w:tc>
          <w:tcPr>
            <w:tcW w:w="21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Exhibit 101.CAL:</w:t>
            </w:r>
          </w:p>
        </w:tc>
        <w:tc>
          <w:tcPr>
            <w:tcW w:w="87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83"/>
        </w:trPr>
        <w:tc>
          <w:tcPr>
            <w:tcW w:w="21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Exhibit 101.DEF:</w:t>
            </w:r>
          </w:p>
        </w:tc>
        <w:tc>
          <w:tcPr>
            <w:tcW w:w="87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83"/>
        </w:trPr>
        <w:tc>
          <w:tcPr>
            <w:tcW w:w="21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Exhibit 101.LAB:</w:t>
            </w:r>
          </w:p>
        </w:tc>
        <w:tc>
          <w:tcPr>
            <w:tcW w:w="87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Labels Linkbase Document.</w:t>
            </w:r>
          </w:p>
        </w:tc>
      </w:tr>
      <w:tr>
        <w:trPr>
          <w:trHeight w:val="284"/>
        </w:trPr>
        <w:tc>
          <w:tcPr>
            <w:tcW w:w="21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Exhibit 101.PRE:</w:t>
            </w:r>
          </w:p>
        </w:tc>
        <w:tc>
          <w:tcPr>
            <w:tcW w:w="87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283"/>
        </w:trPr>
        <w:tc>
          <w:tcPr>
            <w:tcW w:w="21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Exhibit 104</w:t>
            </w:r>
          </w:p>
        </w:tc>
        <w:tc>
          <w:tcPr>
            <w:tcW w:w="87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351" w:right="6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81" w:lineRule="exact"/>
        <w:rPr>
          <w:sz w:val="20"/>
          <w:szCs w:val="20"/>
          <w:color w:val="auto"/>
        </w:rPr>
      </w:pPr>
    </w:p>
    <w:p>
      <w:pPr>
        <w:ind w:left="20"/>
        <w:spacing w:after="0"/>
        <w:tabs>
          <w:tab w:leader="none" w:pos="600" w:val="left"/>
          <w:tab w:leader="none" w:pos="4680" w:val="left"/>
        </w:tabs>
        <w:rPr>
          <w:sz w:val="20"/>
          <w:szCs w:val="20"/>
          <w:color w:val="auto"/>
        </w:rPr>
      </w:pPr>
      <w:r>
        <w:rPr>
          <w:rFonts w:ascii="Times New Roman" w:cs="Times New Roman" w:eastAsia="Times New Roman" w:hAnsi="Times New Roman"/>
          <w:sz w:val="18"/>
          <w:szCs w:val="18"/>
          <w:color w:val="auto"/>
        </w:rPr>
        <w:t>Date:</w:t>
        <w:tab/>
        <w:t>February 6, 2025</w:t>
      </w:r>
      <w:r>
        <w:rPr>
          <w:sz w:val="20"/>
          <w:szCs w:val="20"/>
          <w:color w:val="auto"/>
        </w:rPr>
        <w:tab/>
      </w:r>
      <w:r>
        <w:rPr>
          <w:rFonts w:ascii="Times New Roman" w:cs="Times New Roman" w:eastAsia="Times New Roman" w:hAnsi="Times New Roman"/>
          <w:sz w:val="17"/>
          <w:szCs w:val="17"/>
          <w:color w:val="auto"/>
        </w:rPr>
        <w:t>By: /s/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17145</wp:posOffset>
            </wp:positionV>
            <wp:extent cx="41402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140200" cy="8255"/>
                    </a:xfrm>
                    <a:prstGeom prst="rect">
                      <a:avLst/>
                    </a:prstGeom>
                    <a:noFill/>
                  </pic:spPr>
                </pic:pic>
              </a:graphicData>
            </a:graphic>
          </wp:anchor>
        </w:drawing>
      </w:r>
    </w:p>
    <w:p>
      <w:pPr>
        <w:spacing w:after="0" w:line="16"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Kevin S. Cavanah</w:t>
      </w:r>
    </w:p>
    <w:p>
      <w:pPr>
        <w:spacing w:after="0" w:line="2"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364"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20"/>
          <w:szCs w:val="20"/>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BYLAWS</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OF</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MATRIX SERVICE COMPANY</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(Effective February 4, 2025)</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OFFICES</w:t>
      </w:r>
    </w:p>
    <w:p>
      <w:pPr>
        <w:spacing w:after="0" w:line="23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Section 1. The registered office of Matrix Service Company (the “Corporation”) shall be in the City of Wilmington, County of New Castle, State of Delaware.</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Section 2. The Corporation may also have offices at such other places both within and without the state of Delaware as the Board of Directors may from time to time determine or the business of the Corporation may require.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MEETINGS OF STOCKHOLDERS</w:t>
      </w:r>
    </w:p>
    <w:p>
      <w:pPr>
        <w:spacing w:after="0" w:line="237"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Section 1. All meetings of the stockholders for the election of Directors shall be held at such place, if any, as may be fixed from time to time by the Board of Directors and stated in the notice of the meeting. Meetings of stockholders for any other purpose may be held at such time and place, if any, within or without the State of Delaware, as shall be stated in the notice of the meeting or in a duly executed waiver of notice thereof. The Board of Directors may, in its sole discretion, determine that a meeting shall not be held at any place, but shall instead be held solely by means of remote communication in accordance with Section 211(a) of the Delaware General Corporation Law. The Board of Directors may, at any time prior to holding an annual or special meeting of stockholders, and for any reason, cancel, reschedule or postpone any previously scheduled annual or special meeting.</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Annual Meetings</w:t>
      </w:r>
    </w:p>
    <w:p>
      <w:pPr>
        <w:spacing w:after="0" w:line="237"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Section 2. Annual meetings of stockholders shall be held on such date and at such time as shall be designated from time to time by the Board of Directors and stated in the notice of the meeting. At the annual meeting, the stockholders shall elect Directors pursuant to Article III of these Bylaws, and transact such other business as may properly be brought before the meeting. Subject to the rights of the holders of any class or series of stock having preference over the Common Stock of the Corporation, par value $.01 per share (the “Common Stock”), as to dividends or upon liquidation to elect additional Directors under specified circumstances, a nominee for Director shall be elected to the Board of Directors if the votes cast for such nominee’s election exceed the votes cast against such nominee’s election; provided, however, that Directors shall be elected by a plurality of the votes cast at any meeting of stockholders for which (i) the Secretary of the Corporation receives a notice that a stockholder has nominated a person for election to the Board of Directors in compliance with the advance notice requirements for stockholder nominees for Director set forth in this Article II and (ii) such nomination has not</w:t>
      </w:r>
    </w:p>
    <w:p>
      <w:pPr>
        <w:sectPr>
          <w:pgSz w:w="11900" w:h="16838" w:orient="portrait"/>
          <w:cols w:equalWidth="0" w:num="1">
            <w:col w:w="11240"/>
          </w:cols>
          <w:pgMar w:left="320" w:top="114" w:right="339" w:bottom="1440" w:gutter="0" w:footer="0" w:header="0"/>
        </w:sectPr>
      </w:pPr>
    </w:p>
    <w:bookmarkStart w:id="36" w:name="page37"/>
    <w:bookmarkEnd w:id="36"/>
    <w:p>
      <w:pPr>
        <w:jc w:val="both"/>
        <w:spacing w:after="0" w:line="239" w:lineRule="auto"/>
        <w:rPr>
          <w:sz w:val="20"/>
          <w:szCs w:val="20"/>
          <w:color w:val="auto"/>
        </w:rPr>
      </w:pPr>
      <w:r>
        <w:rPr>
          <w:rFonts w:ascii="Times New Roman" w:cs="Times New Roman" w:eastAsia="Times New Roman" w:hAnsi="Times New Roman"/>
          <w:sz w:val="22"/>
          <w:szCs w:val="22"/>
          <w:color w:val="auto"/>
        </w:rPr>
        <w:t>been withdrawn by such stockholder on or prior to the record date for such meeting. If Directors are to be elected by a plurality of the votes cast, stockholders shall not be permitted to vote against a nominee. Any stockholder directly or indirectly soliciting proxies from other stockholders must use a proxy card color other than white, which shall be reserved for exclusive use by the Board of Directors.</w:t>
      </w:r>
    </w:p>
    <w:p>
      <w:pPr>
        <w:spacing w:after="0" w:line="20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Section 3. Written notice of the annual meeting stating the place, if any, date and hour of the meeting shall be given to each stockholder entitled to a vote at such meeting not less than ten (10) nor more than sixty (60) days before the date of the meeting.</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4.</w:t>
      </w:r>
    </w:p>
    <w:p>
      <w:pPr>
        <w:spacing w:after="0" w:line="233" w:lineRule="exact"/>
        <w:rPr>
          <w:sz w:val="20"/>
          <w:szCs w:val="20"/>
          <w:color w:val="auto"/>
        </w:rPr>
      </w:pPr>
    </w:p>
    <w:p>
      <w:pPr>
        <w:jc w:val="both"/>
        <w:ind w:firstLine="1304"/>
        <w:spacing w:after="0" w:line="236" w:lineRule="auto"/>
        <w:tabs>
          <w:tab w:leader="none" w:pos="163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Nominations of persons for election to the Board of Directors and the proposal of other business to be considered by the stockholders may be made at an annual meeting of stockholders (i) pursuant to the Corporation’s notice of such meeting, (ii) by or at the direction of the Board of Directors or (iii) by any stockholder of the Corporation who was a stockholder of record at the time of giving of the notice as provided for in this Section 4 through the time of the annual meeting, and is entitled to vote at such meeting, who attends such meeting in person or by proxy to present such nomination or proposal, and who complies with the notice procedures set forth in this Section 4.</w:t>
      </w:r>
    </w:p>
    <w:p>
      <w:pPr>
        <w:spacing w:after="0" w:line="208" w:lineRule="exact"/>
        <w:rPr>
          <w:rFonts w:ascii="Times New Roman" w:cs="Times New Roman" w:eastAsia="Times New Roman" w:hAnsi="Times New Roman"/>
          <w:sz w:val="22"/>
          <w:szCs w:val="22"/>
          <w:color w:val="auto"/>
        </w:rPr>
      </w:pPr>
    </w:p>
    <w:p>
      <w:pPr>
        <w:jc w:val="both"/>
        <w:ind w:firstLine="1304"/>
        <w:spacing w:after="0" w:line="231" w:lineRule="auto"/>
        <w:tabs>
          <w:tab w:leader="none" w:pos="1602"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nominations or other business to be properly brought before an annual meeting by a stockholder pursuant to Section 4(a)(iii) above, the stockholder must have given timely notice thereof in writing to the Secretary of the Corporation and such other business must otherwise be a proper matter for stockholder action. To be timely, a stockholder’s notice must be delivered to the Secretary at the principal executive offices of the Corporation not later than the close of business on the 90th day nor earlier than the close of business on the 120th day prior to the first anniversary of the preceding year’s annual meeting; provided, however, that in the event that the date of the annual meeting is more than 30 days before or more than 60 days after such anniversary date, notice by the stockholder to be timely must be so delivered not earlier than the close of business on the 120th day prior to such annual meeting and not later than the close of business on the later of the 90th day prior to such annual meeting or if the first public announcement of the date of such annual meeting is less than 100 days prior to the date of such annual meeting, the close of business on the 10th day following the day on which public announcement of the date of such meeting is first made by the Corporation. In no event shall the adjournment, recess, postponement, judicial stay or rescheduling of an annual meeting (or the public announcement thereof) commence a new time period (or extend any time period) for the giving of notice as described above. Such stockholder’s notice (whether provided pursuant to this Section 4(b) or Section 6(c)) must set forth:</w:t>
      </w:r>
    </w:p>
    <w:p>
      <w:pPr>
        <w:spacing w:after="0" w:line="209" w:lineRule="exact"/>
        <w:rPr>
          <w:rFonts w:ascii="Times New Roman" w:cs="Times New Roman" w:eastAsia="Times New Roman" w:hAnsi="Times New Roman"/>
          <w:sz w:val="22"/>
          <w:szCs w:val="22"/>
          <w:color w:val="auto"/>
        </w:rPr>
      </w:pPr>
    </w:p>
    <w:p>
      <w:pPr>
        <w:jc w:val="both"/>
        <w:ind w:firstLine="1952"/>
        <w:spacing w:after="0" w:line="236" w:lineRule="auto"/>
        <w:tabs>
          <w:tab w:leader="none" w:pos="2215"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each person, if any, whom the stockholder proposes to nominate for election or reelection as a Director (1) all information relating to such proposed nominee that would be required to be disclosed in a proxy statement in connection with the solicitation of proxies by such stockholder giving notice or any Stockholder Associated Person for the election of Directors in a contested election pursuant to Regulation 14A under the Securities Exchange Act of 1934, as amended (the “Exchange Act”), (2) a description of all direct and indirect compensation and other material monetary agreements, arrangements and understandings during the past three years, and any other material relationships, (A) between or</w:t>
      </w:r>
    </w:p>
    <w:p>
      <w:pPr>
        <w:sectPr>
          <w:pgSz w:w="11900" w:h="16838" w:orient="portrait"/>
          <w:cols w:equalWidth="0" w:num="1">
            <w:col w:w="11240"/>
          </w:cols>
          <w:pgMar w:left="320" w:top="1408" w:right="339" w:bottom="1440" w:gutter="0" w:footer="0" w:header="0"/>
        </w:sectPr>
      </w:pPr>
    </w:p>
    <w:bookmarkStart w:id="37" w:name="page38"/>
    <w:bookmarkEnd w:id="37"/>
    <w:p>
      <w:pPr>
        <w:jc w:val="both"/>
        <w:spacing w:after="0" w:line="241" w:lineRule="auto"/>
        <w:rPr>
          <w:sz w:val="20"/>
          <w:szCs w:val="20"/>
          <w:color w:val="auto"/>
        </w:rPr>
      </w:pPr>
      <w:r>
        <w:rPr>
          <w:rFonts w:ascii="Times New Roman" w:cs="Times New Roman" w:eastAsia="Times New Roman" w:hAnsi="Times New Roman"/>
          <w:sz w:val="21"/>
          <w:szCs w:val="21"/>
          <w:color w:val="auto"/>
        </w:rPr>
        <w:t>among any stockholder giving notice or any Stockholder Associated Person, on the one hand, and such proposed nominee, on the other hand, or (B) that such proposed nominee knows any of such proposed nominee’s Associates has with any stockholder giving notice or any Stockholder Associated Person, including, without limitation, all information that would be required to be disclosed pursuant to Rule 404 promulgated under Regulation S-K as if the stockholder making the nomination and any Stockholder Associated Person were the “registrant” for purposes of such rule and the proposed nominee were a director or executive officer of such registrant, (3) the date(s) of first contact between the stockholder giving notice or any Stockholder Associated Person, on the one hand, and the proposed nominee, on the other hand, with respect to any proposed nomination(s) of any person(s) (including the proposed nominee) for election as a Director of the Corporation, (4) such person’s written consent to being named in the proxy statement as a nominee and to serving as a Director if elected, and (5) as an appendix, (A) attaching a completed stockholder nominee questionnaire (which questionnaire shall be provided by the Corporation within 10 days of the request by any stockholder of record) and (B) a completed and signed written representation and agreement (executed by the nominee in the form provided by the Secretary upon written request by any stockholder of record) that such person (I) is not and will not become a party to any agreement, arrangement or understanding with, and has not given any commitment or assurance to, any person or entity as to how such person, if elected as a Director of the Corporation, will act or vote on any issue or question (a “Voting Commitment”) that has not been disclosed to the Corporation or any Voting Commitment that could limit or interfere with such person’s ability to comply, if elected as a Director of the Corporation, with such person’s fiduciary duties under applicable law, (II) is not and will not become a party to any agreement, arrangement or understanding with any person or entity other than the Corporation with respect to any direct or indirect compensation, reimbursement or indemnification in connection with service or action as a Director or nominee with respect to the Corporation that has not been disclosed to the Corporation,</w:t>
      </w:r>
    </w:p>
    <w:p>
      <w:pPr>
        <w:spacing w:after="0" w:line="7" w:lineRule="exact"/>
        <w:rPr>
          <w:sz w:val="20"/>
          <w:szCs w:val="20"/>
          <w:color w:val="auto"/>
        </w:rPr>
      </w:pPr>
    </w:p>
    <w:p>
      <w:pPr>
        <w:jc w:val="both"/>
        <w:ind w:firstLine="8"/>
        <w:spacing w:after="0" w:line="232" w:lineRule="auto"/>
        <w:tabs>
          <w:tab w:leader="none" w:pos="415"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would be in compliance, if elected as a Director of the Corporation, and will comply with, applicable law, applicable rules of the U.S. exchange upon which the Corporation’s shares of Common Stock trade and all applicable publicly disclosed corporate governance, conflict of interest, corporate opportunities, confidentiality and stock ownership and trading policies and guidelines of the Corporation, (IV) will tender, promptly following such person’s election or reelection, an irrevocable resignation that would be effective upon (A) such person’s failure to receive the required vote for reelection at the next annual meeting at which such person would face reelection and (B) acceptance of such resignation by the Board of Directors, in accordance with the Corporation’s policies or guidelines on Director elections and (V) intends to serve a full term if elected as a Director of the Corporation;</w:t>
      </w:r>
    </w:p>
    <w:p>
      <w:pPr>
        <w:spacing w:after="0" w:line="193" w:lineRule="exact"/>
        <w:rPr>
          <w:rFonts w:ascii="Times New Roman" w:cs="Times New Roman" w:eastAsia="Times New Roman" w:hAnsi="Times New Roman"/>
          <w:sz w:val="22"/>
          <w:szCs w:val="22"/>
          <w:color w:val="auto"/>
        </w:rPr>
      </w:pPr>
    </w:p>
    <w:p>
      <w:pPr>
        <w:jc w:val="both"/>
        <w:ind w:firstLine="1952"/>
        <w:spacing w:after="0" w:line="239" w:lineRule="auto"/>
        <w:tabs>
          <w:tab w:leader="none" w:pos="2262"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any other business that the stockholder proposes to bring before the meeting, (1) a description in reasonable detail of the business desired to be brought before the meeting, (2) the reasons for conducting such business at the meeting and (3) the text of the proposal or business (including the text of any resolutions proposed for consideration and in the event that such business includes a proposal to amend these Bylaws, the language of the proposed amendment); and</w:t>
      </w:r>
    </w:p>
    <w:p>
      <w:pPr>
        <w:spacing w:after="0" w:line="207" w:lineRule="exact"/>
        <w:rPr>
          <w:sz w:val="20"/>
          <w:szCs w:val="20"/>
          <w:color w:val="auto"/>
        </w:rPr>
      </w:pPr>
    </w:p>
    <w:p>
      <w:pPr>
        <w:ind w:left="380" w:hanging="372"/>
        <w:spacing w:after="0"/>
        <w:tabs>
          <w:tab w:leader="none" w:pos="38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to the stockholder giving the notice and the beneficial owner, if any, on whose behalf the nomination or proposal is made</w:t>
      </w:r>
    </w:p>
    <w:p>
      <w:pPr>
        <w:spacing w:after="0" w:line="25" w:lineRule="exact"/>
        <w:rPr>
          <w:rFonts w:ascii="Times New Roman" w:cs="Times New Roman" w:eastAsia="Times New Roman" w:hAnsi="Times New Roman"/>
          <w:sz w:val="21"/>
          <w:szCs w:val="21"/>
          <w:color w:val="auto"/>
        </w:rPr>
      </w:pPr>
    </w:p>
    <w:p>
      <w:pPr>
        <w:ind w:right="260"/>
        <w:spacing w:after="0" w:line="23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(1) the name and address of such stockholder and each Stockholder Associated Person (including, as applicable, as they appear on the Corporation’s books), (2) the class and number of shares of capital stock of the Corporation that are owned</w:t>
      </w:r>
    </w:p>
    <w:p>
      <w:pPr>
        <w:sectPr>
          <w:pgSz w:w="11900" w:h="16838" w:orient="portrait"/>
          <w:cols w:equalWidth="0" w:num="1">
            <w:col w:w="11240"/>
          </w:cols>
          <w:pgMar w:left="320" w:top="140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2"/>
          <w:szCs w:val="22"/>
          <w:color w:val="auto"/>
        </w:rPr>
        <w:t>beneficially or held of record by such stockholder and each Stockholder Associated Person, (3) the disclosure of any</w:t>
      </w:r>
    </w:p>
    <w:p>
      <w:pPr>
        <w:spacing w:after="0" w:line="1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color w:val="auto"/>
        </w:rPr>
        <w:t>agreements, arrangements or understandings, written or oral, (including any derivative or short positions, profit interests, hedging transactions, forwards, futures, swaps, options, warrants, convertible securities, stock appreciation or similar rights, repurchase agreements or arrangements, borrowed or loaned shares and so-called “stock borrowing” agreements or arrangements) that have been entered into by, or on behalf of, such stockholder or any Stockholder Associated Person, the effect or intent of which is to mitigate loss, manage risk or benefit from changes in the price of any securities of the Corporation, or maintain, increase or decrease the voting power of such stockholder or any Stockholder Associated Person with respect to securities of the Corporation, whether or not such instrument or right shall be subject to settlement in underlying shares of capital stock of the Corporation (any of the foregoing, a “Derivative Instrument”), such information to include, and be updated to reflect any material change in, such positions from the period beginning six months prior to the nomination through the time of the annual meeting,</w:t>
      </w:r>
    </w:p>
    <w:p>
      <w:pPr>
        <w:jc w:val="both"/>
        <w:ind w:firstLine="8"/>
        <w:spacing w:after="0" w:line="241" w:lineRule="auto"/>
        <w:tabs>
          <w:tab w:leader="none" w:pos="313"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description of all agreements, arrangements or understandings, written or oral, (A) between or among such stockholder and any Stockholder Associated Person or (B) between or among such stockholder or, to the knowledge of such stockholder or such beneficial owner, any Stockholder Associated Person and any other person or entity (naming each such person or entity), in each case, relating to acquiring, holding, voting or disposing of any securities of the Corporation, including any proxy (other than any revocable proxy given in response to a solicitation made pursuant to, and in accordance with, Section 14 of the Exchange Act and the rules promulgated thereunder by way of a solicitation statement filed on Schedule 14A), (5) a representation as to whether such stockholder or any Stockholder Associated Person intends or is part of a group (as such term is used in Rule 13d-5 under the Exchange Act) that intends to solicit proxies in support of the election of any proposed nominee in accordance with Rule 14a-19 under the Exchange Act (“Rule 14a-19”), (6) any Derivative Instruments in or beneficial ownership of any securities of (in each case, with a market value of more than $100,000) any competitor of the Corporation identified in Part I, Item 1 of the annual report on Form 10-K or amendment thereto most recently filed by the Corporation with the Securities and Exchange Commission or in Item 8.01 of any current report on Form 8-K filed by the Corporation with the Securities and Exchange Commission thereafter but prior to the tenth (10th) day before the deadline for a stockholder’s notice under this </w:t>
      </w:r>
      <w:r>
        <w:rPr>
          <w:rFonts w:ascii="Times New Roman" w:cs="Times New Roman" w:eastAsia="Times New Roman" w:hAnsi="Times New Roman"/>
          <w:sz w:val="21"/>
          <w:szCs w:val="21"/>
          <w:u w:val="single" w:color="auto"/>
          <w:color w:val="auto"/>
        </w:rPr>
        <w:t>Section 1.16</w:t>
      </w:r>
      <w:r>
        <w:rPr>
          <w:rFonts w:ascii="Times New Roman" w:cs="Times New Roman" w:eastAsia="Times New Roman" w:hAnsi="Times New Roman"/>
          <w:sz w:val="21"/>
          <w:szCs w:val="21"/>
          <w:color w:val="auto"/>
        </w:rPr>
        <w:t xml:space="preserve"> (each, a “Principal Competitor”) held by such stockholder or any Stockholder Associated Person, (7) any direct or indirect interest (other than solely as a result of security ownership) of such stockholder or any Stockholder Associated Person in any agreement with the Corporation, any Affiliate of the Corporation or any Principal Competitor (including any employment agreement, collective bargaining agreement or consulting agreement), (8) to the extent known by the stockholder giving the notice or the beneficial owner, the name and address of any other stockholder providing financial support for any of such stockholder’s nominees for election or reelection as a Director or the proposal of other business on the date of such stockholder’s notice, (9) all information that would be required to be set forth in a Schedule 13D filed pursuant to Rule 13d-1(a) under the Exchange Act or an amendment pursuant to Rule 13d-2(a) under the Exchange Act if such a statement were required to be filed under the Exchange Act by such stockholder or any Stockholder Associated Person with respect to the Corporation (regardless of whether such person or entity is actually required to file a Schedule 13D), including a description of any agreement, arrangement or understanding that would be required to be disclosed by such stockholder or any Stockholder Associated Person pursuant to Item 5 or Item 6 of Schedule 13D, (10) any substantial interest, direct or indirect (including any existing or prospective commercial,</w:t>
      </w:r>
    </w:p>
    <w:p>
      <w:pPr>
        <w:sectPr>
          <w:pgSz w:w="11900" w:h="16838" w:orient="portrait"/>
          <w:cols w:equalWidth="0" w:num="1">
            <w:col w:w="11240"/>
          </w:cols>
          <w:pgMar w:left="320" w:top="1408" w:right="339" w:bottom="1440" w:gutter="0" w:footer="0" w:header="0"/>
        </w:sectPr>
      </w:pPr>
    </w:p>
    <w:bookmarkStart w:id="39" w:name="page40"/>
    <w:bookmarkEnd w:id="39"/>
    <w:p>
      <w:pPr>
        <w:jc w:val="both"/>
        <w:spacing w:after="0" w:line="241" w:lineRule="auto"/>
        <w:rPr>
          <w:sz w:val="20"/>
          <w:szCs w:val="20"/>
          <w:color w:val="auto"/>
        </w:rPr>
      </w:pPr>
      <w:r>
        <w:rPr>
          <w:rFonts w:ascii="Times New Roman" w:cs="Times New Roman" w:eastAsia="Times New Roman" w:hAnsi="Times New Roman"/>
          <w:sz w:val="21"/>
          <w:szCs w:val="21"/>
          <w:color w:val="auto"/>
        </w:rPr>
        <w:t xml:space="preserve">business or contractual relationship with the Corporation), of such stockholder or, to the knowledge of such stockholder or such beneficial owner, any Stockholder Associated Person in the Corporation or any Affiliate thereof or in the proposed business or nomination to be brought before the meeting by such stockholder, other than an interest arising from the ownership of Corporation securities where such stockholder or such Stockholder Associated Person receives no extra or special benefit not shared on a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basis by all other holders of the same class or series, (11) all other information relating to such stockholder giving notice or any Stockholder Associated Person that would be required to be disclosed in a proxy statement in connection with the solicitation of proxies by such stockholder giving notice or any Stockholder Associated Person in support of the business proposed by such stockholder giving notice, if any, or for the election of any proposed nominee in a contested election or otherwise pursuant to Regulation 14A under the Exchange Act, (12) a representation that the stockholder proposing such business or making such nomination intends to appear in person (including virtually in the case of a meeting conducted solely by means of remote communication) or by proxy at the meeting to propose such business or nomination and an acknowledgment that, if such stockholder (or a duly authorized officer, manager or partner of such of such stockholder) does not appear to present such business or proposed nominees, as applicable, at such meeting, the Corporation need not present such business or proposed nominees for a vote at such meeting, notwithstanding that proxies in respect of such vote may have been received by the Corporation, and (13) in the case of a proposal nominating persons for election to the Board of Directors for which such stockholder or any Stockholder Associated Person intends or is part of a group (as such term is used in Rule 13d-5 under the Exchange Act) that intends to solicit proxies in support of the election of any proposed nominee in accordance with Rule 14a-19, a representation that such stockholder giving the notice or Stockholder Associated Persons intend to solicit the holders of shares representing at least 67% of the voting power of the shares entitled to vote on the election of directors in support of director nominees other than the Corporation’s nominees; provided, however, that the disclosures described in the foregoing subclauses</w:t>
      </w:r>
    </w:p>
    <w:p>
      <w:pPr>
        <w:spacing w:after="0" w:line="7" w:lineRule="exact"/>
        <w:rPr>
          <w:sz w:val="20"/>
          <w:szCs w:val="20"/>
          <w:color w:val="auto"/>
        </w:rPr>
      </w:pPr>
    </w:p>
    <w:p>
      <w:pPr>
        <w:jc w:val="both"/>
        <w:ind w:firstLine="8"/>
        <w:spacing w:after="0" w:line="232" w:lineRule="auto"/>
        <w:tabs>
          <w:tab w:leader="none" w:pos="309"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through (13) shall not include any such disclosures with respect to the ordinary course business activities of any depositary or any broker, dealer, commercial bank, trust company or other nominee who is a stockholder providing notice pursuant to this Section 4(b) solely as a result of being the stockholder directed to prepare and submit the notice required by these Bylaws on behalf of a beneficial owner (any such entity, an “Exempt Party”). The Corporation may require the stockholder providing notice to furnish such other information as may reasonably be required by the Corporation to determine the eligibility, suitability or qualifications of a proposed nominee to serve as a Director of the Corporation or that could be material to a reasonable stockholder’s understanding of the independence, or lack thereof, of such nominee.</w:t>
      </w:r>
    </w:p>
    <w:p>
      <w:pPr>
        <w:spacing w:after="0" w:line="194" w:lineRule="exact"/>
        <w:rPr>
          <w:rFonts w:ascii="Times New Roman" w:cs="Times New Roman" w:eastAsia="Times New Roman" w:hAnsi="Times New Roman"/>
          <w:sz w:val="22"/>
          <w:szCs w:val="22"/>
          <w:color w:val="auto"/>
        </w:rPr>
      </w:pPr>
    </w:p>
    <w:p>
      <w:pPr>
        <w:jc w:val="both"/>
        <w:ind w:firstLine="1304"/>
        <w:spacing w:after="0" w:line="249" w:lineRule="auto"/>
        <w:tabs>
          <w:tab w:leader="none" w:pos="1603" w:val="left"/>
        </w:tabs>
        <w:numPr>
          <w:ilvl w:val="1"/>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stockholder that provides notice pursuant to Rule 14a-19(b) or that includes the information required by Rule 14a-19(b) in a preliminary or definitive proxy statement previously filed by such stockholder shall provide written notification to the Secretary of the Corporation promptly, but in no event later than two (2) business days, following failure by the stockholder to comply with the requirements of Rule 14a-19(a)(2), or any change in such stockholder’s intent to solicit proxies from the holders of shares representing at least 67% of the voting power of shares entitled to vote on the election of directors in support of director nominees other than the Corporation’s nominees or with respect to the names of such stockholder’s nominees.</w:t>
      </w:r>
    </w:p>
    <w:p>
      <w:pPr>
        <w:sectPr>
          <w:pgSz w:w="11900" w:h="16838" w:orient="portrait"/>
          <w:cols w:equalWidth="0" w:num="1">
            <w:col w:w="11240"/>
          </w:cols>
          <w:pgMar w:left="320" w:top="1408" w:right="339" w:bottom="1440" w:gutter="0" w:footer="0" w:header="0"/>
        </w:sectPr>
      </w:pPr>
    </w:p>
    <w:bookmarkStart w:id="40" w:name="page41"/>
    <w:bookmarkEnd w:id="40"/>
    <w:p>
      <w:pPr>
        <w:jc w:val="both"/>
        <w:ind w:left="-1120" w:firstLine="1304"/>
        <w:spacing w:after="0" w:line="232" w:lineRule="auto"/>
        <w:tabs>
          <w:tab w:leader="none" w:pos="509"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request by the Corporation, any stockholder that provides notice pursuant to Rule 14a-19(b) or that includes the information required by Rule 14a-19(b) in a preliminary or definitive proxy statement previously filed by such stockholder shall deliver to the Corporation, no later than seven (7) business days prior to the applicable meeting, reasonable evidence that it has met the requirements of Rule 14a-19, including Rule 14a-19(a)(3), for any nominees proposed for election by such stockholder. If any stockholder provides notice pursuant to Rule 14a-19(b) (or includes the information required by Rule 14a-19(b) in a preliminary or definitive proxy statement previously filed by such stockholder) with respect to any proposed nominee, and subsequently fails to comply with the requirements of Rule 14a-19(a)(2) or Rule 14a-19(a)(3) (or fails to timely provide reasonable evidence sufficient to satisfy the Corporation that such stockholder or other person has met the requirements of Rule 14a-19, including Rule 14a-19(a)(3), in accordance with the preceding sentence), then notwithstanding anything to the contrary, unless otherwise required by law, the nomination of each such proposed nominee shall be disregarded, notwithstanding that proxies or votes in respect of the election of such proposed nominees may have been received by the Corporation (which proxies and votes shall be disregarded).</w:t>
      </w:r>
    </w:p>
    <w:p>
      <w:pPr>
        <w:spacing w:after="0" w:line="210" w:lineRule="exact"/>
        <w:rPr>
          <w:rFonts w:ascii="Times New Roman" w:cs="Times New Roman" w:eastAsia="Times New Roman" w:hAnsi="Times New Roman"/>
          <w:sz w:val="22"/>
          <w:szCs w:val="22"/>
          <w:color w:val="auto"/>
        </w:rPr>
      </w:pPr>
    </w:p>
    <w:p>
      <w:pPr>
        <w:jc w:val="both"/>
        <w:ind w:left="-1120" w:firstLine="1304"/>
        <w:spacing w:after="0" w:line="233" w:lineRule="auto"/>
        <w:tabs>
          <w:tab w:leader="none" w:pos="483"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of Directors may reject any nomination by a stockholder not timely made in accordance with the requirements of this Article II, Section 4 and the requirements of state law or the federal securities laws, regulations and rules, including Rule 14a-19. The chair of the meeting shall, if the facts warrant, determine and declare to the meeting that a nomination was not in compliance with the procedures prescribed by these Bylaws or the federal securities laws, regulations and rules, including Rule 14a-19, and if such chair of the meeting should so determine, he or she shall so declare to the meeting and the defective nomination shall be disregarded, notwithstanding that proxies with respect to such nomination may have been received by the Corporation. Subject to Rule 14a-8; nothing in these Bylaws shall be construed to permit any stockholder, or give any stockholder the right to include or have disseminated or described in any proxy materials relating to the Corporation’s next annual meeting or special meeting, as applicable, any nomination of a director or directors.</w:t>
      </w:r>
    </w:p>
    <w:p>
      <w:pPr>
        <w:spacing w:after="0" w:line="206" w:lineRule="exact"/>
        <w:rPr>
          <w:rFonts w:ascii="Times New Roman" w:cs="Times New Roman" w:eastAsia="Times New Roman" w:hAnsi="Times New Roman"/>
          <w:sz w:val="22"/>
          <w:szCs w:val="22"/>
          <w:color w:val="auto"/>
        </w:rPr>
      </w:pPr>
    </w:p>
    <w:p>
      <w:pPr>
        <w:jc w:val="both"/>
        <w:ind w:left="-1120" w:firstLine="1304"/>
        <w:spacing w:after="0" w:line="232" w:lineRule="auto"/>
        <w:tabs>
          <w:tab w:leader="none" w:pos="459"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Only such persons who are nominated in accordance with the procedures set forth in this Section 4 (annual meetings) and Section 6 (special meetings) shall be eligible to serve as Directors and only such business shall be conducted at a meeting of stockholders as shall have been brought before the meeting in accordance with the procedures set forth in this Section 4 (annual meetings) and Section 6 (special meetings). Except as otherwise provided by law, the certificate of incorporation or these Bylaws, the Board of Directors or the chair of the meeting shall have the power and duty to determine whether a nomination or any business proposed to be brought before the meeting was made or proposed, as the case may be, in accordance with the procedures set forth in this Section 4 (annual meetings) and Section 6 (special meetings), and, if the Board of Directors or the chair of the meeting determines that any proposed nomination or business is not in compliance herewith, to declare that such defective proposal or nomination shall be disregarded, notwithstanding that proxies with respect to such proposed nomination or business may have been received by the Corporation.</w:t>
      </w:r>
    </w:p>
    <w:p>
      <w:pPr>
        <w:spacing w:after="0" w:line="214" w:lineRule="exact"/>
        <w:rPr>
          <w:rFonts w:ascii="Times New Roman" w:cs="Times New Roman" w:eastAsia="Times New Roman" w:hAnsi="Times New Roman"/>
          <w:sz w:val="22"/>
          <w:szCs w:val="22"/>
          <w:color w:val="auto"/>
        </w:rPr>
      </w:pPr>
    </w:p>
    <w:p>
      <w:pPr>
        <w:ind w:left="-1120" w:firstLine="1304"/>
        <w:spacing w:after="0" w:line="258" w:lineRule="auto"/>
        <w:tabs>
          <w:tab w:leader="none" w:pos="495"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Section 4 and Section 6, the terms “Affiliate” and “Associate” shall have the respective meanings set forth in Rule 12b-2 under the Exchange Act.</w:t>
      </w:r>
    </w:p>
    <w:p>
      <w:pPr>
        <w:sectPr>
          <w:pgSz w:w="11900" w:h="16838" w:orient="portrait"/>
          <w:cols w:equalWidth="0" w:num="1">
            <w:col w:w="10120"/>
          </w:cols>
          <w:pgMar w:left="1440" w:top="1408" w:right="339" w:bottom="1440" w:gutter="0" w:footer="0" w:header="0"/>
        </w:sectPr>
      </w:pPr>
    </w:p>
    <w:bookmarkStart w:id="41" w:name="page42"/>
    <w:bookmarkEnd w:id="41"/>
    <w:p>
      <w:pPr>
        <w:jc w:val="both"/>
        <w:ind w:left="-8" w:firstLine="1304"/>
        <w:spacing w:after="0" w:line="261" w:lineRule="auto"/>
        <w:tabs>
          <w:tab w:leader="none" w:pos="1594" w:val="left"/>
        </w:tabs>
        <w:numPr>
          <w:ilvl w:val="1"/>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this Section 4 and Section 6, the term “public announcement” shall mean disclosure in a press release reported by a national news service or in a document publicly filed by the Corporation with the Securities and Exchange Commission pursuant to Section 13, 14 or 15(d) of the Exchange Act and the rules and regulations promulgated thereunder.</w:t>
      </w:r>
    </w:p>
    <w:p>
      <w:pPr>
        <w:spacing w:after="0" w:line="184" w:lineRule="exact"/>
        <w:rPr>
          <w:rFonts w:ascii="Times New Roman" w:cs="Times New Roman" w:eastAsia="Times New Roman" w:hAnsi="Times New Roman"/>
          <w:sz w:val="21"/>
          <w:szCs w:val="21"/>
          <w:color w:val="auto"/>
        </w:rPr>
      </w:pPr>
    </w:p>
    <w:p>
      <w:pPr>
        <w:jc w:val="both"/>
        <w:ind w:left="-8" w:firstLine="1304"/>
        <w:spacing w:after="0" w:line="242" w:lineRule="auto"/>
        <w:tabs>
          <w:tab w:leader="none" w:pos="1559" w:val="left"/>
        </w:tabs>
        <w:numPr>
          <w:ilvl w:val="1"/>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this Section 4 and Section 6, the term “Stockholder Associated Person” of any stockholder shall mean (i) any beneficial owner of shares of stock of the Corporation owned of record or beneficially by such stockholder (other than a stockholder that is an Exempt Party), (ii) any person or entity who is a member of a group (as such term is used in Rule 13d-5 under the Exchange Act) with such stockholder or such beneficial owner with respect to acquiring, holding, voting or disposing of any securities of the Corporation, (iii) any Affiliate or Associate of such stockholder (other than a stockholder that is an Exempt Party), any participant (as defined in Instruction 3 to Item 4 of Schedule 14A under the Exchange Act) with such stockholder or such beneficial owner with respect to any proposed business or nomination, as applicable, under these Bylaws and</w:t>
      </w:r>
    </w:p>
    <w:p>
      <w:pPr>
        <w:spacing w:after="0" w:line="7" w:lineRule="exact"/>
        <w:rPr>
          <w:rFonts w:ascii="Times New Roman" w:cs="Times New Roman" w:eastAsia="Times New Roman" w:hAnsi="Times New Roman"/>
          <w:sz w:val="21"/>
          <w:szCs w:val="21"/>
          <w:color w:val="auto"/>
        </w:rPr>
      </w:pPr>
    </w:p>
    <w:p>
      <w:pPr>
        <w:ind w:left="372" w:hanging="372"/>
        <w:spacing w:after="0"/>
        <w:tabs>
          <w:tab w:leader="none" w:pos="372"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proposed nominee included in such stockholder’s notice.</w:t>
      </w:r>
    </w:p>
    <w:p>
      <w:pPr>
        <w:spacing w:after="0" w:line="209" w:lineRule="exact"/>
        <w:rPr>
          <w:rFonts w:ascii="Times New Roman" w:cs="Times New Roman" w:eastAsia="Times New Roman" w:hAnsi="Times New Roman"/>
          <w:sz w:val="22"/>
          <w:szCs w:val="22"/>
          <w:color w:val="auto"/>
        </w:rPr>
      </w:pPr>
    </w:p>
    <w:p>
      <w:pPr>
        <w:jc w:val="both"/>
        <w:ind w:left="-8" w:firstLine="1304"/>
        <w:spacing w:after="0" w:line="236" w:lineRule="auto"/>
        <w:tabs>
          <w:tab w:leader="none" w:pos="1586"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these Bylaws, shares shall be treated as “beneficially owned” by a person if the person beneficially owns such shares, directly or indirectly, for purposes of Section 13(d) of the Exchange Act and Regulations 13D and 13G thereunder or has or shares pursuant to any agreement, arrangement or understanding (whether or not in writing): (i) the right to acquire such shares (whether such right is exercisable immediately or only after the passage of time or the fulfillment of a condition or both), (ii) the right to vote such shares, alone or in concert with others and/or (iii) investment power with respect to such shares, including the power to dispose of, or to direct the disposition of, such shares.</w:t>
      </w:r>
    </w:p>
    <w:p>
      <w:pPr>
        <w:spacing w:after="0" w:line="195" w:lineRule="exact"/>
        <w:rPr>
          <w:sz w:val="20"/>
          <w:szCs w:val="20"/>
          <w:color w:val="auto"/>
        </w:rPr>
      </w:pPr>
    </w:p>
    <w:p>
      <w:pPr>
        <w:jc w:val="both"/>
        <w:ind w:left="-8" w:firstLine="8"/>
        <w:spacing w:after="0" w:line="232" w:lineRule="auto"/>
        <w:tabs>
          <w:tab w:leader="none" w:pos="298"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to complying with the foregoing provisions of this Section 4 or Section 6, a stockholder shall also comply with all applicable requirements of state law and the Exchange Act and the rules and regulations thereunder with respect to the matters set forth herein. If information submitted pursuant to this Section 4 or Section 6 by any stockholder proposing a nominee for election as a Director or any proposal for other business at a meeting of stockholders shall be inaccurate in any material respect, such information may be deemed not to have been provided in accordance with these Bylaws. Any such stockholder shall notify the Corporation of any material inaccuracy or change (within two business days of becoming aware of such inaccuracy or change) in any such information, and any such notification shall clearly identify the inaccuracy or change, it being understood that no such notification may cure any deficiencies or inaccuracies with respect to any prior submission by such stockholder. Upon written request by the Secretary or the Board of Directors (or a duly authorized committee thereof), any such stockholder shall provide, within five business days of delivery of such request (or such other period as may reasonably be specified in such request), written verification, reasonably satisfactory, in the discretion of the Board of Directors or any authorized officer of the Corporation, to demonstrate the accuracy of any information submitted by the stockholder pursuant to this Section 4 or Section 6. A stockholder shall update such stockholder’s notice provided under the foregoing provisions of this Section 4, if necessary, such that the information provided or required to be provided in such notice shall be true and correct in all material respects as of (i) the record date for determining the stockholders entitled to receive notice of the meeting and (ii) the date that is ten (10) business days prior to the meeting (or any postponement,</w:t>
      </w:r>
    </w:p>
    <w:p>
      <w:pPr>
        <w:sectPr>
          <w:pgSz w:w="11900" w:h="16838" w:orient="portrait"/>
          <w:cols w:equalWidth="0" w:num="1">
            <w:col w:w="11232"/>
          </w:cols>
          <w:pgMar w:left="328" w:top="1408" w:right="339" w:bottom="1440" w:gutter="0" w:footer="0" w:header="0"/>
        </w:sectPr>
      </w:pPr>
    </w:p>
    <w:bookmarkStart w:id="42" w:name="page43"/>
    <w:bookmarkEnd w:id="42"/>
    <w:p>
      <w:pPr>
        <w:jc w:val="both"/>
        <w:spacing w:after="0" w:line="231" w:lineRule="auto"/>
        <w:rPr>
          <w:sz w:val="20"/>
          <w:szCs w:val="20"/>
          <w:color w:val="auto"/>
        </w:rPr>
      </w:pPr>
      <w:r>
        <w:rPr>
          <w:rFonts w:ascii="Times New Roman" w:cs="Times New Roman" w:eastAsia="Times New Roman" w:hAnsi="Times New Roman"/>
          <w:sz w:val="22"/>
          <w:szCs w:val="22"/>
          <w:color w:val="auto"/>
        </w:rPr>
        <w:t>rescheduling or adjournment thereof), and such update shall (A) be received by the Secretary at the principal executive offices of the Corporation (x) not later than the close of business five (5) business days after the record date for determining the stockholders entitled to receive notice of such meeting (in the case of an update required to be made under clause (i)) and (y) not later than the close of business seven (7) business days prior to the date of the meeting or, if practicable, any postponement, rescheduling or adjournment thereof (and, if not practicable, on the first practicable date prior to the date to which the meeting has been postponed, rescheduled or adjourned) (in the case of an update required to be made pursuant to clause (ii)), (B) be made only to the extent that information has changed since such stockholder’s prior submission and (C) clearly identify the information that has changed in any material respect since such stockholder’s prior submission. For the avoidance of doubt, any information provided pursuant to this Section 4(k) shall not be deemed to cure any deficiencies or inaccuracies in a notice previously delivered pursuant to this Section 4 and shall not extend the time period for the delivery of notice pursuant to this Section 4. If a stockholder fails to provide any notification of material inaccuracy or change, requested written verification or update in accordance with the foregoing provisions of this Section 4(k), the information as to which such written update relates may be deemed not to have been provided in accordance with this Section 4. Nothing in this Section 4 or Section 6 shall be deemed to affect any rights of stockholders to request inclusion of proposals in the Corporation’s proxy statement pursuant to Rule 14a-8 under the Exchange Act. In order to include information with respect to a stockholder proposal in the proxy statement for a meeting of stockholders, stockholders must provide notice as required by Rule 14a-8 under the Exchange Act and otherwise satisfy its requirements.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Stock Ledger</w:t>
      </w:r>
    </w:p>
    <w:p>
      <w:pPr>
        <w:spacing w:after="0" w:line="23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Section 5. The officer who has charge of the stock ledger of the Corporation shall prepare and make, at least ten (10) days before every meeting of stockholders, a complete list of the stockholders entitled to vote at the meeting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if the record date for determining the stockholders entitled to vote is less than ten (10) days before the date of the meeting, the list shall reflect the stockholders entitled to vote as of the tenth (10</w:t>
      </w:r>
      <w:r>
        <w:rPr>
          <w:rFonts w:ascii="Times New Roman" w:cs="Times New Roman" w:eastAsia="Times New Roman" w:hAnsi="Times New Roman"/>
          <w:sz w:val="13"/>
          <w:szCs w:val="13"/>
          <w:color w:val="auto"/>
        </w:rPr>
        <w:t>th</w:t>
      </w:r>
      <w:r>
        <w:rPr>
          <w:rFonts w:ascii="Times New Roman" w:cs="Times New Roman" w:eastAsia="Times New Roman" w:hAnsi="Times New Roman"/>
          <w:sz w:val="20"/>
          <w:szCs w:val="20"/>
          <w:color w:val="auto"/>
        </w:rPr>
        <w:t xml:space="preserve">) day before the meeting date), arranged in alphabetical order, and showing the address of each stockholder and the number of shares registered in the name of each stockholder. Nothing in this Article II, Section 5 shall require the Corporation to include electronic mail addresses or other electronic contact information on such list. Such list shall be open to the examination of any stockholder, for any purpose germane to the meeting for a period of at ten (10) days ending on the day before the meeting date, either (a) on a reasonably accessible electronic network,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information required to gain access to the list is provided with the notice of the meeting, or (b) during ordinary business hours, at the principal place of business of the Corporation. In the event the Corporation determines to make the list available on an electronic network, the Corporation may take reasonable steps to ensure that such information is available only to stockholders of the Corporation. Except as otherwise provided by law, the stock ledger shall be the only evidence as to who are the stockholders entitled to examine the list of stockholders required by this Article II, Section 5 or to vote in person or by proxy at any meeting of the stockholders. Notwithstanding the foregoing, the Corporation may maintain and authorize examination of the list of stockholders in any manner expressly permitted by the Delaware General Corporation Law at the time.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Special Meetings</w:t>
      </w:r>
    </w:p>
    <w:p>
      <w:pPr>
        <w:sectPr>
          <w:pgSz w:w="11900" w:h="16838" w:orient="portrait"/>
          <w:cols w:equalWidth="0" w:num="1">
            <w:col w:w="11240"/>
          </w:cols>
          <w:pgMar w:left="320" w:top="1408" w:right="339" w:bottom="1440" w:gutter="0" w:footer="0" w:header="0"/>
        </w:sectPr>
      </w:pPr>
    </w:p>
    <w:bookmarkStart w:id="43" w:name="page44"/>
    <w:bookmarkEnd w:id="43"/>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6.</w:t>
      </w:r>
    </w:p>
    <w:p>
      <w:pPr>
        <w:spacing w:after="0" w:line="233" w:lineRule="exact"/>
        <w:rPr>
          <w:sz w:val="20"/>
          <w:szCs w:val="20"/>
          <w:color w:val="auto"/>
        </w:rPr>
      </w:pPr>
    </w:p>
    <w:p>
      <w:pPr>
        <w:jc w:val="both"/>
        <w:ind w:firstLine="1304"/>
        <w:spacing w:after="0" w:line="238" w:lineRule="auto"/>
        <w:tabs>
          <w:tab w:leader="none" w:pos="159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Special meetings of the stockholders for any purpose may be called only by the Chair of the Board of Directors and shall be called within 10 days after receipt of the written request of the Board of Directors, pursuant to a resolution approved by a majority of the entire Board of Directors. The business permitted to be conducted at any special meeting of the stockholders is limited to the business brought before the meeting by the Chair of the Board of Directors or by the Secretary at the request of a majority of the entire Board of Directors.</w:t>
      </w:r>
    </w:p>
    <w:p>
      <w:pPr>
        <w:spacing w:after="0" w:line="190" w:lineRule="exact"/>
        <w:rPr>
          <w:rFonts w:ascii="Times New Roman" w:cs="Times New Roman" w:eastAsia="Times New Roman" w:hAnsi="Times New Roman"/>
          <w:sz w:val="22"/>
          <w:szCs w:val="22"/>
          <w:color w:val="auto"/>
        </w:rPr>
      </w:pPr>
    </w:p>
    <w:p>
      <w:pPr>
        <w:jc w:val="both"/>
        <w:ind w:firstLine="1304"/>
        <w:spacing w:after="0" w:line="244" w:lineRule="auto"/>
        <w:tabs>
          <w:tab w:leader="none" w:pos="1602"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Written notice of a special meeting stating the place, date and hour of the meeting, and the purpose or purposes for which the meeting is called, shall be given not less than ten (10) nor more than sixty (60) days before the date of the meeting, to each stockholder entitled to vote at such meeting.</w:t>
      </w:r>
    </w:p>
    <w:p>
      <w:pPr>
        <w:spacing w:after="0" w:line="200" w:lineRule="exact"/>
        <w:rPr>
          <w:rFonts w:ascii="Times New Roman" w:cs="Times New Roman" w:eastAsia="Times New Roman" w:hAnsi="Times New Roman"/>
          <w:sz w:val="22"/>
          <w:szCs w:val="22"/>
          <w:color w:val="auto"/>
        </w:rPr>
      </w:pPr>
    </w:p>
    <w:p>
      <w:pPr>
        <w:jc w:val="both"/>
        <w:ind w:firstLine="1304"/>
        <w:spacing w:after="0" w:line="232" w:lineRule="auto"/>
        <w:tabs>
          <w:tab w:leader="none" w:pos="1644"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Nominations of persons for election to the Board of Directors may be made at a special meeting of stockholders at which Directors are to be elected pursuant to the Corporation’s notice of such meeting (i) by or at the direction of the Board of Directors or (ii) provided that the Board of Directors has determined that Directors shall be elected at such meeting, by any stockholder of the Corporation who is a stockholder of record at the time of giving of notice of the special meeting through the time of the special meeting, who shall be entitled to vote at the meeting, who attends such meeting in person or by proxy to present such nomination, and who complies with the notice procedures set forth in this Section 6(c) and Section 4. In the event the Corporation calls a special meeting of stockholders for the purpose of electing one or more Directors to the Board of Directors, any such stockholder may nominate a person or persons (as the case may be), for election to such position(s) as specified in the Corporation’s notice of meeting, if (1) the stockholder’s notice required by Section 4(b) shall be delivered to the Secretary of the Corporation at the principal executive offices of the Corporation not later than the close of business on the 10th day following the date of the first public announcement of the date of the special meeting and (2) the stockholder has complied in all respects with the provisions of Article II, Section 4 regarding the nominations of persons to the Corporation’s Board of Directors.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Quorum</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7.</w:t>
      </w:r>
    </w:p>
    <w:p>
      <w:pPr>
        <w:spacing w:after="0" w:line="233" w:lineRule="exact"/>
        <w:rPr>
          <w:sz w:val="20"/>
          <w:szCs w:val="20"/>
          <w:color w:val="auto"/>
        </w:rPr>
      </w:pPr>
    </w:p>
    <w:p>
      <w:pPr>
        <w:jc w:val="both"/>
        <w:ind w:firstLine="1304"/>
        <w:spacing w:after="0" w:line="234" w:lineRule="auto"/>
        <w:tabs>
          <w:tab w:leader="none" w:pos="159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holders of a majority of the issued and outstanding Voting Stock (as defined below), present in person or represented by proxy, shall constitute a quorum at all meetings of the stockholders for the transaction of business except as otherwise provided by statute or by the certificate of incorporation. If, however, such quorum shall not be present or represented at any meeting of the stockholders, either the chair of the meeting or the stockholders entitled to vote thereat, present in person or represented by proxy, shall have power to adjourn the meeting from time to time, without notice other than announcement at the meeting, until a quorum shall be present or represented.</w:t>
      </w:r>
    </w:p>
    <w:p>
      <w:pPr>
        <w:spacing w:after="0" w:line="207" w:lineRule="exact"/>
        <w:rPr>
          <w:rFonts w:ascii="Times New Roman" w:cs="Times New Roman" w:eastAsia="Times New Roman" w:hAnsi="Times New Roman"/>
          <w:sz w:val="22"/>
          <w:szCs w:val="22"/>
          <w:color w:val="auto"/>
        </w:rPr>
      </w:pPr>
    </w:p>
    <w:p>
      <w:pPr>
        <w:ind w:firstLine="1304"/>
        <w:spacing w:after="0" w:line="258" w:lineRule="auto"/>
        <w:tabs>
          <w:tab w:leader="none" w:pos="1629"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purpose of these Bylaws, “Voting Stock” shall mean the shares of capital stock of the Corporation entitled to vote generally in the election of Directors. In any vote</w:t>
      </w:r>
    </w:p>
    <w:p>
      <w:pPr>
        <w:sectPr>
          <w:pgSz w:w="11900" w:h="16838" w:orient="portrait"/>
          <w:cols w:equalWidth="0" w:num="1">
            <w:col w:w="11240"/>
          </w:cols>
          <w:pgMar w:left="320" w:top="1440" w:right="339" w:bottom="1440" w:gutter="0" w:footer="0" w:header="0"/>
        </w:sectPr>
      </w:pPr>
    </w:p>
    <w:bookmarkStart w:id="44" w:name="page45"/>
    <w:bookmarkEnd w:id="44"/>
    <w:p>
      <w:pPr>
        <w:jc w:val="both"/>
        <w:spacing w:after="0" w:line="258" w:lineRule="auto"/>
        <w:rPr>
          <w:sz w:val="20"/>
          <w:szCs w:val="20"/>
          <w:color w:val="auto"/>
        </w:rPr>
      </w:pPr>
      <w:r>
        <w:rPr>
          <w:rFonts w:ascii="Times New Roman" w:cs="Times New Roman" w:eastAsia="Times New Roman" w:hAnsi="Times New Roman"/>
          <w:sz w:val="22"/>
          <w:szCs w:val="22"/>
          <w:color w:val="auto"/>
        </w:rPr>
        <w:t>required by or provided for in these Bylaws, each share of Voting Stock shall have the number of votes granted to it generally in the election of Directors.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Adjournment</w:t>
      </w:r>
    </w:p>
    <w:p>
      <w:pPr>
        <w:spacing w:after="0" w:line="237"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Section 8. Any stockholders’ meeting may be adjourned from time to time (including an adjournment to address a technical failure to convene or continue a meeting using remote communication) by (a) the vote of the holders of a majority of the voting shares present at the meeting either in person or by proxy, or (b) the chair of the meeting. When a meeting is adjourned to another time or place, notice need not be given of the adjourned meeting if the time, date and place thereof are (i) announced at the meeting at which the adjournment is taken, (ii) displayed, during the time scheduled for the meeting, on the same electronic network used to enable stockholders and proxy holders to participate in the meeting by means of remote communication, or (iii) set forth in the notice of meeting given in accordance with Section 222(a) of the Delaware General Corporation Law. At such adjourned meeting the Corporation may transact any business which might have been transacted at the original meeting. If the adjournment is for more than thirty (30) days, or if after the adjournment a new record date is fixed for the adjourned meeting, a notice of the adjourned meeting shall be given to each stockholder of record entitled to vote at the meeting. The chair of the meeting shall have the power to adjourn or recess any annual or special meeting of the stockholders, at any time and for any reason, whether or not there is a quorum, without notice other than announcement at the meeting.</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Vote Required</w:t>
      </w:r>
    </w:p>
    <w:p>
      <w:pPr>
        <w:spacing w:after="0" w:line="23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Section 9. When a quorum is present at any meeting, the vote of the holders of a majority of the issued and outstanding Voting Stock present in person or represented by proxy shall decide any question brought before such meeting, except as provided to the contrary by statute, the Corporation’s certificate of incorporation or these Bylaws.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One Vote Per Share</w:t>
      </w:r>
    </w:p>
    <w:p>
      <w:pPr>
        <w:spacing w:after="0" w:line="23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Section 10. Each stockholder shall at every meeting of the stockholders be entitled to one vote in person or by proxy for each share of the capital stock having voting power held by such stockholder, but no proxy shall be voted on after three years from its date, unless the proxy provides for a longer period.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 Written Consent in Lieu of Meeting</w:t>
      </w:r>
    </w:p>
    <w:p>
      <w:pPr>
        <w:spacing w:after="0" w:line="23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Section 11. Any action required or permitted to be taken by the stockholders of the Corporation must be effected at a duly called annual or special meeting of stockholders of the Corporation and may not be effected by any consent in writing of such stockholders.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Presiding Officer</w:t>
      </w:r>
    </w:p>
    <w:p>
      <w:pPr>
        <w:spacing w:after="0" w:line="23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Section 12. At each meeting of stockholders, the Chair of the Board of Directors shall preside as “chair of the meeting,” unless unavailable, in which case the chief executive officer of the Corporation shall preside as so preside, unless unavailable, in which case a Director or officer</w:t>
      </w:r>
    </w:p>
    <w:p>
      <w:pPr>
        <w:sectPr>
          <w:pgSz w:w="11900" w:h="16838" w:orient="portrait"/>
          <w:cols w:equalWidth="0" w:num="1">
            <w:col w:w="11240"/>
          </w:cols>
          <w:pgMar w:left="320" w:top="1408" w:right="339" w:bottom="1440" w:gutter="0" w:footer="0" w:header="0"/>
        </w:sectPr>
      </w:pPr>
    </w:p>
    <w:bookmarkStart w:id="45" w:name="page46"/>
    <w:bookmarkEnd w:id="45"/>
    <w:p>
      <w:pPr>
        <w:jc w:val="both"/>
        <w:spacing w:after="0" w:line="282" w:lineRule="auto"/>
        <w:rPr>
          <w:sz w:val="20"/>
          <w:szCs w:val="20"/>
          <w:color w:val="auto"/>
        </w:rPr>
      </w:pPr>
      <w:r>
        <w:rPr>
          <w:rFonts w:ascii="Times New Roman" w:cs="Times New Roman" w:eastAsia="Times New Roman" w:hAnsi="Times New Roman"/>
          <w:sz w:val="21"/>
          <w:szCs w:val="21"/>
          <w:color w:val="auto"/>
        </w:rPr>
        <w:t>designated by the Board of Directors shall so preside. The Secretary shall keep records, and in the absence of either such officer, his duty shall be performed by a Director or officer appointed at the meeting of stockholders by the chair of the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Rules of Conduct at Meetings of Stockholders</w:t>
      </w:r>
    </w:p>
    <w:p>
      <w:pPr>
        <w:spacing w:after="0" w:line="237"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1"/>
          <w:szCs w:val="21"/>
          <w:color w:val="auto"/>
        </w:rPr>
        <w:t>Section 13. The Board of Directors shall be entitled to make such rules and regulations for the conduct of meetings of the stockholders as it shall deem necessary, appropriate or convenient. Except to the extent inconsistent with such rules and regulations, if any, as adopted by the Board of Directors, the chair of any meeting of stockholders shall have the right and authority to prescribe such rules and procedures and to do all such acts as, in the judgment of such chair of the meeting, are necessary, appropriate or convenient for the proper conduct of the meeting. Such rules or procedures, whether adopted by the Board of Directors or prescribed by the chair of the meeting, may include the following: (a) determination of the order of business and the procedures for the meeting; (b) regulation of the time and manner of voting, including the determination of when the polls shall open and close for any given matter to be voted on at the meeting; (c) rules and procedures for maintaining order at the meeting and the safety of those present; (d) limitations on participation in such meeting to stockholders of record and their duly appointed proxies and such other persons as the chair of the meeting shall permit; (e) restrictions on entry to the meeting after the time fixed for the commencement of the meeting; (f) limitations on the time allotted to questions or comments by participants; (g) removal of any stockholder or any other individual who refuses to comply with meeting rules or procedures;</w:t>
      </w:r>
    </w:p>
    <w:p>
      <w:pPr>
        <w:spacing w:after="0" w:line="5" w:lineRule="exact"/>
        <w:rPr>
          <w:sz w:val="20"/>
          <w:szCs w:val="20"/>
          <w:color w:val="auto"/>
        </w:rPr>
      </w:pPr>
    </w:p>
    <w:p>
      <w:pPr>
        <w:jc w:val="both"/>
        <w:ind w:firstLine="8"/>
        <w:spacing w:after="0" w:line="230" w:lineRule="auto"/>
        <w:tabs>
          <w:tab w:leader="none" w:pos="319"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restrictions on the use of audio or video recording devices, cell phones and other electronic devices; (i) rules, regulations or procedures for compliance with any state or local laws or regulations including those concerning safety, health and security; (j) procedures (if any) requiring attendees to provide the Corporation advance notice of their intent to attend the meeting and (k) any rules, regulations or procedures as the chairperson may deem appropriate regarding the participation by means of remote communication of stockholders and proxyholders not physically present at a meeting, whether such meeting is to be held at a designated place or solely by means of remote communication. The Board of Directors or the chair of a stockholder meeting, in addition to making any other determinations that may be appropriate regarding the conduct of the meeting, shall determine and declare to the meeting that a matter of business was not properly brought before the meeting, and, if the chair of the meeting (or the Board of Directors) should so determine, the chair of the meeting (or the Board of Directors) shall so declare to the meeting and any such matter of business not properly brought before the meeting shall not be transacted or considered.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DIRECTORS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Number, Classification, Removal</w:t>
      </w:r>
    </w:p>
    <w:p>
      <w:pPr>
        <w:spacing w:after="0" w:line="237"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Section 1. The number of Directors shall be fixed from time to time by the Board of Directors, but shall not be less than 3 nor more than 15 persons. The Directors shall be elected at the annual meeting of the stockholders in accordance with the provisions of Section 4 of Article II, and each Director elected shall hold office until his successor is elected and qualified. Directors need not be stockholders. No person shall be eligible for election or appointment as a</w:t>
      </w:r>
    </w:p>
    <w:p>
      <w:pPr>
        <w:sectPr>
          <w:pgSz w:w="11900" w:h="16838" w:orient="portrait"/>
          <w:cols w:equalWidth="0" w:num="1">
            <w:col w:w="11240"/>
          </w:cols>
          <w:pgMar w:left="320" w:top="1408" w:right="339" w:bottom="1440" w:gutter="0" w:footer="0" w:header="0"/>
        </w:sectPr>
      </w:pPr>
    </w:p>
    <w:bookmarkStart w:id="46" w:name="page47"/>
    <w:bookmarkEnd w:id="46"/>
    <w:p>
      <w:pPr>
        <w:jc w:val="both"/>
        <w:spacing w:after="0" w:line="239" w:lineRule="auto"/>
        <w:rPr>
          <w:sz w:val="20"/>
          <w:szCs w:val="20"/>
          <w:color w:val="auto"/>
        </w:rPr>
      </w:pPr>
      <w:r>
        <w:rPr>
          <w:rFonts w:ascii="Times New Roman" w:cs="Times New Roman" w:eastAsia="Times New Roman" w:hAnsi="Times New Roman"/>
          <w:sz w:val="22"/>
          <w:szCs w:val="22"/>
          <w:color w:val="auto"/>
        </w:rPr>
        <w:t>director unless such person has, within ten (10) days following any reasonable request therefor from the Board of Directors or any committee thereof, made himself or herself available to be interviewed by the Board of Directors (or any committee or other subset thereof) with respect to such person’s qualifications to serve as a director or any other matter reasonably related to such person’s candidacy as a director of the Corporation.</w:t>
      </w:r>
    </w:p>
    <w:p>
      <w:pPr>
        <w:spacing w:after="0" w:line="207"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Section 2. Subject to the rights of the holders of any class or series of stock having a preference over the Common Stock as to dividends or upon liquidation to elect additional Directors under specified circumstances, newly created directorships resulting from any increase in the number of Directors and any vacancy on the Board of Directors resulting from death, resignation, disqualification, removal or other cause shall be filled solely by the affirmative vote of a majority of the remaining Directors then in office, even though less than a quorum of the Board of Directors, or by a sole remaining Director. Any Director elected in accordance with the preceding sentence shall hold office for the remainder of the full term of the class of Directors in which the new directorship was created or the vacancy occurred and until such Director’s successor shall have been elected and qualified. No decrease in the number of Directors constituting the Board of Directors shall shorten the term of an incumbent Director. The number of directors that constitutes the entire Board of Directors shall be automatically reduced, without any further action by the Board of Directors, to eliminate any vacancy on the Board of Directors (other than a vacancy resulting from an increase in the number of Directors) immediately upon the occurrence of such vacancy, but not to fewer directors than required by the Delaware General Corporation Law, the certificate of incorporation or these Bylaws.</w:t>
      </w:r>
    </w:p>
    <w:p>
      <w:pPr>
        <w:spacing w:after="0" w:line="211"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Section 3. Subject to the rights of the holders of any class or series of stock having preference over the Common Stock as to dividends or upon liquidation to elect additional Directors under specified circumstances, any Director may be removed from office with or without cause by the stockholders in the manner provided in this Section 3. At any annual meeting of the stockholders of the Corporation or at any special meeting of the stockholders of the Corporation, the notice of which shall state that the removal of a Director or Directors is among the purposes of the meeting, the affirmative vote of the holders of a majority of the combined voting power of the outstanding shares of Voting Stock, voting together as a single class, may remove such Director or Directors.</w:t>
      </w:r>
    </w:p>
    <w:p>
      <w:pPr>
        <w:spacing w:after="0" w:line="204"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Section 4. The business of the Corporation shall be managed by its Board of Directors, which may exercise all such powers of the Corporation and do all such lawful acts and things as are not by statute or by the certificate of incorporation or by these Bylaws directed or required to be exercised or done by the stockholders.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Meetings of the Board of Directors</w:t>
      </w:r>
    </w:p>
    <w:p>
      <w:pPr>
        <w:spacing w:after="0" w:line="22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Section 5. The Board of Directors of the Corporation may hold meetings, both regular and special, either within or without the State of Delaware.</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Section 6. Meetings of the Board of Directors may be held at such time and place as shall be specified in a notice given in the manner hereinafter provided, or as shall be specified in a written waiver signed by all of the Directors.</w:t>
      </w:r>
    </w:p>
    <w:p>
      <w:pPr>
        <w:sectPr>
          <w:pgSz w:w="11900" w:h="16838" w:orient="portrait"/>
          <w:cols w:equalWidth="0" w:num="1">
            <w:col w:w="11240"/>
          </w:cols>
          <w:pgMar w:left="320" w:top="1408" w:right="339" w:bottom="1440" w:gutter="0" w:footer="0" w:header="0"/>
        </w:sectPr>
      </w:pPr>
    </w:p>
    <w:bookmarkStart w:id="47" w:name="page48"/>
    <w:bookmarkEnd w:id="47"/>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Section 7. Regular meetings of the Board of Directors may be held without notice at such time and at such place as shall from time to time be determined by the Board of Directors.</w:t>
      </w:r>
    </w:p>
    <w:p>
      <w:pPr>
        <w:spacing w:after="0" w:line="185"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Section 8. Special meetings of the Board of Directors may be called by the Chair of the Board of Directors, the chief executive officer of the Corporation or by two or more of the Directors. Notice of the time and place, if any, of all special meetings of the Board of Directors shall made be orally or in writing, including a voice messaging system or other system or technology designed to record and communicate messages, or by electronic mail or other electronic means, during normal business hours, at least 24 hours before the date and time of the meeting, or on such shorter notice as the person or persons calling such meeting may deem necessary or appropriate in under the circumstances.</w:t>
      </w:r>
    </w:p>
    <w:p>
      <w:pPr>
        <w:spacing w:after="0" w:line="208"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Section 9. Except as provided in these Bylaws to the contrary, at all meetings of the Board of Directors a majority of the total number of Directors shall constitute a quorum for the transaction of business and the vote of a majority of the Directors entitled to vote and present at a meeting at which a quorum is present shall be the act of the Board of Directors, unless the certificate of incorporation shall require a vote of a greater number. If a quorum shall not be present at any meeting of the Board of Directors, the Directors present thereat may adjourn the meeting from time to time, without notice other than announcement at the meeting, until a quorum shall be present.</w:t>
      </w:r>
    </w:p>
    <w:p>
      <w:pPr>
        <w:spacing w:after="0" w:line="208"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Section 10. Unless otherwise restricted by the certificate of incorporation or these Bylaws, any action required or permitted to be taken at any meeting of the Board of Directors or of any committee thereof may be taken without a meeting, if all members of the Board of Directors or committee, as the case may be, consent thereto in writing, and the writing or writings are filed with the minutes of proceedings of the Board of Directors or committee.</w:t>
      </w:r>
    </w:p>
    <w:p>
      <w:pPr>
        <w:spacing w:after="0" w:line="206"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Section 11. At all meetings of the Board of Directors, business shall be transacted in such order as from time to time the Board of Directors may determine.</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At all meetings of the Board of Directors, the Chair of the Board of Directors shall preside, and in his absence a person shall be chosen by the Board of Directors from among the Directors present to act as chair of the meeting.</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The Secretary of the Corporation shall act as Secretary of the meeting of the Board of Directors, but in the absence of the Secretary, the presiding officer may appoint any person to act as Secretary of the meeting.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Committees of Directors</w:t>
      </w:r>
    </w:p>
    <w:p>
      <w:pPr>
        <w:spacing w:after="0" w:line="237"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Section 12. The Board of Directors may, by resolution passed by a majority of the whole Board of Directors, designate one or more committees, each committee to consist of one (1) or more of the Directors of the Corporation. The Board of Directors may designate one (1) or more Directors as alternate members of any committee, who may replace any absent or disqualified member at any meeting of the committee. In the absence of disqualification of a member of a committee, the member or members thereof present at any meeting and not disqualified from voting, whether or not he or they constitute a quorum, may unanimously appoint another member of the Board of Directors to act at the meeting in the place of any such absent or disqualified</w:t>
      </w:r>
    </w:p>
    <w:p>
      <w:pPr>
        <w:sectPr>
          <w:pgSz w:w="11900" w:h="16838" w:orient="portrait"/>
          <w:cols w:equalWidth="0" w:num="1">
            <w:col w:w="11240"/>
          </w:cols>
          <w:pgMar w:left="320" w:top="1408" w:right="339" w:bottom="1440" w:gutter="0" w:footer="0" w:header="0"/>
        </w:sectPr>
      </w:pPr>
    </w:p>
    <w:bookmarkStart w:id="48" w:name="page49"/>
    <w:bookmarkEnd w:id="48"/>
    <w:p>
      <w:pPr>
        <w:jc w:val="both"/>
        <w:spacing w:after="0" w:line="232" w:lineRule="auto"/>
        <w:rPr>
          <w:sz w:val="20"/>
          <w:szCs w:val="20"/>
          <w:color w:val="auto"/>
        </w:rPr>
      </w:pPr>
      <w:r>
        <w:rPr>
          <w:rFonts w:ascii="Times New Roman" w:cs="Times New Roman" w:eastAsia="Times New Roman" w:hAnsi="Times New Roman"/>
          <w:sz w:val="22"/>
          <w:szCs w:val="22"/>
          <w:color w:val="auto"/>
        </w:rPr>
        <w:t>member. Any such committee,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amending the certificate of incorporation (except pursuant to a resolution relating to the issuance of capital stock pursuant to Section 151 of Title 8 of the Delaware General Corporation Law); adopting an agreement of merger or consolidation; recommending to the stockholders the sale, lease or exchange of all or substantially all of the Corporation’s property and assets; recommending to the stockholders the dissolution of the Corporation or a revocation of a dissolution; or amending these Bylaws and, unless the resolution or certificate of incorporation expressly so provides, no such committee shall have the power or authority to declare a dividend or to authorize the issuance of stock. Such committee or committees shall have such members as may be determined from time to time by resolution adopted by the Board of Directors.</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13. Each committee shall keep regular minutes of its meetings and report the same to the Board of Directors.</w:t>
      </w:r>
    </w:p>
    <w:p>
      <w:pPr>
        <w:spacing w:after="0" w:line="22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Compensation of Directors</w:t>
      </w:r>
      <w:r>
        <w:rPr>
          <w:rFonts w:ascii="Times New Roman" w:cs="Times New Roman" w:eastAsia="Times New Roman" w:hAnsi="Times New Roman"/>
          <w:sz w:val="22"/>
          <w:szCs w:val="22"/>
          <w:color w:val="auto"/>
        </w:rPr>
        <w:t>Section 14. The Directors may be paid their expenses, if any, of attendance at each meeting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Board of Directors and may be paid a fixed sum for attendance at each meeting of the Board of Directors or a stated salary as Director. No such payment shall preclude any Director from serving the Corporation in any other capacity and receiving compensation therefor. Members of special or standing committees may be allowed like compensation for attending committee meetings.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NOTICES</w:t>
      </w:r>
    </w:p>
    <w:p>
      <w:pPr>
        <w:spacing w:after="0" w:line="23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Section 1. Whenever notice is required to be given to any Director or stockholder pursuant to a statutory provision or the certificate of incorporation or these Bylaws, it shall not be construed to mean personal notice, but such notice may be given in writing, by mail, addressed to such Director or stockholder, at his address as it appears on the records of the Corporation, with postage thereon prepaid, and such notice shall be deemed to be given at the time when the same shall be deposited in the United States mail. Notices to Directors may also be given by the means set forth in Article III, Section 8 of these Bylaws.</w:t>
      </w:r>
    </w:p>
    <w:p>
      <w:pPr>
        <w:spacing w:after="0" w:line="204"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Section 2. Whenever notice is required to be given pursuant to a statutory provision or the certificate of incorporation or these Bylaws, a waiver thereof in writing, signed by the person or persons entitled to said notice, whether before or after the time stated therein, shall be deemed equivalent thereto.</w:t>
      </w:r>
    </w:p>
    <w:p>
      <w:pPr>
        <w:spacing w:after="0" w:line="200" w:lineRule="exact"/>
        <w:rPr>
          <w:sz w:val="20"/>
          <w:szCs w:val="20"/>
          <w:color w:val="auto"/>
        </w:rPr>
      </w:pPr>
    </w:p>
    <w:p>
      <w:pPr>
        <w:spacing w:after="0" w:line="23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22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b w:val="1"/>
          <w:bCs w:val="1"/>
          <w:color w:val="auto"/>
        </w:rPr>
        <w:t>OFFICERS</w:t>
      </w:r>
    </w:p>
    <w:p>
      <w:pPr>
        <w:sectPr>
          <w:pgSz w:w="11900" w:h="16838" w:orient="portrait"/>
          <w:cols w:equalWidth="0" w:num="1">
            <w:col w:w="11240"/>
          </w:cols>
          <w:pgMar w:left="320" w:top="1408" w:right="339" w:bottom="1440" w:gutter="0" w:footer="0" w:header="0"/>
        </w:sectPr>
      </w:pPr>
    </w:p>
    <w:bookmarkStart w:id="49" w:name="page50"/>
    <w:bookmarkEnd w:id="49"/>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Section 1. The officers of the Corporation shall be chosen by the Board of Directors and shall be a chief executive officer, a president, a vice president, a secretary and a treasurer. The Board of Directors may also choose additional vice presidents and one or more assistant secretaries and assistant treasurers. Any number of offices may be held by the same person, unless the certificate of incorporation or these Bylaws otherwise provide.</w:t>
      </w:r>
    </w:p>
    <w:p>
      <w:pPr>
        <w:spacing w:after="0" w:line="20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Section 2. The Board of Directors may appoint such other officers and agents as it shall deem necessary who shall hold their offices for such terms and shall exercise such powers and perform such duties as shall be determined from time to time by the Board of Directors.</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3. The salaries of all officers of the Corporation shall be fixed by the Board of Directors.</w:t>
      </w:r>
    </w:p>
    <w:p>
      <w:pPr>
        <w:spacing w:after="0" w:line="23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Section 4. The officers of the Corporation shall hold office until their successors are chosen and qualify. Any officer elected or appointed by the Board of Directors may be removed at any time by the affirmative vote of a majority of the Board of Directors. Any vacancy occurring in any office of the Corporation shall be filled by the Board of Directors.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The Chief Executive Officer</w:t>
      </w:r>
    </w:p>
    <w:p>
      <w:pPr>
        <w:spacing w:after="0" w:line="237"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Section 5. The chief executive officer of the Corporation shall have general and active management of the business of the Corporation and shall see that all orders and resolutions of the Board of Directors are carried into effect. He shall execute bonds, mortgages and other contracts requiring a seal, under the seal of the Corporation, except where required or permitted by law to be otherwise signed and executed and except where the signing and execution thereof shall be expressly delegated by the Board of Directors to some other officer or agent of this Corporation. He shall perform such other duties and have such other powers as the Board of Directors may from time to time prescribe.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The President</w:t>
      </w:r>
    </w:p>
    <w:p>
      <w:pPr>
        <w:spacing w:after="0" w:line="23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Section 6. The president shall be responsible for the day-to-day operations of the Corporation and shall have the authority to execute all documents and instruments necessary to carry out such operations. He shall perform such other duties and have such other powers as the Board of Directors may from time to time prescribe.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The Vice Presidents</w:t>
      </w:r>
    </w:p>
    <w:p>
      <w:pPr>
        <w:spacing w:after="0" w:line="23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1"/>
          <w:szCs w:val="21"/>
          <w:color w:val="auto"/>
        </w:rPr>
        <w:t>Section 7. In the absence of the president or in the event of his inability or refusal to act, the Board of Directors shall be empowered to choose a vice president or vice presidents who shall perform the duties of the president, and, when so acting, such vice president or vice presidents shall have all the powers of and be subject to all the restrictions upon the president. Vice presidents shall perform such other duties and have such other powers as the Board of Directors may from time to time prescribe.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The Secretary and the Assistant Secretary</w:t>
      </w:r>
    </w:p>
    <w:p>
      <w:pPr>
        <w:sectPr>
          <w:pgSz w:w="11900" w:h="16838" w:orient="portrait"/>
          <w:cols w:equalWidth="0" w:num="1">
            <w:col w:w="11240"/>
          </w:cols>
          <w:pgMar w:left="320" w:top="1408" w:right="339" w:bottom="1440" w:gutter="0" w:footer="0" w:header="0"/>
        </w:sectPr>
      </w:pPr>
    </w:p>
    <w:bookmarkStart w:id="50" w:name="page51"/>
    <w:bookmarkEnd w:id="50"/>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Section 8. The Secretary shall attend all meetings of the Board of Directors and all meetings of the stockholders and record all the proceedings of the meetings to be kept for that purpose and shall perform like duties for the standing committees when required. He shall give, or cause to be given, notice of all meetings of the stockholders and special meetings of the Board of Directors, and shall perform such other duties as may be prescribed by the Board of Directors or president, under whose supervision he shall be. He shall have custody of the corporate seal of the Corporation and he, or an assistant secretary, shall have authority to affix the same to any instrument requiring it and when so affixed, it may be attested by his signature or by the signature of such assistant secretary. The Board of Directors may give general authority to any other officer to affix the seal of the Corporation and to attest the affixing thereof by his signature.</w:t>
      </w:r>
    </w:p>
    <w:p>
      <w:pPr>
        <w:spacing w:after="0" w:line="209"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Section 9. The assistant secretary (or if there be more than one, the assistant secretaries in the order determined by the Board of Directors, or, if there be no such determination, then in the order of their election) shall, in the absence of the Secretary or in the event of his inability or refusal to act, perform the duties and exercise the powers of the Secretary and shall perform such other duties and have such other powers as the Board of Directors may from time to time prescribe.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The Treasurer and Assistant Treasurer</w:t>
      </w:r>
    </w:p>
    <w:p>
      <w:pPr>
        <w:spacing w:after="0" w:line="23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1"/>
          <w:szCs w:val="21"/>
          <w:color w:val="auto"/>
        </w:rPr>
        <w:t>Section 10. The treasurer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 He shall disburse the funds of the Corporation as may be ordered by the Board of Directors, taking proper vouchers for such disbursements, and shall render to the president and the Board of Directors, at its regular meetings, or when the Board of Directors so requires, an account of all his transactions as treasurer and of the financial condition of the Corporation. If required by the Board of Directors, he shall give the Corporation a bond (which shall be renewed every six years) in such sum and with such surety or sureties as shall be satisfactory to the Board of Directors for the faithful performance of the duties of his office and for the restoration to the Corporation, in case of his death, resignation, retirement or removal from office, of all books, paper, vouchers, money and other property of whatever kind in his possession or under his control belonging to the Corporation.</w:t>
      </w:r>
    </w:p>
    <w:p>
      <w:pPr>
        <w:spacing w:after="0" w:line="204"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Section 11. The assistant treasurer (or, if there shall be more than one, the assistant treasurers in the order determined by the Board of Directors, or, if there be no such determination, then in the order of their election) shall, in the absence of the treasurer or in the event of his inability or refusal to act, perform the duties and exercise the powers of the treasurer and shall perform such other duties and have such other powers as the Board of Directors may from time to time prescribe.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CERTIFICATES OF STOCK</w:t>
      </w:r>
    </w:p>
    <w:p>
      <w:pPr>
        <w:spacing w:after="0" w:line="23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Section 1. The shares of the Corporation’s stock may be certificated or uncertificated, as provided under Delaware law, and shall be entered in the books of the Corporation and registered</w:t>
      </w:r>
    </w:p>
    <w:p>
      <w:pPr>
        <w:sectPr>
          <w:pgSz w:w="11900" w:h="16838" w:orient="portrait"/>
          <w:cols w:equalWidth="0" w:num="1">
            <w:col w:w="11240"/>
          </w:cols>
          <w:pgMar w:left="320" w:top="1408" w:right="339" w:bottom="1440" w:gutter="0" w:footer="0" w:header="0"/>
        </w:sectPr>
      </w:pPr>
    </w:p>
    <w:bookmarkStart w:id="51" w:name="page52"/>
    <w:bookmarkEnd w:id="51"/>
    <w:p>
      <w:pPr>
        <w:jc w:val="both"/>
        <w:spacing w:after="0" w:line="232" w:lineRule="auto"/>
        <w:rPr>
          <w:sz w:val="20"/>
          <w:szCs w:val="20"/>
          <w:color w:val="auto"/>
        </w:rPr>
      </w:pPr>
      <w:r>
        <w:rPr>
          <w:rFonts w:ascii="Times New Roman" w:cs="Times New Roman" w:eastAsia="Times New Roman" w:hAnsi="Times New Roman"/>
          <w:sz w:val="22"/>
          <w:szCs w:val="22"/>
          <w:color w:val="auto"/>
        </w:rPr>
        <w:t>as they are issued. Any certificates representing shares of stock shall be signed by, or in the name of the Corporation by, the president or a vice president and the treasurer or an assistant treasurer, or the Secretary or an assistant secretary of the Corporation, certifying the number and class of shares of stock of the Corporation owned by the holder thereof. If the Corporation shall be authorized to issue more than one class of stock or more than one series of any class, the designations, preferences and relative, participating, optional or other special rights of each class of stock or series thereof and the qualifications, limitations or restrictions of such preferences and/or rights shall be set forth in full or summarized on the face or back of the certificate which the Corporation shall issue to represent such class or series of stock, provided that, except as otherwise provided in Section 202 of the General Corporation Law of Delaware, in lieu of the foregoing requirements, there may be set forth on the face or back of the certificate which the Corporation shall issue to represent such class or series of stock, a statement that the Corporation will furnish without charge to each stockholder who so requests the designations, preferences and relative, participating, optional or other special rights of each class of stock or series thereof and the qualifications, limitations or restrictions of such preferences and/or rights.</w:t>
      </w:r>
    </w:p>
    <w:p>
      <w:pPr>
        <w:spacing w:after="0" w:line="211"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Section 2. Where a certificate is countersigned (1) by a transfer agent other than the Corporation or its employee, or, (2) by a registrar other than the Corporation or its employee, any other signature on the certificate may be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he were such officer, transfer agent or registrar at the date of issue.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Lost Certificates</w:t>
      </w:r>
    </w:p>
    <w:p>
      <w:pPr>
        <w:spacing w:after="0" w:line="237"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1"/>
          <w:szCs w:val="21"/>
          <w:color w:val="auto"/>
        </w:rPr>
        <w:t>Section 3. The Board of Directors may issue a certificate or certificates or uncertificated shares in place of any certificate(s) theretofore issued by the Corporation alleged to have been lost, stolen or destroyed, upon the making of an affidavit of that fact by the person claiming the certificate(s) of stock to be lost, stolen or destroyed. When authorizing such issue of a new certificate or certificates, the Board of Directors may, in its discretion and as a condition precedent to the issuance thereof, require the owner of such lost, stolen or destroyed certificate(s), or his legal representative, to advertise the same in such manner as it shall require and/or to give the Corporation a bond in such sum as it may direct as indemnity against any claim that may be made against the Corporation with respect to the certificate(s) alleged to have been lost, stolen or destroyed.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Transfers of Stock</w:t>
      </w:r>
    </w:p>
    <w:p>
      <w:pPr>
        <w:spacing w:after="0" w:line="23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Section 4. Transfers of shares may be made only by the record holder of such shares, or by an attorney lawfully constituted in writing, which transfer shall be made on the books of the Corporation, and, in the case of shares represented by a certificate, such transfer may only be made upon surrender of the certificate to the Corporation. The Corporation shall cancel any such surrendered certificate.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Fixing Record Date</w:t>
      </w:r>
    </w:p>
    <w:p>
      <w:pPr>
        <w:sectPr>
          <w:pgSz w:w="11900" w:h="16838" w:orient="portrait"/>
          <w:cols w:equalWidth="0" w:num="1">
            <w:col w:w="11240"/>
          </w:cols>
          <w:pgMar w:left="320" w:top="1408" w:right="339" w:bottom="1440" w:gutter="0" w:footer="0" w:header="0"/>
        </w:sectPr>
      </w:pPr>
    </w:p>
    <w:bookmarkStart w:id="52" w:name="page53"/>
    <w:bookmarkEnd w:id="52"/>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Section 5. In order that the Corporation may determine the stockholders entitled to notice of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(60) nor less than ten (10) days before the date of such meeting, nor more than sixty (60) days prior to any other action.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Registered Stock Holders</w:t>
      </w:r>
    </w:p>
    <w:p>
      <w:pPr>
        <w:spacing w:after="0" w:line="23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Section 6.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GENERAL PROVISIONS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Dividends</w:t>
      </w:r>
    </w:p>
    <w:p>
      <w:pPr>
        <w:spacing w:after="0" w:line="224" w:lineRule="exact"/>
        <w:rPr>
          <w:sz w:val="20"/>
          <w:szCs w:val="20"/>
          <w:color w:val="auto"/>
        </w:rPr>
      </w:pPr>
    </w:p>
    <w:p>
      <w:pPr>
        <w:jc w:val="both"/>
        <w:ind w:right="20" w:firstLine="648"/>
        <w:spacing w:after="0" w:line="244" w:lineRule="auto"/>
        <w:rPr>
          <w:sz w:val="20"/>
          <w:szCs w:val="20"/>
          <w:color w:val="auto"/>
        </w:rPr>
      </w:pPr>
      <w:r>
        <w:rPr>
          <w:rFonts w:ascii="Times New Roman" w:cs="Times New Roman" w:eastAsia="Times New Roman" w:hAnsi="Times New Roman"/>
          <w:sz w:val="22"/>
          <w:szCs w:val="22"/>
          <w:color w:val="auto"/>
        </w:rPr>
        <w:t>Section 1. Dividends upon the capital stock of the Corporation, subject to the provisions of the certificate of incorporation, if any, may be declared by the Board of Directors at any regular or special meetings, pursuant to law. Dividends may be paid in cash, in property, or in shares of the capital stock, subject to the provisions of the certificate of incorporation.</w:t>
      </w:r>
    </w:p>
    <w:p>
      <w:pPr>
        <w:spacing w:after="0" w:line="200"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Section 2. Before payment of any dividend, there may be set aside out of any funds of the Corporation available for dividends such sum or sums as the Directors from time to time, in their absolute discretion, think proper as a reserve or reserves to meet contingencies, or for equalizing dividends, or for repairing or maintaining any property of the Corporation, or for such other purpose as the Directors shall think conducive to the interest of the Corporation, and the Directors may modify or abolish any such reserve in the manner in which it was created.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Annual Statement</w:t>
      </w:r>
    </w:p>
    <w:p>
      <w:pPr>
        <w:spacing w:after="0" w:line="237"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Section 3. The Board of Directors shall present at each annual meeting, and at any special meeting of the stockholders when called for by vote of the stockholders, a full and clear statement of the business and condition of the Corporation.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Checks</w:t>
      </w:r>
    </w:p>
    <w:p>
      <w:pPr>
        <w:sectPr>
          <w:pgSz w:w="11900" w:h="16838" w:orient="portrait"/>
          <w:cols w:equalWidth="0" w:num="1">
            <w:col w:w="11240"/>
          </w:cols>
          <w:pgMar w:left="320" w:top="1408" w:right="339" w:bottom="1440" w:gutter="0" w:footer="0" w:header="0"/>
        </w:sectPr>
      </w:pPr>
    </w:p>
    <w:bookmarkStart w:id="53" w:name="page54"/>
    <w:bookmarkEnd w:id="53"/>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Section 4. All checks or demands for money and notes of the Corporation shall be signed by such officer or officers or such other person or persons as the Board of Directors may from time to time designate.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Fiscal Year</w:t>
      </w:r>
    </w:p>
    <w:p>
      <w:pPr>
        <w:spacing w:after="0" w:line="23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Section 5. The fiscal year of the Corporation shall begin on the first day of July of each year and end on the last day of June of each year, unless otherwise determined by the Board of Directors.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Seal</w:t>
      </w:r>
    </w:p>
    <w:p>
      <w:pPr>
        <w:spacing w:after="0" w:line="224"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Section 6. The corporate seal shall have inscribed thereon the name of the Corporation, the year of its organization and the words “Corporate Seal, Delaware”. The seal may be used by causing it or a facsimile thereof to be impressed or affixed or reproduced or otherwise placed thereon.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Interested Directors and Officers</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7.</w:t>
      </w:r>
    </w:p>
    <w:p>
      <w:pPr>
        <w:spacing w:after="0" w:line="233" w:lineRule="exact"/>
        <w:rPr>
          <w:sz w:val="20"/>
          <w:szCs w:val="20"/>
          <w:color w:val="auto"/>
        </w:rPr>
      </w:pPr>
    </w:p>
    <w:p>
      <w:pPr>
        <w:jc w:val="both"/>
        <w:ind w:firstLine="1304"/>
        <w:spacing w:after="0" w:line="238" w:lineRule="auto"/>
        <w:tabs>
          <w:tab w:leader="none" w:pos="1603"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contract or transaction between a Corporation and one or more of its Directors or officers, or between a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of Directors or committee thereof which authorizes the contract or transaction, or solely because his or their votes are counted for such purposes, if;</w:t>
      </w:r>
    </w:p>
    <w:p>
      <w:pPr>
        <w:spacing w:after="0" w:line="203" w:lineRule="exact"/>
        <w:rPr>
          <w:rFonts w:ascii="Times New Roman" w:cs="Times New Roman" w:eastAsia="Times New Roman" w:hAnsi="Times New Roman"/>
          <w:sz w:val="22"/>
          <w:szCs w:val="22"/>
          <w:color w:val="auto"/>
        </w:rPr>
      </w:pPr>
    </w:p>
    <w:p>
      <w:pPr>
        <w:jc w:val="both"/>
        <w:ind w:firstLine="1952"/>
        <w:spacing w:after="0" w:line="233" w:lineRule="auto"/>
        <w:tabs>
          <w:tab w:leader="none" w:pos="2202"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material facts as to his relationship or interest and as to the contract or transaction are disclosed or are known to the Board of Directors or the committee, and the Board of Directors or committee in good faith authorizes the contract or transaction by the affirmative votes of a majority of the disinterested Directors, even though the disinterested Directors be less than a quorum; or</w:t>
      </w:r>
    </w:p>
    <w:p>
      <w:pPr>
        <w:jc w:val="both"/>
        <w:ind w:firstLine="1952"/>
        <w:spacing w:after="0" w:line="235" w:lineRule="auto"/>
        <w:tabs>
          <w:tab w:leader="none" w:pos="2262"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material facts as to his relationship or interest and as to the contract or transaction are disclosed or are known to the stockholders entitled to vote thereon; and the contract for transaction is specifically approved in good faith by vote of the stockholders; or</w:t>
      </w:r>
    </w:p>
    <w:p>
      <w:pPr>
        <w:spacing w:after="0" w:line="204" w:lineRule="exact"/>
        <w:rPr>
          <w:rFonts w:ascii="Times New Roman" w:cs="Times New Roman" w:eastAsia="Times New Roman" w:hAnsi="Times New Roman"/>
          <w:sz w:val="22"/>
          <w:szCs w:val="22"/>
          <w:color w:val="auto"/>
        </w:rPr>
      </w:pPr>
    </w:p>
    <w:p>
      <w:pPr>
        <w:ind w:firstLine="1952"/>
        <w:spacing w:after="0" w:line="258" w:lineRule="auto"/>
        <w:tabs>
          <w:tab w:leader="none" w:pos="2335"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contract or transaction is fair as to the Corporation as of the time it is authorized, approved or ratified, by the Board of Directors, a committee thereof, or the stockholders.</w:t>
      </w:r>
    </w:p>
    <w:p>
      <w:pPr>
        <w:spacing w:after="0" w:line="185" w:lineRule="exact"/>
        <w:rPr>
          <w:rFonts w:ascii="Times New Roman" w:cs="Times New Roman" w:eastAsia="Times New Roman" w:hAnsi="Times New Roman"/>
          <w:sz w:val="22"/>
          <w:szCs w:val="22"/>
          <w:color w:val="auto"/>
        </w:rPr>
      </w:pPr>
    </w:p>
    <w:p>
      <w:pPr>
        <w:ind w:right="20" w:firstLine="1304"/>
        <w:spacing w:after="0" w:line="258" w:lineRule="auto"/>
        <w:tabs>
          <w:tab w:leader="none" w:pos="1602"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or interested Directors may be counted in determining the presence of a quorum at a meeting of the Board of Directors or of a committee which authorizes the contract or transaction.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Exclusive Forum</w:t>
      </w:r>
    </w:p>
    <w:p>
      <w:pPr>
        <w:sectPr>
          <w:pgSz w:w="11900" w:h="16838" w:orient="portrait"/>
          <w:cols w:equalWidth="0" w:num="1">
            <w:col w:w="11240"/>
          </w:cols>
          <w:pgMar w:left="320" w:top="1408" w:right="339" w:bottom="1440" w:gutter="0" w:footer="0" w:header="0"/>
        </w:sectPr>
      </w:pPr>
    </w:p>
    <w:bookmarkStart w:id="54" w:name="page55"/>
    <w:bookmarkEnd w:id="54"/>
    <w:p>
      <w:pPr>
        <w:spacing w:after="0" w:line="212"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2"/>
          <w:szCs w:val="22"/>
          <w:color w:val="auto"/>
        </w:rPr>
        <w:t>Section 8. Unless the Corporation consents in writing to the selection of an alternative forum, the sole and exclusive forum for (i) any derivative action or proceeding brought on behalf of the Corporation, (ii) any action asserting a claim of breach of a fiduciary duty owed by any Director or officer or other employee of the Corporation to the Corporation or the Corporation’s stockholders, (iii) any action asserting a claim against the Corporation or any Director or officer or other employee of the Corporation arising pursuant to any provision of the Delaware General Corporation Law or the certificate of incorporation or these Bylaws (as either may be amended from time to time), or (iv) any action asserting a claim against the Corporation or any Director or officer or other employee of the Corporation governed by the internal affairs doctrine shall, in each case, be the Court of Chancery in the State of Delaware (or, if the Court of Chancery does not have jurisdiction, the federal district court for the District of Delaware). If any action the subject matter of which is within the scope of the preceding sentence is filed in a court other than a court located within the State of Delaware (a “Foreign Action”) in the name of any stockholder, such stockholder shall be deemed to have consented to (i) the personal jurisdiction of the state and federal courts located within the State of Delaware in connection with any action brought in any such court to enforce the preceding sentence and (ii) having service of process made upon such stockholder in any such action by service upon such stockholder’s counsel in the Foreign Action as agent for such stockholder. Any person or entity purchasing or otherwise acquiring any interest in shares of capital stock of the Corporation shall be deemed to have notice of and consented to the provisions of this Section 8 of Article VII. The existence of any prior consent to an alternative forum shall not act as a waiver of the Corporation’s ongoing consent right as set forth above in this Section 8 of Article VII with respect to any current or future actions or claims.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AMENDMENTS</w:t>
      </w:r>
    </w:p>
    <w:p>
      <w:pPr>
        <w:spacing w:after="0" w:line="23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Section 1. These Bylaws may be altered, amended or repealed or new bylaws may be adopted by the stockholders or by the Board of Directors at any regular meeting of the stockholders or of the Board of Directors or at any special meeting of the stockholders or of the Board of Directors if notice of such alteration, amendment, repeal or adoption of new bylaws are contained in the notice of such special meeting. These Bylaws may also be amended in accordance with any other provision of these Bylaws.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IX</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INDEMNIFICATION AND INSURANCE</w:t>
      </w:r>
    </w:p>
    <w:p>
      <w:pPr>
        <w:spacing w:after="0" w:line="233" w:lineRule="exact"/>
        <w:rPr>
          <w:sz w:val="20"/>
          <w:szCs w:val="20"/>
          <w:color w:val="auto"/>
        </w:rPr>
      </w:pPr>
    </w:p>
    <w:p>
      <w:pPr>
        <w:jc w:val="right"/>
        <w:ind w:right="9760"/>
        <w:spacing w:after="0"/>
        <w:rPr>
          <w:sz w:val="20"/>
          <w:szCs w:val="20"/>
          <w:color w:val="auto"/>
        </w:rPr>
      </w:pPr>
      <w:r>
        <w:rPr>
          <w:rFonts w:ascii="Times New Roman" w:cs="Times New Roman" w:eastAsia="Times New Roman" w:hAnsi="Times New Roman"/>
          <w:sz w:val="21"/>
          <w:szCs w:val="21"/>
          <w:b w:val="1"/>
          <w:bCs w:val="1"/>
          <w:color w:val="auto"/>
        </w:rPr>
        <w:t>Indemnification</w:t>
      </w:r>
    </w:p>
    <w:p>
      <w:pPr>
        <w:spacing w:after="0" w:line="235" w:lineRule="exact"/>
        <w:rPr>
          <w:sz w:val="20"/>
          <w:szCs w:val="20"/>
          <w:color w:val="auto"/>
        </w:rPr>
      </w:pPr>
    </w:p>
    <w:p>
      <w:pPr>
        <w:jc w:val="right"/>
        <w:ind w:right="9720"/>
        <w:spacing w:after="0"/>
        <w:rPr>
          <w:sz w:val="20"/>
          <w:szCs w:val="20"/>
          <w:color w:val="auto"/>
        </w:rPr>
      </w:pPr>
      <w:r>
        <w:rPr>
          <w:rFonts w:ascii="Times New Roman" w:cs="Times New Roman" w:eastAsia="Times New Roman" w:hAnsi="Times New Roman"/>
          <w:sz w:val="22"/>
          <w:szCs w:val="22"/>
          <w:color w:val="auto"/>
        </w:rPr>
        <w:t>Section 1.</w:t>
      </w:r>
    </w:p>
    <w:p>
      <w:pPr>
        <w:spacing w:after="0" w:line="233" w:lineRule="exact"/>
        <w:rPr>
          <w:sz w:val="20"/>
          <w:szCs w:val="20"/>
          <w:color w:val="auto"/>
        </w:rPr>
      </w:pPr>
    </w:p>
    <w:p>
      <w:pPr>
        <w:ind w:right="80" w:firstLine="1304"/>
        <w:spacing w:after="0" w:line="239" w:lineRule="auto"/>
        <w:tabs>
          <w:tab w:leader="none" w:pos="159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 3 of this Article IX, the Corporation shall indemnify, to the full extent that it shall have power under applicable law to do so and in a manner permitted by such law, any person made or threatened to be made a party to any threatened, pending, or completed action, lawsuit, or proceeding, whether civil, criminal, administrative, or investigative (a “proceeding”), by reason of the fact that such person is or was a Director or officer of the</w:t>
      </w:r>
    </w:p>
    <w:p>
      <w:pPr>
        <w:sectPr>
          <w:pgSz w:w="11900" w:h="16838" w:orient="portrait"/>
          <w:cols w:equalWidth="0" w:num="1">
            <w:col w:w="11240"/>
          </w:cols>
          <w:pgMar w:left="320" w:top="1440" w:right="339" w:bottom="1440" w:gutter="0" w:footer="0" w:header="0"/>
        </w:sectPr>
      </w:pPr>
    </w:p>
    <w:bookmarkStart w:id="55" w:name="page56"/>
    <w:bookmarkEnd w:id="55"/>
    <w:p>
      <w:pPr>
        <w:ind w:right="220"/>
        <w:spacing w:after="0" w:line="282" w:lineRule="auto"/>
        <w:rPr>
          <w:sz w:val="20"/>
          <w:szCs w:val="20"/>
          <w:color w:val="auto"/>
        </w:rPr>
      </w:pPr>
      <w:r>
        <w:rPr>
          <w:rFonts w:ascii="Times New Roman" w:cs="Times New Roman" w:eastAsia="Times New Roman" w:hAnsi="Times New Roman"/>
          <w:sz w:val="21"/>
          <w:szCs w:val="21"/>
          <w:color w:val="auto"/>
        </w:rPr>
        <w:t>Corporation or is or was serving at the request of Corporation as a Director or officer of another corporation, partnership, joint venture, trust or other enterprise, including service with respect to an employee benefit plan (collectively, “another enterprise”).</w:t>
      </w:r>
    </w:p>
    <w:p>
      <w:pPr>
        <w:spacing w:after="0" w:line="162" w:lineRule="exact"/>
        <w:rPr>
          <w:sz w:val="20"/>
          <w:szCs w:val="20"/>
          <w:color w:val="auto"/>
        </w:rPr>
      </w:pPr>
    </w:p>
    <w:p>
      <w:pPr>
        <w:jc w:val="both"/>
        <w:ind w:firstLine="1304"/>
        <w:spacing w:after="0" w:line="239" w:lineRule="auto"/>
        <w:tabs>
          <w:tab w:leader="none" w:pos="1602"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may indemnify, to the full extent that it shall have power under applicable law to do so and in a manner permitted by such law, any person made or threatened to be made a party to any proceeding, by reason of the fact that such person is or was an employee or agent of the Corporation or is or was serving at the request of the Corporation as an employee or agent of another enterprise.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Advancement of Expenses</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2.</w:t>
      </w:r>
    </w:p>
    <w:p>
      <w:pPr>
        <w:spacing w:after="0" w:line="233" w:lineRule="exact"/>
        <w:rPr>
          <w:sz w:val="20"/>
          <w:szCs w:val="20"/>
          <w:color w:val="auto"/>
        </w:rPr>
      </w:pPr>
    </w:p>
    <w:p>
      <w:pPr>
        <w:jc w:val="both"/>
        <w:ind w:firstLine="8"/>
        <w:spacing w:after="0" w:line="235" w:lineRule="auto"/>
        <w:tabs>
          <w:tab w:leader="none" w:pos="307"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 3 of this Article IX, with respect to any person made or threatened to be made a party to any threatened, pending, or completed proceeding, by reason of the fact that such person is or was a Director or officer of the Corporation or is or was serving at the request of the Corporation as a Director or officer of another enterprise, the Corporation shall pay the expenses (including attorneys’ fees) incurred by such person in defending any such proceeding in advance of its final disposition (an “advancement of expenses”); provided, however, that any advancement of expenses shall be made only upon receipt of a written agreement by such person to repay all amounts advanced if it shall ultimately be determined by final judicial decision from which there is no further right to appeal that such person is not entitled to be indemnified for such expenses under this Article IX or otherwise.</w:t>
      </w:r>
    </w:p>
    <w:p>
      <w:pPr>
        <w:spacing w:after="0" w:line="205" w:lineRule="exact"/>
        <w:rPr>
          <w:rFonts w:ascii="Times New Roman" w:cs="Times New Roman" w:eastAsia="Times New Roman" w:hAnsi="Times New Roman"/>
          <w:sz w:val="22"/>
          <w:szCs w:val="22"/>
          <w:color w:val="auto"/>
        </w:rPr>
      </w:pPr>
    </w:p>
    <w:p>
      <w:pPr>
        <w:jc w:val="both"/>
        <w:ind w:firstLine="1304"/>
        <w:spacing w:after="0" w:line="235" w:lineRule="auto"/>
        <w:tabs>
          <w:tab w:leader="none" w:pos="1602"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person made or threatened to be made a party to any proceeding, by reason of the fact that such person is or was an employee or agent of the Corporation, or is or was serving at the request of the Corporation as an employee or agent of another enterprise, the Corporation may, in its discretion and upon such terms and conditions, if any, as the Corporation deems appropriate, pay the expenses (including attorneys’ fees) incurred by such person in defending any such proceeding in advance of its final disposition.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Actions Initiated Against the Corporation</w:t>
      </w:r>
    </w:p>
    <w:p>
      <w:pPr>
        <w:spacing w:after="0" w:line="237"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Section 3. Notwithstanding anything contained in Section 1(a) or Section 2(a) of this Article IX to the contrary, and except as provided in Section 5(b) of this Article IX with respect to a proceeding initiated against the Corporation by a Director or officer of the Corporation (or by a person serving at the request of the Corporation as a Director or officer of another enterprise), the Corporation shall not be required to indemnify or to advance expenses (including attorneys’ fees) to such person in connection with prosecuting the proceeding (or part thereof) or in defending any counterclaim, cross- claim, affirmative defense or like claim of the Corporation in such proceeding (or part thereof) unless the proceeding was authorized by the Board of Directors.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Contract Rights</w:t>
      </w:r>
    </w:p>
    <w:p>
      <w:pPr>
        <w:spacing w:after="0" w:line="23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Section 4. With respect to any person made or threatened to be made a party to any proceeding, by reason of the fact that the person is or was a Director or officer of the Corporation</w:t>
      </w:r>
    </w:p>
    <w:p>
      <w:pPr>
        <w:sectPr>
          <w:pgSz w:w="11900" w:h="16838" w:orient="portrait"/>
          <w:cols w:equalWidth="0" w:num="1">
            <w:col w:w="11240"/>
          </w:cols>
          <w:pgMar w:left="320" w:top="1408" w:right="339" w:bottom="1440" w:gutter="0" w:footer="0" w:header="0"/>
        </w:sectPr>
      </w:pPr>
    </w:p>
    <w:bookmarkStart w:id="56" w:name="page57"/>
    <w:bookmarkEnd w:id="56"/>
    <w:p>
      <w:pPr>
        <w:jc w:val="both"/>
        <w:spacing w:after="0" w:line="234" w:lineRule="auto"/>
        <w:rPr>
          <w:sz w:val="20"/>
          <w:szCs w:val="20"/>
          <w:color w:val="auto"/>
        </w:rPr>
      </w:pPr>
      <w:r>
        <w:rPr>
          <w:rFonts w:ascii="Times New Roman" w:cs="Times New Roman" w:eastAsia="Times New Roman" w:hAnsi="Times New Roman"/>
          <w:sz w:val="22"/>
          <w:szCs w:val="22"/>
          <w:color w:val="auto"/>
        </w:rPr>
        <w:t>or is or was serving at the request of the Corporation as a Director or officer of another enterprise, the rights to indemnification and to the advancement of expenses conferred in Sections 1(a) and 2(a) of this Article IX shall be contract rights. Any amendment, repeal, modification, or adoption of any provision inconsistent with this Article IX shall not adversely affect any right to indemnification or advancement of expenses granted to any person pursuant to this Article IX with respect to any act or omission of the person occurring prior to the time of such amendment, repeal, modification, or adoption (regardless of whether the proceeding relating to such acts or omissions is commenced before or after the time of such amendment, repeal, modification, or adoption).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Claims</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5.</w:t>
      </w:r>
    </w:p>
    <w:p>
      <w:pPr>
        <w:spacing w:after="0" w:line="233" w:lineRule="exact"/>
        <w:rPr>
          <w:sz w:val="20"/>
          <w:szCs w:val="20"/>
          <w:color w:val="auto"/>
        </w:rPr>
      </w:pPr>
    </w:p>
    <w:p>
      <w:pPr>
        <w:jc w:val="both"/>
        <w:ind w:firstLine="1304"/>
        <w:spacing w:after="0" w:line="236" w:lineRule="auto"/>
        <w:tabs>
          <w:tab w:leader="none" w:pos="159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claim under Section 1(a) of this Article IX with respect to any right to indemnification is not paid in full by the Corporation within 60 days after a written demand has been received by the Corporation or a claim under Section 2(a) of this Article IX with respect to any right to the advancement of expenses is not paid in full by the Corporation within 20 days after a written demand has been received by the Corporation, then the person seeking to enforce a right to indemnification or to an advancement of expenses may at any time thereafter bring a lawsuit against the Corporation to recover the unpaid amount of the claim.</w:t>
      </w:r>
    </w:p>
    <w:p>
      <w:pPr>
        <w:spacing w:after="0" w:line="208" w:lineRule="exact"/>
        <w:rPr>
          <w:rFonts w:ascii="Times New Roman" w:cs="Times New Roman" w:eastAsia="Times New Roman" w:hAnsi="Times New Roman"/>
          <w:sz w:val="22"/>
          <w:szCs w:val="22"/>
          <w:color w:val="auto"/>
        </w:rPr>
      </w:pPr>
    </w:p>
    <w:p>
      <w:pPr>
        <w:jc w:val="both"/>
        <w:ind w:firstLine="1304"/>
        <w:spacing w:after="0" w:line="235" w:lineRule="auto"/>
        <w:tabs>
          <w:tab w:leader="none" w:pos="1615"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successful in whole or in part in any lawsuit brought pursuant to Section 5(a) of this Article IX, or in a lawsuit brought by the Corporation to recover an advancement of expenses, the person seeking to enforce a right to indemnification or an advancement of expenses or the person from whom the Corporation sought to recover an advancement of expenses shall be entitled to be paid by the Corporation the reasonable expenses (including attorneys’ fees) of prosecuting or defending such lawsuit.</w:t>
      </w:r>
    </w:p>
    <w:p>
      <w:pPr>
        <w:spacing w:after="0" w:line="205" w:lineRule="exact"/>
        <w:rPr>
          <w:rFonts w:ascii="Times New Roman" w:cs="Times New Roman" w:eastAsia="Times New Roman" w:hAnsi="Times New Roman"/>
          <w:sz w:val="22"/>
          <w:szCs w:val="22"/>
          <w:color w:val="auto"/>
        </w:rPr>
      </w:pPr>
    </w:p>
    <w:p>
      <w:pPr>
        <w:jc w:val="both"/>
        <w:ind w:firstLine="1304"/>
        <w:spacing w:after="0" w:line="244" w:lineRule="auto"/>
        <w:tabs>
          <w:tab w:leader="none" w:pos="159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any lawsuit brought by a person seeking to enforce a right to indemnification (but not a lawsuit brought by a person seeking to enforce a right to an advancement of expenses), it shall be a defense that the person seeking to enforce a right to indemnification has not met any applicable standard for indemnification under applicable law. With respect to any lawsuit brought by a person seeking to enforce a right to indemnification or right to advancement of expenses, or any lawsuit brought by the Corporation to recover an advancement of expenses, neither the failure of the Corporation to have made a determination prior to commencement of such lawsuit that indemnification of such person is proper in the circumstances because such person has met the applicable standards of conduct under applicable law, nor an actual determination by the Corporation that such person has not met such applicable standards of conduct, shall create a presumption that such person has not met the applicable standards of conduct or, in a case brought by such person seeking to enforce a right to indemnification, be a defense to such lawsuit.</w:t>
      </w:r>
    </w:p>
    <w:p>
      <w:pPr>
        <w:spacing w:after="0" w:line="206" w:lineRule="exact"/>
        <w:rPr>
          <w:rFonts w:ascii="Times New Roman" w:cs="Times New Roman" w:eastAsia="Times New Roman" w:hAnsi="Times New Roman"/>
          <w:sz w:val="21"/>
          <w:szCs w:val="21"/>
          <w:color w:val="auto"/>
        </w:rPr>
      </w:pPr>
    </w:p>
    <w:p>
      <w:pPr>
        <w:jc w:val="both"/>
        <w:ind w:firstLine="1304"/>
        <w:spacing w:after="0" w:line="244" w:lineRule="auto"/>
        <w:tabs>
          <w:tab w:leader="none" w:pos="1629"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any lawsuit brought by a person seeking to enforce a right to indemnification or to an advancement of expenses or by the Corporation to recover an advancement of expenses, the burden shall be on the Corporation to prove that the person seeking to enforce a right to indemnification or to an advancement of expenses or the person</w:t>
      </w:r>
    </w:p>
    <w:p>
      <w:pPr>
        <w:sectPr>
          <w:pgSz w:w="11900" w:h="16838" w:orient="portrait"/>
          <w:cols w:equalWidth="0" w:num="1">
            <w:col w:w="11240"/>
          </w:cols>
          <w:pgMar w:left="320" w:top="1408" w:right="339" w:bottom="1440" w:gutter="0" w:footer="0" w:header="0"/>
        </w:sectPr>
      </w:pPr>
    </w:p>
    <w:bookmarkStart w:id="57" w:name="page58"/>
    <w:bookmarkEnd w:id="57"/>
    <w:p>
      <w:pPr>
        <w:jc w:val="both"/>
        <w:spacing w:after="0" w:line="258" w:lineRule="auto"/>
        <w:rPr>
          <w:sz w:val="20"/>
          <w:szCs w:val="20"/>
          <w:color w:val="auto"/>
        </w:rPr>
      </w:pPr>
      <w:r>
        <w:rPr>
          <w:rFonts w:ascii="Times New Roman" w:cs="Times New Roman" w:eastAsia="Times New Roman" w:hAnsi="Times New Roman"/>
          <w:sz w:val="22"/>
          <w:szCs w:val="22"/>
          <w:color w:val="auto"/>
        </w:rPr>
        <w:t>from whom the Corporation seeks to recover an advancement of expenses is not entitled to be indemnified, or to such an advancement of expenses, under this Article IX or otherwise.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Determination of Entitlement to Indemnification</w:t>
      </w:r>
    </w:p>
    <w:p>
      <w:pPr>
        <w:spacing w:after="0" w:line="237"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Section 6. Any indemnification required or permitted under this Article IX (unless ordered by a court) shall be made by the Corporation only as authorized in the specific case upon a determination that indemnification of the present or former Director, officer, employee, or agent is proper in the circumstances because he or she has met all applicable standards of conduct set forth in this Article IX and Section 145 of the Delaware General Corporation Law. Such determination shall be made, with respect to a person who is a Director or officer of the Corporation at the time of the determination: (1) by a majority vote of the Directors who are not parties to such action, lawsuit or proceeding, even though less than a quorum; (2) by a committee of such Directors designated by majority vote of such Directors, even though less than a quorum; (3) if there are no such Directors, or if such Directors so direct, by independent legal counsel in a written opinion; or (4) by the stockholders. Such determination shall be made, with respect to any person who is not a Director or officer of the Corporation at the time of such determination, in the manner determined by the Board of Directors (including in such manner as may be set forth in any general or specific action of the Board of Directors applicable to indemnification claims by such person) or in the manner set forth in any agreement to which such person and the Corporation are parties.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Non- Exclusive Rights</w:t>
      </w:r>
    </w:p>
    <w:p>
      <w:pPr>
        <w:spacing w:after="0" w:line="237"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Section 7. The indemnification and advancement of expenses provided in this Article IX shall not be deemed exclusive of any other rights to which any person may be entitled under any bylaw, agreement, vote of stockholders or disinterested Directors, or otherwise, both as to action in such person’s official capacity and as to action in another capacity while holding such office, and shall continue as to a person who has ceased to be such Director, officer, employee, or agent and shall inure to the benefit of the heirs, executors, and administrators of such person.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Insurance</w:t>
      </w:r>
    </w:p>
    <w:p>
      <w:pPr>
        <w:spacing w:after="0" w:line="23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Section 8. The Corporation may purchase and maintain insurance on behalf of any person who is or was a Director, officer, employee, or agent of the Corporation or is or was serving at the request of the Corporation as a Director, officer, employee, or agent of another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this Article IX or otherwise.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Severability</w:t>
      </w:r>
    </w:p>
    <w:p>
      <w:pPr>
        <w:spacing w:after="0" w:line="237"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Section 9. If any provision or provisions of this Article IX shall be held to be invalid, illegal, or unenforceable for any reason whatsoever: (1) the validity, legality, and enforceability of the remaining provisions of this Article IX (including, without limitation, each portion of any paragraph or clause containing any such provision held to be invalid, illegal, or unenforceable, that is not itself held to be invalid, illegal, or unenforceable) shall not in any way be affected or</w:t>
      </w:r>
    </w:p>
    <w:p>
      <w:pPr>
        <w:sectPr>
          <w:pgSz w:w="11900" w:h="16838" w:orient="portrait"/>
          <w:cols w:equalWidth="0" w:num="1">
            <w:col w:w="11240"/>
          </w:cols>
          <w:pgMar w:left="320" w:top="1408" w:right="339" w:bottom="1440" w:gutter="0" w:footer="0" w:header="0"/>
        </w:sectPr>
      </w:pPr>
    </w:p>
    <w:bookmarkStart w:id="58" w:name="page59"/>
    <w:bookmarkEnd w:id="58"/>
    <w:p>
      <w:pPr>
        <w:jc w:val="both"/>
        <w:spacing w:after="0" w:line="244" w:lineRule="auto"/>
        <w:rPr>
          <w:sz w:val="20"/>
          <w:szCs w:val="20"/>
          <w:color w:val="auto"/>
        </w:rPr>
      </w:pPr>
      <w:r>
        <w:rPr>
          <w:rFonts w:ascii="Times New Roman" w:cs="Times New Roman" w:eastAsia="Times New Roman" w:hAnsi="Times New Roman"/>
          <w:sz w:val="22"/>
          <w:szCs w:val="22"/>
          <w:color w:val="auto"/>
        </w:rPr>
        <w:t>impaired; and (2) to the fullest extent possible, the provisions of this Article IX (including, without limitation, each such portion of any paragraph or clause containing any such provision held to be invalid, illegal, or unenforceable) shall be construed so as to give effect to the intent manifested by the provision held invalid, illegal, or unenforceable.</w:t>
      </w:r>
    </w:p>
    <w:p>
      <w:pPr>
        <w:sectPr>
          <w:pgSz w:w="11900" w:h="16838" w:orient="portrait"/>
          <w:cols w:equalWidth="0" w:num="1">
            <w:col w:w="11240"/>
          </w:cols>
          <w:pgMar w:left="320" w:top="1408"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R. Hewitt, certify that:</w:t>
      </w:r>
    </w:p>
    <w:p>
      <w:pPr>
        <w:spacing w:after="0" w:line="171" w:lineRule="exact"/>
        <w:rPr>
          <w:sz w:val="20"/>
          <w:szCs w:val="20"/>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Matrix Service Company;</w:t>
      </w:r>
    </w:p>
    <w:p>
      <w:pPr>
        <w:spacing w:after="0" w:line="171" w:lineRule="exact"/>
        <w:rPr>
          <w:rFonts w:ascii="Times New Roman" w:cs="Times New Roman" w:eastAsia="Times New Roman" w:hAnsi="Times New Roman"/>
          <w:sz w:val="18"/>
          <w:szCs w:val="18"/>
          <w:color w:val="auto"/>
        </w:rPr>
      </w:pPr>
    </w:p>
    <w:p>
      <w:pPr>
        <w:jc w:val="both"/>
        <w:ind w:left="980" w:right="60" w:hanging="324"/>
        <w:spacing w:after="0" w:line="266"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980" w:right="180" w:hanging="324"/>
        <w:spacing w:after="0" w:line="266"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620" w:right="20" w:hanging="640"/>
        <w:spacing w:after="0" w:line="266" w:lineRule="auto"/>
        <w:tabs>
          <w:tab w:leader="none" w:pos="161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620" w:right="80" w:hanging="640"/>
        <w:spacing w:after="0" w:line="266" w:lineRule="auto"/>
        <w:tabs>
          <w:tab w:leader="none" w:pos="16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620" w:right="180" w:hanging="640"/>
        <w:spacing w:after="0" w:line="266" w:lineRule="auto"/>
        <w:tabs>
          <w:tab w:leader="none" w:pos="161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ind w:left="1620" w:right="280" w:hanging="640"/>
        <w:spacing w:after="0" w:line="266" w:lineRule="auto"/>
        <w:tabs>
          <w:tab w:leader="none" w:pos="16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980" w:right="140" w:hanging="324"/>
        <w:spacing w:after="0" w:line="312" w:lineRule="auto"/>
        <w:tabs>
          <w:tab w:leader="none" w:pos="98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5" w:lineRule="exact"/>
        <w:rPr>
          <w:rFonts w:ascii="Times New Roman" w:cs="Times New Roman" w:eastAsia="Times New Roman" w:hAnsi="Times New Roman"/>
          <w:sz w:val="17"/>
          <w:szCs w:val="17"/>
          <w:color w:val="auto"/>
        </w:rPr>
      </w:pPr>
    </w:p>
    <w:p>
      <w:pPr>
        <w:ind w:left="1620" w:right="140" w:hanging="640"/>
        <w:spacing w:after="0" w:line="282" w:lineRule="auto"/>
        <w:tabs>
          <w:tab w:leader="none" w:pos="161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620" w:right="420" w:hanging="640"/>
        <w:spacing w:after="0" w:line="282" w:lineRule="auto"/>
        <w:tabs>
          <w:tab w:leader="none" w:pos="16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p>
      <w:pPr>
        <w:ind w:left="2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February 6, 2025</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6601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John R. Hewitt</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887"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Kevin S. Cavanah, certify that:</w:t>
      </w:r>
    </w:p>
    <w:p>
      <w:pPr>
        <w:spacing w:after="0" w:line="171" w:lineRule="exact"/>
        <w:rPr>
          <w:sz w:val="20"/>
          <w:szCs w:val="20"/>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Matrix Service Company;</w:t>
      </w:r>
    </w:p>
    <w:p>
      <w:pPr>
        <w:spacing w:after="0" w:line="171" w:lineRule="exact"/>
        <w:rPr>
          <w:rFonts w:ascii="Times New Roman" w:cs="Times New Roman" w:eastAsia="Times New Roman" w:hAnsi="Times New Roman"/>
          <w:sz w:val="18"/>
          <w:szCs w:val="18"/>
          <w:color w:val="auto"/>
        </w:rPr>
      </w:pPr>
    </w:p>
    <w:p>
      <w:pPr>
        <w:jc w:val="both"/>
        <w:ind w:left="980" w:right="60" w:hanging="324"/>
        <w:spacing w:after="0" w:line="266"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980" w:right="180" w:hanging="324"/>
        <w:spacing w:after="0" w:line="266"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620" w:right="20" w:hanging="640"/>
        <w:spacing w:after="0" w:line="266" w:lineRule="auto"/>
        <w:tabs>
          <w:tab w:leader="none" w:pos="161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620" w:right="80" w:hanging="640"/>
        <w:spacing w:after="0" w:line="266" w:lineRule="auto"/>
        <w:tabs>
          <w:tab w:leader="none" w:pos="16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620" w:right="180" w:hanging="640"/>
        <w:spacing w:after="0" w:line="266" w:lineRule="auto"/>
        <w:tabs>
          <w:tab w:leader="none" w:pos="161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ind w:left="1620" w:right="280" w:hanging="640"/>
        <w:spacing w:after="0" w:line="266" w:lineRule="auto"/>
        <w:tabs>
          <w:tab w:leader="none" w:pos="16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980" w:right="140" w:hanging="324"/>
        <w:spacing w:after="0" w:line="312" w:lineRule="auto"/>
        <w:tabs>
          <w:tab w:leader="none" w:pos="98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5" w:lineRule="exact"/>
        <w:rPr>
          <w:rFonts w:ascii="Times New Roman" w:cs="Times New Roman" w:eastAsia="Times New Roman" w:hAnsi="Times New Roman"/>
          <w:sz w:val="17"/>
          <w:szCs w:val="17"/>
          <w:color w:val="auto"/>
        </w:rPr>
      </w:pPr>
    </w:p>
    <w:p>
      <w:pPr>
        <w:ind w:left="1620" w:right="140" w:hanging="640"/>
        <w:spacing w:after="0" w:line="282" w:lineRule="auto"/>
        <w:tabs>
          <w:tab w:leader="none" w:pos="161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620" w:right="420" w:hanging="640"/>
        <w:spacing w:after="0" w:line="282" w:lineRule="auto"/>
        <w:tabs>
          <w:tab w:leader="none" w:pos="16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p>
      <w:pPr>
        <w:ind w:left="20"/>
        <w:spacing w:after="0"/>
        <w:tabs>
          <w:tab w:leader="none" w:pos="640" w:val="left"/>
        </w:tabs>
        <w:rPr>
          <w:sz w:val="20"/>
          <w:szCs w:val="20"/>
          <w:color w:val="auto"/>
        </w:rPr>
      </w:pPr>
      <w:r>
        <w:rPr>
          <w:rFonts w:ascii="Times New Roman" w:cs="Times New Roman" w:eastAsia="Times New Roman" w:hAnsi="Times New Roman"/>
          <w:sz w:val="18"/>
          <w:szCs w:val="18"/>
          <w:color w:val="auto"/>
        </w:rPr>
        <w:t>Date:</w:t>
        <w:tab/>
        <w:t>February 6, 2025</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3431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Kevin S. Cavanah</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Vice President and Chief Financial Officer</w:t>
      </w:r>
    </w:p>
    <w:p>
      <w:pPr>
        <w:sectPr>
          <w:pgSz w:w="11900" w:h="16838" w:orient="portrait"/>
          <w:cols w:equalWidth="0" w:num="1">
            <w:col w:w="11240"/>
          </w:cols>
          <w:pgMar w:left="320" w:top="887"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Sarbanes-Oxley Act of 2002</w:t>
      </w:r>
    </w:p>
    <w:p>
      <w:pPr>
        <w:spacing w:after="0" w:line="15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Matrix Service Company (the “Company”) on Form 10-K for the period ending December 31, 2024 as filed with the Securities and Exchange Commission on the date hereof (the “Report”), I, John R. Hewitt, President and Chief Executive Officer of the Company, certify, pursuant to 18 U.S.C. ss. 1350, as adopted pursuant to ss. 906 of the Sarbanes-Oxley Act of 2002, that based on my knowledge:</w:t>
      </w:r>
    </w:p>
    <w:p>
      <w:pPr>
        <w:spacing w:after="0" w:line="203" w:lineRule="exact"/>
        <w:rPr>
          <w:sz w:val="20"/>
          <w:szCs w:val="20"/>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left="1300" w:right="280" w:hanging="644"/>
        <w:spacing w:after="0" w:line="282" w:lineRule="auto"/>
        <w:tabs>
          <w:tab w:leader="none" w:pos="129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48" w:lineRule="exact"/>
        <w:rPr>
          <w:sz w:val="20"/>
          <w:szCs w:val="20"/>
          <w:color w:val="auto"/>
        </w:rPr>
      </w:pPr>
    </w:p>
    <w:p>
      <w:pPr>
        <w:ind w:left="2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February 6, 2025</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771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John R. Hewitt</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887"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Sarbanes-Oxley Act of 2002</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Matrix Service Company (the “Company”) on Form 10-K for the period ending December 31, 2024 as filed with the Securities and Exchange Commission on the date hereof (the “Report”), I, Kevin S. Cavanah, Vice President and Chief Financial Officer of the Company, certify, pursuant to 18 U.S.C. ss. 1350, as adopted pursuant to ss. 906 of the Sarbanes-Oxley Act of 2002, that based on my knowledge:</w:t>
      </w:r>
    </w:p>
    <w:p>
      <w:pPr>
        <w:spacing w:after="0" w:line="203" w:lineRule="exact"/>
        <w:rPr>
          <w:sz w:val="20"/>
          <w:szCs w:val="20"/>
          <w:color w:val="auto"/>
        </w:rPr>
      </w:pPr>
    </w:p>
    <w:p>
      <w:pPr>
        <w:ind w:left="1300" w:hanging="644"/>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left="1300" w:right="280" w:hanging="644"/>
        <w:spacing w:after="0" w:line="282" w:lineRule="auto"/>
        <w:tabs>
          <w:tab w:leader="none" w:pos="129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48" w:lineRule="exact"/>
        <w:rPr>
          <w:sz w:val="20"/>
          <w:szCs w:val="20"/>
          <w:color w:val="auto"/>
        </w:rPr>
      </w:pPr>
    </w:p>
    <w:p>
      <w:pPr>
        <w:ind w:left="20"/>
        <w:spacing w:after="0"/>
        <w:tabs>
          <w:tab w:leader="none" w:pos="640" w:val="left"/>
        </w:tabs>
        <w:rPr>
          <w:sz w:val="20"/>
          <w:szCs w:val="20"/>
          <w:color w:val="auto"/>
        </w:rPr>
      </w:pPr>
      <w:r>
        <w:rPr>
          <w:rFonts w:ascii="Times New Roman" w:cs="Times New Roman" w:eastAsia="Times New Roman" w:hAnsi="Times New Roman"/>
          <w:sz w:val="18"/>
          <w:szCs w:val="18"/>
          <w:color w:val="auto"/>
        </w:rPr>
        <w:t>Date:</w:t>
        <w:tab/>
        <w:t>February 6, 2025</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3431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Kevin S. Cavanah</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Vice President and Chief Financial Officer</w:t>
      </w:r>
    </w:p>
    <w:p>
      <w:pPr>
        <w:sectPr>
          <w:pgSz w:w="11900" w:h="16838" w:orient="portrait"/>
          <w:cols w:equalWidth="0" w:num="1">
            <w:col w:w="11240"/>
          </w:cols>
          <w:pgMar w:left="320" w:top="887"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95</w:t>
      </w:r>
    </w:p>
    <w:p>
      <w:pPr>
        <w:spacing w:after="0" w:line="200" w:lineRule="exact"/>
        <w:rPr>
          <w:sz w:val="20"/>
          <w:szCs w:val="20"/>
          <w:color w:val="auto"/>
        </w:rPr>
      </w:pPr>
    </w:p>
    <w:p>
      <w:pPr>
        <w:spacing w:after="0" w:line="245"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8"/>
          <w:szCs w:val="18"/>
          <w:color w:val="auto"/>
        </w:rPr>
        <w:t>Section 1503(a) of the Dodd-Frank Wall Street Reform and Consumer Protection Act (the "Dodd-Frank Act") requires domestic mine operators to disclose violations and orders issued under the Federal Mine Safety and Health Act of 1977 (the "Mine Act") by the federal Mine Safety and Health Administration ("MSHA"). We do not act as the owner of any mines, but as a result of our performing services or construction at mine sites as an independent contractor, we are considered an "operator" within the meaning of the Mine Act. The mine data retrieval system maintained by MSHA may show information that is</w:t>
      </w:r>
    </w:p>
    <w:p>
      <w:pPr>
        <w:spacing w:after="0" w:line="1"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different than what is provided herein. Any such difference may be attributed to the need to update that information on MSHA’s system and/or other factors.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for the three months ended December 31, 2024:</w:t>
      </w:r>
    </w:p>
    <w:p>
      <w:pPr>
        <w:spacing w:after="0" w:line="223" w:lineRule="exact"/>
        <w:rPr>
          <w:sz w:val="20"/>
          <w:szCs w:val="20"/>
          <w:color w:val="auto"/>
        </w:rPr>
      </w:pPr>
    </w:p>
    <w:tbl>
      <w:tblPr>
        <w:tblLayout w:type="fixed"/>
        <w:tblInd w:w="50" w:type="dxa"/>
        <w:tblCellMar>
          <w:top w:w="0" w:type="dxa"/>
          <w:left w:w="0" w:type="dxa"/>
          <w:bottom w:w="0" w:type="dxa"/>
          <w:right w:w="0" w:type="dxa"/>
        </w:tblCellMar>
      </w:tblPr>
      <w:tr>
        <w:trPr>
          <w:trHeight w:val="175"/>
        </w:trPr>
        <w:tc>
          <w:tcPr>
            <w:tcW w:w="980" w:type="dxa"/>
            <w:vAlign w:val="bottom"/>
            <w:tcBorders>
              <w:top w:val="single" w:sz="8" w:color="auto"/>
              <w:left w:val="single" w:sz="8" w:color="auto"/>
              <w:right w:val="single" w:sz="8" w:color="auto"/>
            </w:tcBorders>
          </w:tcPr>
          <w:p>
            <w:pPr>
              <w:spacing w:after="0"/>
              <w:rPr>
                <w:sz w:val="15"/>
                <w:szCs w:val="15"/>
                <w:color w:val="auto"/>
              </w:rPr>
            </w:pPr>
          </w:p>
        </w:tc>
        <w:tc>
          <w:tcPr>
            <w:tcW w:w="920" w:type="dxa"/>
            <w:vAlign w:val="bottom"/>
            <w:tcBorders>
              <w:top w:val="single" w:sz="8" w:color="auto"/>
              <w:right w:val="single" w:sz="8" w:color="auto"/>
            </w:tcBorders>
          </w:tcPr>
          <w:p>
            <w:pPr>
              <w:spacing w:after="0"/>
              <w:rPr>
                <w:sz w:val="15"/>
                <w:szCs w:val="15"/>
                <w:color w:val="auto"/>
              </w:rPr>
            </w:pPr>
          </w:p>
        </w:tc>
        <w:tc>
          <w:tcPr>
            <w:tcW w:w="860" w:type="dxa"/>
            <w:vAlign w:val="bottom"/>
            <w:tcBorders>
              <w:top w:val="single" w:sz="8" w:color="auto"/>
              <w:right w:val="single" w:sz="8" w:color="auto"/>
            </w:tcBorders>
          </w:tcPr>
          <w:p>
            <w:pPr>
              <w:spacing w:after="0"/>
              <w:rPr>
                <w:sz w:val="15"/>
                <w:szCs w:val="15"/>
                <w:color w:val="auto"/>
              </w:rPr>
            </w:pPr>
          </w:p>
        </w:tc>
        <w:tc>
          <w:tcPr>
            <w:tcW w:w="760" w:type="dxa"/>
            <w:vAlign w:val="bottom"/>
            <w:tcBorders>
              <w:top w:val="single" w:sz="8" w:color="auto"/>
              <w:right w:val="single" w:sz="8" w:color="auto"/>
            </w:tcBorders>
          </w:tcPr>
          <w:p>
            <w:pPr>
              <w:spacing w:after="0"/>
              <w:rPr>
                <w:sz w:val="15"/>
                <w:szCs w:val="15"/>
                <w:color w:val="auto"/>
              </w:rPr>
            </w:pPr>
          </w:p>
        </w:tc>
        <w:tc>
          <w:tcPr>
            <w:tcW w:w="780" w:type="dxa"/>
            <w:vAlign w:val="bottom"/>
            <w:tcBorders>
              <w:top w:val="single" w:sz="8" w:color="auto"/>
              <w:right w:val="single" w:sz="8" w:color="auto"/>
            </w:tcBorders>
          </w:tcPr>
          <w:p>
            <w:pPr>
              <w:spacing w:after="0"/>
              <w:rPr>
                <w:sz w:val="15"/>
                <w:szCs w:val="15"/>
                <w:color w:val="auto"/>
              </w:rPr>
            </w:pPr>
          </w:p>
        </w:tc>
        <w:tc>
          <w:tcPr>
            <w:tcW w:w="720" w:type="dxa"/>
            <w:vAlign w:val="bottom"/>
            <w:tcBorders>
              <w:top w:val="single" w:sz="8" w:color="auto"/>
              <w:right w:val="single" w:sz="8" w:color="auto"/>
            </w:tcBorders>
          </w:tcPr>
          <w:p>
            <w:pPr>
              <w:spacing w:after="0"/>
              <w:rPr>
                <w:sz w:val="15"/>
                <w:szCs w:val="15"/>
                <w:color w:val="auto"/>
              </w:rPr>
            </w:pPr>
          </w:p>
        </w:tc>
        <w:tc>
          <w:tcPr>
            <w:tcW w:w="1020" w:type="dxa"/>
            <w:vAlign w:val="bottom"/>
            <w:tcBorders>
              <w:top w:val="single" w:sz="8" w:color="auto"/>
              <w:right w:val="single" w:sz="8" w:color="auto"/>
            </w:tcBorders>
          </w:tcPr>
          <w:p>
            <w:pPr>
              <w:spacing w:after="0"/>
              <w:rPr>
                <w:sz w:val="15"/>
                <w:szCs w:val="15"/>
                <w:color w:val="auto"/>
              </w:rPr>
            </w:pPr>
          </w:p>
        </w:tc>
        <w:tc>
          <w:tcPr>
            <w:tcW w:w="800" w:type="dxa"/>
            <w:vAlign w:val="bottom"/>
            <w:tcBorders>
              <w:top w:val="single" w:sz="8" w:color="auto"/>
              <w:right w:val="single" w:sz="8" w:color="auto"/>
            </w:tcBorders>
          </w:tcPr>
          <w:p>
            <w:pPr>
              <w:spacing w:after="0"/>
              <w:rPr>
                <w:sz w:val="15"/>
                <w:szCs w:val="15"/>
                <w:color w:val="auto"/>
              </w:rPr>
            </w:pPr>
          </w:p>
        </w:tc>
        <w:tc>
          <w:tcPr>
            <w:tcW w:w="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8"/>
              </w:rPr>
              <w:t>Received Notice</w:t>
            </w:r>
          </w:p>
        </w:tc>
        <w:tc>
          <w:tcPr>
            <w:tcW w:w="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8"/>
              </w:rPr>
              <w:t>Received Notice</w:t>
            </w:r>
          </w:p>
        </w:tc>
        <w:tc>
          <w:tcPr>
            <w:tcW w:w="860" w:type="dxa"/>
            <w:vAlign w:val="bottom"/>
            <w:tcBorders>
              <w:top w:val="single" w:sz="8" w:color="auto"/>
              <w:right w:val="single" w:sz="8" w:color="auto"/>
            </w:tcBorders>
          </w:tcPr>
          <w:p>
            <w:pPr>
              <w:spacing w:after="0"/>
              <w:rPr>
                <w:sz w:val="15"/>
                <w:szCs w:val="15"/>
                <w:color w:val="auto"/>
              </w:rPr>
            </w:pPr>
          </w:p>
        </w:tc>
        <w:tc>
          <w:tcPr>
            <w:tcW w:w="840" w:type="dxa"/>
            <w:vAlign w:val="bottom"/>
            <w:tcBorders>
              <w:top w:val="single" w:sz="8" w:color="auto"/>
              <w:right w:val="single" w:sz="8" w:color="auto"/>
            </w:tcBorders>
          </w:tcPr>
          <w:p>
            <w:pPr>
              <w:spacing w:after="0"/>
              <w:rPr>
                <w:sz w:val="15"/>
                <w:szCs w:val="15"/>
                <w:color w:val="auto"/>
              </w:rPr>
            </w:pPr>
          </w:p>
        </w:tc>
        <w:tc>
          <w:tcPr>
            <w:tcW w:w="92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980" w:type="dxa"/>
            <w:vAlign w:val="bottom"/>
            <w:tcBorders>
              <w:left w:val="single" w:sz="8" w:color="auto"/>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of Pattern of</w:t>
            </w:r>
          </w:p>
        </w:tc>
        <w:tc>
          <w:tcPr>
            <w:tcW w:w="90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of Potential to</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7"/>
              </w:rPr>
              <w:t>Total Number of</w:t>
            </w:r>
          </w:p>
        </w:tc>
        <w:tc>
          <w:tcPr>
            <w:tcW w:w="84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7"/>
              </w:rPr>
              <w:t>Mine or Operating</w:t>
            </w:r>
          </w:p>
        </w:tc>
        <w:tc>
          <w:tcPr>
            <w:tcW w:w="92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Section</w:t>
            </w:r>
          </w:p>
        </w:tc>
        <w:tc>
          <w:tcPr>
            <w:tcW w:w="78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6"/>
              </w:rPr>
              <w:t>Total Dollar Value</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6"/>
              </w:rPr>
              <w:t>Total Number</w:t>
            </w:r>
          </w:p>
        </w:tc>
        <w:tc>
          <w:tcPr>
            <w:tcW w:w="84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Violations</w:t>
            </w:r>
          </w:p>
        </w:tc>
        <w:tc>
          <w:tcPr>
            <w:tcW w:w="90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Have Pattern of</w:t>
            </w:r>
          </w:p>
        </w:tc>
        <w:tc>
          <w:tcPr>
            <w:tcW w:w="860" w:type="dxa"/>
            <w:vAlign w:val="bottom"/>
            <w:tcBorders>
              <w:right w:val="single" w:sz="8" w:color="auto"/>
            </w:tcBorders>
            <w:vMerge w:val="continue"/>
          </w:tcPr>
          <w:p>
            <w:pPr>
              <w:spacing w:after="0"/>
              <w:rPr>
                <w:sz w:val="10"/>
                <w:szCs w:val="10"/>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4"/>
              </w:rPr>
              <w:t>Total Number of</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7"/>
              </w:rPr>
              <w:t>Total Number of</w:t>
            </w:r>
          </w:p>
        </w:tc>
        <w:tc>
          <w:tcPr>
            <w:tcW w:w="0" w:type="dxa"/>
            <w:vAlign w:val="bottom"/>
          </w:tcPr>
          <w:p>
            <w:pPr>
              <w:spacing w:after="0"/>
              <w:rPr>
                <w:sz w:val="1"/>
                <w:szCs w:val="1"/>
                <w:color w:val="auto"/>
              </w:rPr>
            </w:pPr>
          </w:p>
        </w:tc>
      </w:tr>
      <w:tr>
        <w:trPr>
          <w:trHeight w:val="68"/>
        </w:trPr>
        <w:tc>
          <w:tcPr>
            <w:tcW w:w="980" w:type="dxa"/>
            <w:vAlign w:val="bottom"/>
            <w:tcBorders>
              <w:left w:val="single" w:sz="8" w:color="auto"/>
              <w:right w:val="single" w:sz="8" w:color="auto"/>
            </w:tcBorders>
            <w:vMerge w:val="continue"/>
          </w:tcPr>
          <w:p>
            <w:pPr>
              <w:spacing w:after="0"/>
              <w:rPr>
                <w:sz w:val="5"/>
                <w:szCs w:val="5"/>
                <w:color w:val="auto"/>
              </w:rPr>
            </w:pPr>
          </w:p>
        </w:tc>
        <w:tc>
          <w:tcPr>
            <w:tcW w:w="920" w:type="dxa"/>
            <w:vAlign w:val="bottom"/>
            <w:tcBorders>
              <w:right w:val="single" w:sz="8" w:color="auto"/>
            </w:tcBorders>
          </w:tcPr>
          <w:p>
            <w:pPr>
              <w:spacing w:after="0"/>
              <w:rPr>
                <w:sz w:val="5"/>
                <w:szCs w:val="5"/>
                <w:color w:val="auto"/>
              </w:rPr>
            </w:pPr>
          </w:p>
        </w:tc>
        <w:tc>
          <w:tcPr>
            <w:tcW w:w="860" w:type="dxa"/>
            <w:vAlign w:val="bottom"/>
            <w:tcBorders>
              <w:right w:val="single" w:sz="8" w:color="auto"/>
            </w:tcBorders>
          </w:tcPr>
          <w:p>
            <w:pPr>
              <w:spacing w:after="0"/>
              <w:rPr>
                <w:sz w:val="5"/>
                <w:szCs w:val="5"/>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104(d)</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8"/>
              </w:rPr>
              <w:t>Section 110(b)</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6"/>
              </w:rPr>
              <w:t>Section</w:t>
            </w:r>
          </w:p>
        </w:tc>
        <w:tc>
          <w:tcPr>
            <w:tcW w:w="1020" w:type="dxa"/>
            <w:vAlign w:val="bottom"/>
            <w:tcBorders>
              <w:right w:val="single" w:sz="8" w:color="auto"/>
            </w:tcBorders>
            <w:vMerge w:val="continue"/>
          </w:tcPr>
          <w:p>
            <w:pPr>
              <w:spacing w:after="0"/>
              <w:rPr>
                <w:sz w:val="5"/>
                <w:szCs w:val="5"/>
                <w:color w:val="auto"/>
              </w:rPr>
            </w:pPr>
          </w:p>
        </w:tc>
        <w:tc>
          <w:tcPr>
            <w:tcW w:w="800" w:type="dxa"/>
            <w:vAlign w:val="bottom"/>
            <w:tcBorders>
              <w:right w:val="single" w:sz="8" w:color="auto"/>
            </w:tcBorders>
            <w:vMerge w:val="continue"/>
          </w:tcPr>
          <w:p>
            <w:pPr>
              <w:spacing w:after="0"/>
              <w:rPr>
                <w:sz w:val="5"/>
                <w:szCs w:val="5"/>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7"/>
              </w:rPr>
              <w:t>Under Section</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7"/>
              </w:rPr>
              <w:t>Violations Under</w:t>
            </w:r>
          </w:p>
        </w:tc>
        <w:tc>
          <w:tcPr>
            <w:tcW w:w="860" w:type="dxa"/>
            <w:vAlign w:val="bottom"/>
            <w:tcBorders>
              <w:right w:val="single" w:sz="8" w:color="auto"/>
            </w:tcBorders>
          </w:tcPr>
          <w:p>
            <w:pPr>
              <w:jc w:val="center"/>
              <w:spacing w:after="0" w:line="68" w:lineRule="exact"/>
              <w:rPr>
                <w:sz w:val="20"/>
                <w:szCs w:val="20"/>
                <w:color w:val="auto"/>
              </w:rPr>
            </w:pPr>
            <w:r>
              <w:rPr>
                <w:rFonts w:ascii="Times New Roman" w:cs="Times New Roman" w:eastAsia="Times New Roman" w:hAnsi="Times New Roman"/>
                <w:sz w:val="6"/>
                <w:szCs w:val="6"/>
                <w:color w:val="auto"/>
              </w:rPr>
              <w:t>Legal Actions</w:t>
            </w:r>
          </w:p>
        </w:tc>
        <w:tc>
          <w:tcPr>
            <w:tcW w:w="840" w:type="dxa"/>
            <w:vAlign w:val="bottom"/>
            <w:tcBorders>
              <w:right w:val="single" w:sz="8" w:color="auto"/>
            </w:tcBorders>
            <w:vMerge w:val="continue"/>
          </w:tcPr>
          <w:p>
            <w:pPr>
              <w:spacing w:after="0"/>
              <w:rPr>
                <w:sz w:val="5"/>
                <w:szCs w:val="5"/>
                <w:color w:val="auto"/>
              </w:rPr>
            </w:pPr>
          </w:p>
        </w:tc>
        <w:tc>
          <w:tcPr>
            <w:tcW w:w="9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980" w:type="dxa"/>
            <w:vAlign w:val="bottom"/>
            <w:tcBorders>
              <w:left w:val="single" w:sz="8" w:color="auto"/>
              <w:right w:val="single" w:sz="8" w:color="auto"/>
            </w:tcBorders>
            <w:vMerge w:val="restart"/>
          </w:tcPr>
          <w:p>
            <w:pPr>
              <w:jc w:val="center"/>
              <w:spacing w:after="0" w:line="108" w:lineRule="exact"/>
              <w:rPr>
                <w:sz w:val="20"/>
                <w:szCs w:val="20"/>
                <w:color w:val="auto"/>
              </w:rPr>
            </w:pPr>
            <w:r>
              <w:rPr>
                <w:rFonts w:ascii="Times New Roman" w:cs="Times New Roman" w:eastAsia="Times New Roman" w:hAnsi="Times New Roman"/>
                <w:sz w:val="11"/>
                <w:szCs w:val="11"/>
                <w:color w:val="auto"/>
                <w:w w:val="98"/>
              </w:rPr>
              <w:t>Name/MSHA</w:t>
            </w:r>
          </w:p>
        </w:tc>
        <w:tc>
          <w:tcPr>
            <w:tcW w:w="920" w:type="dxa"/>
            <w:vAlign w:val="bottom"/>
            <w:tcBorders>
              <w:right w:val="single" w:sz="8" w:color="auto"/>
            </w:tcBorders>
          </w:tcPr>
          <w:p>
            <w:pPr>
              <w:spacing w:after="0"/>
              <w:rPr>
                <w:sz w:val="5"/>
                <w:szCs w:val="5"/>
                <w:color w:val="auto"/>
              </w:rPr>
            </w:pPr>
          </w:p>
        </w:tc>
        <w:tc>
          <w:tcPr>
            <w:tcW w:w="860" w:type="dxa"/>
            <w:vAlign w:val="bottom"/>
            <w:tcBorders>
              <w:right w:val="single" w:sz="8" w:color="auto"/>
            </w:tcBorders>
          </w:tcPr>
          <w:p>
            <w:pPr>
              <w:spacing w:after="0"/>
              <w:rPr>
                <w:sz w:val="5"/>
                <w:szCs w:val="5"/>
                <w:color w:val="auto"/>
              </w:rPr>
            </w:pPr>
          </w:p>
        </w:tc>
        <w:tc>
          <w:tcPr>
            <w:tcW w:w="760" w:type="dxa"/>
            <w:vAlign w:val="bottom"/>
            <w:tcBorders>
              <w:right w:val="single" w:sz="8" w:color="auto"/>
            </w:tcBorders>
            <w:vMerge w:val="continue"/>
          </w:tcPr>
          <w:p>
            <w:pPr>
              <w:spacing w:after="0"/>
              <w:rPr>
                <w:sz w:val="5"/>
                <w:szCs w:val="5"/>
                <w:color w:val="auto"/>
              </w:rPr>
            </w:pPr>
          </w:p>
        </w:tc>
        <w:tc>
          <w:tcPr>
            <w:tcW w:w="780" w:type="dxa"/>
            <w:vAlign w:val="bottom"/>
            <w:tcBorders>
              <w:right w:val="single" w:sz="8" w:color="auto"/>
            </w:tcBorders>
            <w:vMerge w:val="continue"/>
          </w:tcPr>
          <w:p>
            <w:pPr>
              <w:spacing w:after="0"/>
              <w:rPr>
                <w:sz w:val="5"/>
                <w:szCs w:val="5"/>
                <w:color w:val="auto"/>
              </w:rPr>
            </w:pPr>
          </w:p>
        </w:tc>
        <w:tc>
          <w:tcPr>
            <w:tcW w:w="720" w:type="dxa"/>
            <w:vAlign w:val="bottom"/>
            <w:tcBorders>
              <w:right w:val="single" w:sz="8" w:color="auto"/>
            </w:tcBorders>
            <w:vMerge w:val="continue"/>
          </w:tcPr>
          <w:p>
            <w:pPr>
              <w:spacing w:after="0"/>
              <w:rPr>
                <w:sz w:val="5"/>
                <w:szCs w:val="5"/>
                <w:color w:val="auto"/>
              </w:rPr>
            </w:pPr>
          </w:p>
        </w:tc>
        <w:tc>
          <w:tcPr>
            <w:tcW w:w="1020" w:type="dxa"/>
            <w:vAlign w:val="bottom"/>
            <w:tcBorders>
              <w:right w:val="single" w:sz="8" w:color="auto"/>
            </w:tcBorders>
            <w:vMerge w:val="restart"/>
          </w:tcPr>
          <w:p>
            <w:pPr>
              <w:jc w:val="center"/>
              <w:spacing w:after="0" w:line="108" w:lineRule="exact"/>
              <w:rPr>
                <w:sz w:val="20"/>
                <w:szCs w:val="20"/>
                <w:color w:val="auto"/>
              </w:rPr>
            </w:pPr>
            <w:r>
              <w:rPr>
                <w:rFonts w:ascii="Times New Roman" w:cs="Times New Roman" w:eastAsia="Times New Roman" w:hAnsi="Times New Roman"/>
                <w:sz w:val="11"/>
                <w:szCs w:val="11"/>
                <w:color w:val="auto"/>
              </w:rPr>
              <w:t>of MSHA</w:t>
            </w:r>
          </w:p>
        </w:tc>
        <w:tc>
          <w:tcPr>
            <w:tcW w:w="800" w:type="dxa"/>
            <w:vAlign w:val="bottom"/>
            <w:tcBorders>
              <w:right w:val="single" w:sz="8" w:color="auto"/>
            </w:tcBorders>
            <w:vMerge w:val="restart"/>
          </w:tcPr>
          <w:p>
            <w:pPr>
              <w:jc w:val="center"/>
              <w:spacing w:after="0" w:line="108" w:lineRule="exact"/>
              <w:rPr>
                <w:sz w:val="20"/>
                <w:szCs w:val="20"/>
                <w:color w:val="auto"/>
              </w:rPr>
            </w:pPr>
            <w:r>
              <w:rPr>
                <w:rFonts w:ascii="Times New Roman" w:cs="Times New Roman" w:eastAsia="Times New Roman" w:hAnsi="Times New Roman"/>
                <w:sz w:val="11"/>
                <w:szCs w:val="11"/>
                <w:color w:val="auto"/>
                <w:w w:val="94"/>
              </w:rPr>
              <w:t>of Mining</w:t>
            </w:r>
          </w:p>
        </w:tc>
        <w:tc>
          <w:tcPr>
            <w:tcW w:w="840" w:type="dxa"/>
            <w:vAlign w:val="bottom"/>
            <w:tcBorders>
              <w:right w:val="single" w:sz="8" w:color="auto"/>
            </w:tcBorders>
            <w:vMerge w:val="continue"/>
          </w:tcPr>
          <w:p>
            <w:pPr>
              <w:spacing w:after="0"/>
              <w:rPr>
                <w:sz w:val="5"/>
                <w:szCs w:val="5"/>
                <w:color w:val="auto"/>
              </w:rPr>
            </w:pPr>
          </w:p>
        </w:tc>
        <w:tc>
          <w:tcPr>
            <w:tcW w:w="900" w:type="dxa"/>
            <w:vAlign w:val="bottom"/>
            <w:tcBorders>
              <w:right w:val="single" w:sz="8" w:color="auto"/>
            </w:tcBorders>
            <w:vMerge w:val="continue"/>
          </w:tcPr>
          <w:p>
            <w:pPr>
              <w:spacing w:after="0"/>
              <w:rPr>
                <w:sz w:val="5"/>
                <w:szCs w:val="5"/>
                <w:color w:val="auto"/>
              </w:rPr>
            </w:pPr>
          </w:p>
        </w:tc>
        <w:tc>
          <w:tcPr>
            <w:tcW w:w="860" w:type="dxa"/>
            <w:vAlign w:val="bottom"/>
            <w:tcBorders>
              <w:right w:val="single" w:sz="8" w:color="auto"/>
            </w:tcBorders>
            <w:vMerge w:val="restart"/>
          </w:tcPr>
          <w:p>
            <w:pPr>
              <w:jc w:val="center"/>
              <w:spacing w:after="0" w:line="108" w:lineRule="exact"/>
              <w:rPr>
                <w:sz w:val="20"/>
                <w:szCs w:val="20"/>
                <w:color w:val="auto"/>
              </w:rPr>
            </w:pPr>
            <w:r>
              <w:rPr>
                <w:rFonts w:ascii="Times New Roman" w:cs="Times New Roman" w:eastAsia="Times New Roman" w:hAnsi="Times New Roman"/>
                <w:sz w:val="11"/>
                <w:szCs w:val="11"/>
                <w:color w:val="auto"/>
              </w:rPr>
              <w:t>Pending as of</w:t>
            </w:r>
          </w:p>
        </w:tc>
        <w:tc>
          <w:tcPr>
            <w:tcW w:w="840" w:type="dxa"/>
            <w:vAlign w:val="bottom"/>
            <w:tcBorders>
              <w:right w:val="single" w:sz="8" w:color="auto"/>
            </w:tcBorders>
            <w:vMerge w:val="restart"/>
          </w:tcPr>
          <w:p>
            <w:pPr>
              <w:jc w:val="center"/>
              <w:spacing w:after="0" w:line="108" w:lineRule="exact"/>
              <w:rPr>
                <w:sz w:val="20"/>
                <w:szCs w:val="20"/>
                <w:color w:val="auto"/>
              </w:rPr>
            </w:pPr>
            <w:r>
              <w:rPr>
                <w:rFonts w:ascii="Times New Roman" w:cs="Times New Roman" w:eastAsia="Times New Roman" w:hAnsi="Times New Roman"/>
                <w:sz w:val="11"/>
                <w:szCs w:val="11"/>
                <w:color w:val="auto"/>
                <w:w w:val="99"/>
              </w:rPr>
              <w:t>Legal Actions</w:t>
            </w:r>
          </w:p>
        </w:tc>
        <w:tc>
          <w:tcPr>
            <w:tcW w:w="920" w:type="dxa"/>
            <w:vAlign w:val="bottom"/>
            <w:tcBorders>
              <w:right w:val="single" w:sz="8" w:color="auto"/>
            </w:tcBorders>
            <w:vMerge w:val="restart"/>
          </w:tcPr>
          <w:p>
            <w:pPr>
              <w:jc w:val="center"/>
              <w:spacing w:after="0" w:line="108" w:lineRule="exact"/>
              <w:rPr>
                <w:sz w:val="20"/>
                <w:szCs w:val="20"/>
                <w:color w:val="auto"/>
              </w:rPr>
            </w:pPr>
            <w:r>
              <w:rPr>
                <w:rFonts w:ascii="Times New Roman" w:cs="Times New Roman" w:eastAsia="Times New Roman" w:hAnsi="Times New Roman"/>
                <w:sz w:val="11"/>
                <w:szCs w:val="11"/>
                <w:color w:val="auto"/>
                <w:w w:val="99"/>
              </w:rPr>
              <w:t>Legal Actions</w:t>
            </w:r>
          </w:p>
        </w:tc>
        <w:tc>
          <w:tcPr>
            <w:tcW w:w="0" w:type="dxa"/>
            <w:vAlign w:val="bottom"/>
          </w:tcPr>
          <w:p>
            <w:pPr>
              <w:spacing w:after="0"/>
              <w:rPr>
                <w:sz w:val="1"/>
                <w:szCs w:val="1"/>
                <w:color w:val="auto"/>
              </w:rPr>
            </w:pPr>
          </w:p>
        </w:tc>
      </w:tr>
      <w:tr>
        <w:trPr>
          <w:trHeight w:val="41"/>
        </w:trPr>
        <w:tc>
          <w:tcPr>
            <w:tcW w:w="980" w:type="dxa"/>
            <w:vAlign w:val="bottom"/>
            <w:tcBorders>
              <w:left w:val="single" w:sz="8" w:color="auto"/>
              <w:right w:val="single" w:sz="8" w:color="auto"/>
            </w:tcBorders>
            <w:vMerge w:val="continue"/>
          </w:tcPr>
          <w:p>
            <w:pPr>
              <w:spacing w:after="0"/>
              <w:rPr>
                <w:sz w:val="3"/>
                <w:szCs w:val="3"/>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7"/>
              </w:rPr>
              <w:t>Section 104 S&amp;S</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8"/>
              </w:rPr>
              <w:t>Section 104(b)</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9"/>
              </w:rPr>
              <w:t>Citations and</w:t>
            </w:r>
          </w:p>
        </w:tc>
        <w:tc>
          <w:tcPr>
            <w:tcW w:w="780" w:type="dxa"/>
            <w:vAlign w:val="bottom"/>
            <w:tcBorders>
              <w:right w:val="single" w:sz="8" w:color="auto"/>
            </w:tcBorders>
            <w:vMerge w:val="restart"/>
          </w:tcPr>
          <w:p>
            <w:pPr>
              <w:jc w:val="right"/>
              <w:ind w:right="286"/>
              <w:spacing w:after="0"/>
              <w:rPr>
                <w:sz w:val="20"/>
                <w:szCs w:val="20"/>
                <w:color w:val="auto"/>
              </w:rPr>
            </w:pPr>
            <w:r>
              <w:rPr>
                <w:rFonts w:ascii="Times New Roman" w:cs="Times New Roman" w:eastAsia="Times New Roman" w:hAnsi="Times New Roman"/>
                <w:sz w:val="11"/>
                <w:szCs w:val="11"/>
                <w:color w:val="auto"/>
              </w:rPr>
              <w:t>(2)</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7"/>
              </w:rPr>
              <w:t>107(a)</w:t>
            </w:r>
          </w:p>
        </w:tc>
        <w:tc>
          <w:tcPr>
            <w:tcW w:w="1020" w:type="dxa"/>
            <w:vAlign w:val="bottom"/>
            <w:tcBorders>
              <w:right w:val="single" w:sz="8" w:color="auto"/>
            </w:tcBorders>
            <w:vMerge w:val="continue"/>
          </w:tcPr>
          <w:p>
            <w:pPr>
              <w:spacing w:after="0"/>
              <w:rPr>
                <w:sz w:val="3"/>
                <w:szCs w:val="3"/>
                <w:color w:val="auto"/>
              </w:rPr>
            </w:pPr>
          </w:p>
        </w:tc>
        <w:tc>
          <w:tcPr>
            <w:tcW w:w="800" w:type="dxa"/>
            <w:vAlign w:val="bottom"/>
            <w:tcBorders>
              <w:right w:val="single" w:sz="8" w:color="auto"/>
            </w:tcBorders>
            <w:vMerge w:val="continue"/>
          </w:tcPr>
          <w:p>
            <w:pPr>
              <w:spacing w:after="0"/>
              <w:rPr>
                <w:sz w:val="3"/>
                <w:szCs w:val="3"/>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7"/>
              </w:rPr>
              <w:t>104(e)</w:t>
            </w:r>
            <w:r>
              <w:rPr>
                <w:rFonts w:ascii="Times New Roman" w:cs="Times New Roman" w:eastAsia="Times New Roman" w:hAnsi="Times New Roman"/>
                <w:sz w:val="7"/>
                <w:szCs w:val="7"/>
                <w:color w:val="auto"/>
                <w:w w:val="97"/>
              </w:rPr>
              <w:t>(6)</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9"/>
              </w:rPr>
              <w:t>Section 104(e)</w:t>
            </w:r>
            <w:r>
              <w:rPr>
                <w:rFonts w:ascii="Times New Roman" w:cs="Times New Roman" w:eastAsia="Times New Roman" w:hAnsi="Times New Roman"/>
                <w:sz w:val="7"/>
                <w:szCs w:val="7"/>
                <w:color w:val="auto"/>
                <w:w w:val="99"/>
              </w:rPr>
              <w:t>(7)</w:t>
            </w:r>
          </w:p>
        </w:tc>
        <w:tc>
          <w:tcPr>
            <w:tcW w:w="860" w:type="dxa"/>
            <w:vAlign w:val="bottom"/>
            <w:tcBorders>
              <w:right w:val="single" w:sz="8" w:color="auto"/>
            </w:tcBorders>
            <w:vMerge w:val="continue"/>
          </w:tcPr>
          <w:p>
            <w:pPr>
              <w:spacing w:after="0"/>
              <w:rPr>
                <w:sz w:val="3"/>
                <w:szCs w:val="3"/>
                <w:color w:val="auto"/>
              </w:rPr>
            </w:pPr>
          </w:p>
        </w:tc>
        <w:tc>
          <w:tcPr>
            <w:tcW w:w="840" w:type="dxa"/>
            <w:vAlign w:val="bottom"/>
            <w:tcBorders>
              <w:right w:val="single" w:sz="8" w:color="auto"/>
            </w:tcBorders>
            <w:vMerge w:val="continue"/>
          </w:tcPr>
          <w:p>
            <w:pPr>
              <w:spacing w:after="0"/>
              <w:rPr>
                <w:sz w:val="3"/>
                <w:szCs w:val="3"/>
                <w:color w:val="auto"/>
              </w:rPr>
            </w:pPr>
          </w:p>
        </w:tc>
        <w:tc>
          <w:tcPr>
            <w:tcW w:w="920" w:type="dxa"/>
            <w:vAlign w:val="bottom"/>
            <w:tcBorders>
              <w:right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8"/>
        </w:trPr>
        <w:tc>
          <w:tcPr>
            <w:tcW w:w="980" w:type="dxa"/>
            <w:vAlign w:val="bottom"/>
            <w:tcBorders>
              <w:left w:val="single" w:sz="8" w:color="auto"/>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Identification</w:t>
            </w:r>
          </w:p>
        </w:tc>
        <w:tc>
          <w:tcPr>
            <w:tcW w:w="92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vMerge w:val="continue"/>
          </w:tcPr>
          <w:p>
            <w:pPr>
              <w:spacing w:after="0"/>
              <w:rPr>
                <w:sz w:val="9"/>
                <w:szCs w:val="9"/>
                <w:color w:val="auto"/>
              </w:rPr>
            </w:pPr>
          </w:p>
        </w:tc>
        <w:tc>
          <w:tcPr>
            <w:tcW w:w="78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vMerge w:val="continue"/>
          </w:tcPr>
          <w:p>
            <w:pPr>
              <w:spacing w:after="0"/>
              <w:rPr>
                <w:sz w:val="9"/>
                <w:szCs w:val="9"/>
                <w:color w:val="auto"/>
              </w:rPr>
            </w:pPr>
          </w:p>
        </w:tc>
        <w:tc>
          <w:tcPr>
            <w:tcW w:w="1020" w:type="dxa"/>
            <w:vAlign w:val="bottom"/>
            <w:tcBorders>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1"/>
                <w:szCs w:val="11"/>
                <w:color w:val="auto"/>
                <w:w w:val="99"/>
              </w:rPr>
              <w:t>Assessments</w:t>
            </w:r>
          </w:p>
        </w:tc>
        <w:tc>
          <w:tcPr>
            <w:tcW w:w="800" w:type="dxa"/>
            <w:vAlign w:val="bottom"/>
            <w:tcBorders>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1"/>
                <w:szCs w:val="11"/>
                <w:color w:val="auto"/>
              </w:rPr>
              <w:t>Related</w:t>
            </w:r>
          </w:p>
        </w:tc>
        <w:tc>
          <w:tcPr>
            <w:tcW w:w="840" w:type="dxa"/>
            <w:vAlign w:val="bottom"/>
            <w:tcBorders>
              <w:right w:val="single" w:sz="8" w:color="auto"/>
            </w:tcBorders>
            <w:vMerge w:val="continue"/>
          </w:tcPr>
          <w:p>
            <w:pPr>
              <w:spacing w:after="0"/>
              <w:rPr>
                <w:sz w:val="9"/>
                <w:szCs w:val="9"/>
                <w:color w:val="auto"/>
              </w:rPr>
            </w:pPr>
          </w:p>
        </w:tc>
        <w:tc>
          <w:tcPr>
            <w:tcW w:w="90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1"/>
                <w:szCs w:val="11"/>
                <w:color w:val="auto"/>
              </w:rPr>
              <w:t>Last Day of</w:t>
            </w:r>
          </w:p>
        </w:tc>
        <w:tc>
          <w:tcPr>
            <w:tcW w:w="840" w:type="dxa"/>
            <w:vAlign w:val="bottom"/>
            <w:tcBorders>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1"/>
                <w:szCs w:val="11"/>
                <w:color w:val="auto"/>
                <w:w w:val="99"/>
              </w:rPr>
              <w:t>Initiated During</w:t>
            </w:r>
          </w:p>
        </w:tc>
        <w:tc>
          <w:tcPr>
            <w:tcW w:w="920" w:type="dxa"/>
            <w:vAlign w:val="bottom"/>
            <w:tcBorders>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1"/>
                <w:szCs w:val="11"/>
                <w:color w:val="auto"/>
                <w:w w:val="98"/>
              </w:rPr>
              <w:t>Resolved During</w:t>
            </w:r>
          </w:p>
        </w:tc>
        <w:tc>
          <w:tcPr>
            <w:tcW w:w="0" w:type="dxa"/>
            <w:vAlign w:val="bottom"/>
          </w:tcPr>
          <w:p>
            <w:pPr>
              <w:spacing w:after="0"/>
              <w:rPr>
                <w:sz w:val="1"/>
                <w:szCs w:val="1"/>
                <w:color w:val="auto"/>
              </w:rPr>
            </w:pPr>
          </w:p>
        </w:tc>
      </w:tr>
      <w:tr>
        <w:trPr>
          <w:trHeight w:val="196"/>
        </w:trPr>
        <w:tc>
          <w:tcPr>
            <w:tcW w:w="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4"/>
              </w:rPr>
              <w:t>Number</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0"/>
              </w:rPr>
              <w:t>Citations</w:t>
            </w:r>
            <w:r>
              <w:rPr>
                <w:rFonts w:ascii="Times New Roman" w:cs="Times New Roman" w:eastAsia="Times New Roman" w:hAnsi="Times New Roman"/>
                <w:sz w:val="14"/>
                <w:szCs w:val="14"/>
                <w:color w:val="auto"/>
                <w:w w:val="90"/>
                <w:vertAlign w:val="superscript"/>
              </w:rPr>
              <w:t>(1)</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2"/>
              </w:rPr>
              <w:t>Orders</w:t>
            </w:r>
            <w:r>
              <w:rPr>
                <w:rFonts w:ascii="Times New Roman" w:cs="Times New Roman" w:eastAsia="Times New Roman" w:hAnsi="Times New Roman"/>
                <w:sz w:val="14"/>
                <w:szCs w:val="14"/>
                <w:color w:val="auto"/>
                <w:w w:val="92"/>
                <w:vertAlign w:val="superscript"/>
              </w:rPr>
              <w:t>(2)</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2"/>
              </w:rPr>
              <w:t>Orders</w:t>
            </w:r>
            <w:r>
              <w:rPr>
                <w:rFonts w:ascii="Times New Roman" w:cs="Times New Roman" w:eastAsia="Times New Roman" w:hAnsi="Times New Roman"/>
                <w:sz w:val="14"/>
                <w:szCs w:val="14"/>
                <w:color w:val="auto"/>
                <w:w w:val="92"/>
                <w:vertAlign w:val="superscript"/>
              </w:rPr>
              <w:t>(3)</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1"/>
              </w:rPr>
              <w:t>Violations</w:t>
            </w:r>
            <w:r>
              <w:rPr>
                <w:rFonts w:ascii="Times New Roman" w:cs="Times New Roman" w:eastAsia="Times New Roman" w:hAnsi="Times New Roman"/>
                <w:sz w:val="14"/>
                <w:szCs w:val="14"/>
                <w:color w:val="auto"/>
                <w:w w:val="91"/>
                <w:vertAlign w:val="superscript"/>
              </w:rPr>
              <w:t>(4)</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2"/>
              </w:rPr>
              <w:t>Orders</w:t>
            </w:r>
            <w:r>
              <w:rPr>
                <w:rFonts w:ascii="Times New Roman" w:cs="Times New Roman" w:eastAsia="Times New Roman" w:hAnsi="Times New Roman"/>
                <w:sz w:val="14"/>
                <w:szCs w:val="14"/>
                <w:color w:val="auto"/>
                <w:w w:val="92"/>
                <w:vertAlign w:val="superscript"/>
              </w:rPr>
              <w:t>(5)</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8"/>
              </w:rPr>
              <w:t>Proposed ($)</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Fatalities</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(yes/no)</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(yes/no)</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7"/>
              </w:rPr>
              <w:t>Period</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Period</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7"/>
              </w:rPr>
              <w:t>Period</w:t>
            </w:r>
          </w:p>
        </w:tc>
        <w:tc>
          <w:tcPr>
            <w:tcW w:w="0" w:type="dxa"/>
            <w:vAlign w:val="bottom"/>
          </w:tcPr>
          <w:p>
            <w:pPr>
              <w:spacing w:after="0"/>
              <w:rPr>
                <w:sz w:val="1"/>
                <w:szCs w:val="1"/>
                <w:color w:val="auto"/>
              </w:rPr>
            </w:pPr>
          </w:p>
        </w:tc>
      </w:tr>
      <w:tr>
        <w:trPr>
          <w:trHeight w:val="153"/>
        </w:trPr>
        <w:tc>
          <w:tcPr>
            <w:tcW w:w="9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2"/>
              </w:rPr>
              <w:t>None</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4"/>
              </w:rPr>
              <w:t>N/A</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N/A</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0" w:type="dxa"/>
            <w:vAlign w:val="bottom"/>
          </w:tcPr>
          <w:p>
            <w:pPr>
              <w:spacing w:after="0"/>
              <w:rPr>
                <w:sz w:val="1"/>
                <w:szCs w:val="1"/>
                <w:color w:val="auto"/>
              </w:rPr>
            </w:pPr>
          </w:p>
        </w:tc>
      </w:tr>
      <w:tr>
        <w:trPr>
          <w:trHeight w:val="49"/>
        </w:trPr>
        <w:tc>
          <w:tcPr>
            <w:tcW w:w="980" w:type="dxa"/>
            <w:vAlign w:val="bottom"/>
            <w:tcBorders>
              <w:left w:val="single" w:sz="8" w:color="auto"/>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left="260" w:right="120" w:hanging="212"/>
        <w:spacing w:after="0" w:line="332" w:lineRule="auto"/>
        <w:tabs>
          <w:tab w:leader="none" w:pos="261" w:val="left"/>
        </w:tabs>
        <w:numPr>
          <w:ilvl w:val="1"/>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citations issued under section 104 of the Mine Act for violations of mandatory health or safety standards that could significantly and substantially contribute to a serious injury if left unabated.</w:t>
      </w:r>
    </w:p>
    <w:p>
      <w:pPr>
        <w:ind w:left="260" w:hanging="212"/>
        <w:spacing w:after="0"/>
        <w:tabs>
          <w:tab w:leader="none" w:pos="260" w:val="left"/>
        </w:tabs>
        <w:numPr>
          <w:ilvl w:val="1"/>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orders issued under section 104(b) of the Mine Act, which represents a failure to abate a citation under section 104(a) within the period of time prescribed by MSHA.</w:t>
      </w:r>
    </w:p>
    <w:p>
      <w:pPr>
        <w:spacing w:after="0" w:line="82" w:lineRule="exact"/>
        <w:rPr>
          <w:rFonts w:ascii="Times New Roman" w:cs="Times New Roman" w:eastAsia="Times New Roman" w:hAnsi="Times New Roman"/>
          <w:sz w:val="14"/>
          <w:szCs w:val="14"/>
          <w:color w:val="auto"/>
        </w:rPr>
      </w:pPr>
    </w:p>
    <w:p>
      <w:pPr>
        <w:ind w:left="260" w:hanging="212"/>
        <w:spacing w:after="0"/>
        <w:tabs>
          <w:tab w:leader="none" w:pos="260" w:val="left"/>
        </w:tabs>
        <w:numPr>
          <w:ilvl w:val="1"/>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citations and orders issued by MSHA under section 104(d) of the Mine Act for unwarrantable failure to comply with mandatory health or safety standards.</w:t>
      </w:r>
    </w:p>
    <w:p>
      <w:pPr>
        <w:spacing w:after="0" w:line="82"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flagrant violations identified under section 110(b)(2) of the Mine Act.</w:t>
      </w:r>
    </w:p>
    <w:p>
      <w:pPr>
        <w:spacing w:after="0" w:line="82"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orders issued under section 107(a) of the Mine Act for situations in which MSHA determined an imminent danger existed.</w:t>
      </w:r>
    </w:p>
    <w:p>
      <w:pPr>
        <w:spacing w:after="0" w:line="82"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written notice from the MSHA regarding a pattern of violations under section 104(e) of the Mine Act.</w:t>
      </w:r>
    </w:p>
    <w:p>
      <w:pPr>
        <w:spacing w:after="0" w:line="82"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written notice from the MSHA regarding a potential to have a pattern of violations under section 104(e) of the Mine Act.</w:t>
      </w:r>
    </w:p>
    <w:sectPr>
      <w:pgSz w:w="11900" w:h="16838" w:orient="portrait"/>
      <w:cols w:equalWidth="0" w:num="1">
        <w:col w:w="11240"/>
      </w:cols>
      <w:pgMar w:left="320" w:top="9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1)"/>
      <w:numFmt w:val="decimal"/>
      <w:start w:val="1"/>
    </w:lvl>
  </w:abstractNum>
  <w:abstractNum w:abstractNumId="8">
    <w:nsid w:val="75A2A8D4"/>
    <w:multiLevelType w:val="hybridMultilevel"/>
    <w:lvl w:ilvl="0">
      <w:lvlJc w:val="left"/>
      <w:lvlText w:val="(%1)"/>
      <w:numFmt w:val="decimal"/>
      <w:start w:val="1"/>
    </w:lvl>
  </w:abstractNum>
  <w:abstractNum w:abstractNumId="9">
    <w:nsid w:val="8EDBDAB"/>
    <w:multiLevelType w:val="hybridMultilevel"/>
    <w:lvl w:ilvl="0">
      <w:lvlJc w:val="left"/>
      <w:lvlText w:val="(%1)"/>
      <w:numFmt w:val="decimal"/>
      <w:start w:val="1"/>
    </w:lvl>
  </w:abstractNum>
  <w:abstractNum w:abstractNumId="10">
    <w:nsid w:val="79838CB2"/>
    <w:multiLevelType w:val="hybridMultilevel"/>
    <w:lvl w:ilvl="0">
      <w:lvlJc w:val="left"/>
      <w:lvlText w:val="(%1)"/>
      <w:numFmt w:val="decimal"/>
      <w:start w:val="1"/>
    </w:lvl>
  </w:abstractNum>
  <w:abstractNum w:abstractNumId="11">
    <w:nsid w:val="4353D0CD"/>
    <w:multiLevelType w:val="hybridMultilevel"/>
    <w:lvl w:ilvl="0">
      <w:lvlJc w:val="left"/>
      <w:lvlText w:val="•"/>
      <w:numFmt w:val="bullet"/>
      <w:start w:val="1"/>
    </w:lvl>
    <w:lvl w:ilvl="1">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1)"/>
      <w:numFmt w:val="lowerLetter"/>
      <w:start w:val="1"/>
    </w:lvl>
    <w:lvl w:ilvl="1">
      <w:lvlJc w:val="left"/>
      <w:lvlText w:val="(%2)"/>
      <w:numFmt w:val="lowerLetter"/>
      <w:start w:val="9"/>
    </w:lvl>
  </w:abstractNum>
  <w:abstractNum w:abstractNumId="17">
    <w:nsid w:val="836C40E"/>
    <w:multiLevelType w:val="hybridMultilevel"/>
    <w:lvl w:ilvl="0">
      <w:lvlJc w:val="left"/>
      <w:lvlText w:val="(%1)"/>
      <w:numFmt w:val="upperLetter"/>
      <w:start w:val="61"/>
    </w:lvl>
    <w:lvl w:ilvl="1">
      <w:lvlJc w:val="left"/>
      <w:lvlText w:val="(%2)"/>
      <w:numFmt w:val="lowerRoman"/>
      <w:start w:val="2"/>
    </w:lvl>
  </w:abstractNum>
  <w:abstractNum w:abstractNumId="18">
    <w:nsid w:val="2901D82"/>
    <w:multiLevelType w:val="hybridMultilevel"/>
    <w:lvl w:ilvl="0">
      <w:lvlJc w:val="left"/>
      <w:lvlText w:val="(%1)"/>
      <w:numFmt w:val="lowerRoman"/>
      <w:start w:val="3"/>
    </w:lvl>
  </w:abstractNum>
  <w:abstractNum w:abstractNumId="19">
    <w:nsid w:val="3A95F874"/>
    <w:multiLevelType w:val="hybridMultilevel"/>
    <w:lvl w:ilvl="0">
      <w:lvlJc w:val="left"/>
      <w:lvlText w:val="(%1)"/>
      <w:numFmt w:val="decimal"/>
      <w:start w:val="4"/>
    </w:lvl>
  </w:abstractNum>
  <w:abstractNum w:abstractNumId="20">
    <w:nsid w:val="8138641"/>
    <w:multiLevelType w:val="hybridMultilevel"/>
    <w:lvl w:ilvl="0">
      <w:lvlJc w:val="left"/>
      <w:lvlText w:val="(%1)"/>
      <w:numFmt w:val="decimal"/>
      <w:start w:val="1"/>
    </w:lvl>
    <w:lvl w:ilvl="1">
      <w:lvlJc w:val="left"/>
      <w:lvlText w:val="(%2)"/>
      <w:numFmt w:val="lowerLetter"/>
      <w:start w:val="3"/>
    </w:lvl>
  </w:abstractNum>
  <w:abstractNum w:abstractNumId="21">
    <w:nsid w:val="1E7FF521"/>
    <w:multiLevelType w:val="hybridMultilevel"/>
    <w:lvl w:ilvl="0">
      <w:lvlJc w:val="left"/>
      <w:lvlText w:val="(%1)"/>
      <w:numFmt w:val="lowerLetter"/>
      <w:start w:val="4"/>
    </w:lvl>
  </w:abstractNum>
  <w:abstractNum w:abstractNumId="22">
    <w:nsid w:val="7C3DBD3D"/>
    <w:multiLevelType w:val="hybridMultilevel"/>
    <w:lvl w:ilvl="0">
      <w:lvlJc w:val="left"/>
      <w:lvlText w:val="%1"/>
      <w:numFmt w:val="lowerRoman"/>
      <w:start w:val="1"/>
    </w:lvl>
    <w:lvl w:ilvl="1">
      <w:lvlJc w:val="left"/>
      <w:lvlText w:val="(%2)"/>
      <w:numFmt w:val="lowerLetter"/>
      <w:start w:val="8"/>
    </w:lvl>
  </w:abstractNum>
  <w:abstractNum w:abstractNumId="23">
    <w:nsid w:val="737B8DDC"/>
    <w:multiLevelType w:val="hybridMultilevel"/>
    <w:lvl w:ilvl="0">
      <w:lvlJc w:val="left"/>
      <w:lvlText w:val="(%1)"/>
      <w:numFmt w:val="lowerRoman"/>
      <w:start w:val="4"/>
    </w:lvl>
    <w:lvl w:ilvl="1">
      <w:lvlJc w:val="left"/>
      <w:lvlText w:val="(%2)"/>
      <w:numFmt w:val="lowerLetter"/>
      <w:start w:val="10"/>
    </w:lvl>
  </w:abstractNum>
  <w:abstractNum w:abstractNumId="24">
    <w:nsid w:val="6CEAF087"/>
    <w:multiLevelType w:val="hybridMultilevel"/>
    <w:lvl w:ilvl="0">
      <w:lvlJc w:val="left"/>
      <w:lvlText w:val="(%1)"/>
      <w:numFmt w:val="lowerLetter"/>
      <w:start w:val="11"/>
    </w:lvl>
  </w:abstractNum>
  <w:abstractNum w:abstractNumId="25">
    <w:nsid w:val="22221A70"/>
    <w:multiLevelType w:val="hybridMultilevel"/>
    <w:lvl w:ilvl="0">
      <w:lvlJc w:val="left"/>
      <w:lvlText w:val="(%1)"/>
      <w:numFmt w:val="lowerLetter"/>
      <w:start w:val="1"/>
    </w:lvl>
  </w:abstractNum>
  <w:abstractNum w:abstractNumId="26">
    <w:nsid w:val="4516DDE9"/>
    <w:multiLevelType w:val="hybridMultilevel"/>
    <w:lvl w:ilvl="0">
      <w:lvlJc w:val="left"/>
      <w:lvlText w:val="(%1)"/>
      <w:numFmt w:val="lowerLetter"/>
      <w:start w:val="1"/>
    </w:lvl>
  </w:abstractNum>
  <w:abstractNum w:abstractNumId="27">
    <w:nsid w:val="3006C83E"/>
    <w:multiLevelType w:val="hybridMultilevel"/>
    <w:lvl w:ilvl="0">
      <w:lvlJc w:val="left"/>
      <w:lvlText w:val="(%1)"/>
      <w:numFmt w:val="lowerLetter"/>
      <w:start w:val="8"/>
    </w:lvl>
  </w:abstractNum>
  <w:abstractNum w:abstractNumId="28">
    <w:nsid w:val="614FD4A1"/>
    <w:multiLevelType w:val="hybridMultilevel"/>
    <w:lvl w:ilvl="0">
      <w:lvlJc w:val="left"/>
      <w:lvlText w:val="(%1)"/>
      <w:numFmt w:val="lowerLetter"/>
      <w:start w:val="1"/>
    </w:lvl>
    <w:lvl w:ilvl="1">
      <w:lvlJc w:val="left"/>
      <w:lvlText w:val="(%2)"/>
      <w:numFmt w:val="lowerRoman"/>
      <w:start w:val="1"/>
    </w:lvl>
  </w:abstractNum>
  <w:abstractNum w:abstractNumId="29">
    <w:nsid w:val="419AC241"/>
    <w:multiLevelType w:val="hybridMultilevel"/>
    <w:lvl w:ilvl="0">
      <w:lvlJc w:val="left"/>
      <w:lvlText w:val="(%1)"/>
      <w:numFmt w:val="lowerLetter"/>
      <w:start w:val="1"/>
    </w:lvl>
  </w:abstractNum>
  <w:abstractNum w:abstractNumId="30">
    <w:nsid w:val="5577F8E1"/>
    <w:multiLevelType w:val="hybridMultilevel"/>
    <w:lvl w:ilvl="0">
      <w:lvlJc w:val="left"/>
      <w:lvlText w:val="(%1)"/>
      <w:numFmt w:val="lowerLetter"/>
      <w:start w:val="2"/>
    </w:lvl>
  </w:abstractNum>
  <w:abstractNum w:abstractNumId="31">
    <w:nsid w:val="440BADFC"/>
    <w:multiLevelType w:val="hybridMultilevel"/>
    <w:lvl w:ilvl="0">
      <w:lvlJc w:val="left"/>
      <w:lvlText w:val="(%1)"/>
      <w:numFmt w:val="lowerLetter"/>
      <w:start w:val="1"/>
    </w:lvl>
    <w:lvl w:ilvl="1">
      <w:lvlJc w:val="left"/>
      <w:lvlText w:val="(%2)"/>
      <w:numFmt w:val="lowerLetter"/>
      <w:start w:val="2"/>
    </w:lvl>
  </w:abstractNum>
  <w:abstractNum w:abstractNumId="32">
    <w:nsid w:val="5072367"/>
    <w:multiLevelType w:val="hybridMultilevel"/>
    <w:lvl w:ilvl="0">
      <w:lvlJc w:val="left"/>
      <w:lvlText w:val="(%1)"/>
      <w:numFmt w:val="lowerLetter"/>
      <w:start w:val="1"/>
    </w:lvl>
  </w:abstractNum>
  <w:abstractNum w:abstractNumId="33">
    <w:nsid w:val="3804823E"/>
    <w:multiLevelType w:val="hybridMultilevel"/>
    <w:lvl w:ilvl="0">
      <w:lvlJc w:val="left"/>
      <w:lvlText w:val="%1."/>
      <w:numFmt w:val="decimal"/>
      <w:start w:val="1"/>
    </w:lvl>
    <w:lvl w:ilvl="1">
      <w:lvlJc w:val="left"/>
      <w:lvlText w:val="%2."/>
      <w:numFmt w:val="lowerLetter"/>
      <w:start w:val="1"/>
    </w:lvl>
  </w:abstractNum>
  <w:abstractNum w:abstractNumId="34">
    <w:nsid w:val="77465F01"/>
    <w:multiLevelType w:val="hybridMultilevel"/>
    <w:lvl w:ilvl="0">
      <w:lvlJc w:val="left"/>
      <w:lvlText w:val="%1."/>
      <w:numFmt w:val="decimal"/>
      <w:start w:val="1"/>
    </w:lvl>
    <w:lvl w:ilvl="1">
      <w:lvlJc w:val="left"/>
      <w:lvlText w:val="%2."/>
      <w:numFmt w:val="lowerLetter"/>
      <w:start w:val="1"/>
    </w:lvl>
  </w:abstractNum>
  <w:abstractNum w:abstractNumId="35">
    <w:nsid w:val="7724C67E"/>
    <w:multiLevelType w:val="hybridMultilevel"/>
    <w:lvl w:ilvl="0">
      <w:lvlJc w:val="left"/>
      <w:lvlText w:val="(%1)"/>
      <w:numFmt w:val="decimal"/>
      <w:start w:val="1"/>
    </w:lvl>
  </w:abstractNum>
  <w:abstractNum w:abstractNumId="36">
    <w:nsid w:val="5C482A97"/>
    <w:multiLevelType w:val="hybridMultilevel"/>
    <w:lvl w:ilvl="0">
      <w:lvlJc w:val="left"/>
      <w:lvlText w:val="(%1)"/>
      <w:numFmt w:val="decimal"/>
      <w:start w:val="1"/>
    </w:lvl>
  </w:abstractNum>
  <w:abstractNum w:abstractNumId="37">
    <w:nsid w:val="2463B9EA"/>
    <w:multiLevelType w:val="hybridMultilevel"/>
    <w:lvl w:ilvl="0">
      <w:lvlJc w:val="left"/>
      <w:lvlText w:val="%1"/>
      <w:numFmt w:val="decimal"/>
      <w:start w:val="1"/>
    </w:lvl>
    <w:lvl w:ilvl="1">
      <w:lvlJc w:val="left"/>
      <w:lvlText w:val="(%2)"/>
      <w:numFmt w:val="decimal"/>
      <w:start w:val="1"/>
    </w:lvl>
  </w:abstractNum>
  <w:abstractNum w:abstractNumId="38">
    <w:nsid w:val="5E884ADC"/>
    <w:multiLevelType w:val="hybridMultilevel"/>
    <w:lvl w:ilvl="0">
      <w:lvlJc w:val="left"/>
      <w:lvlText w:val="(%1)"/>
      <w:numFmt w:val="decimal"/>
      <w:start w:val="4"/>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2025-02-06T15:17:54Z</dcterms:created>
  <dcterms:modified xsi:type="dcterms:W3CDTF">2025-02-06T15:17:54Z</dcterms:modified>
</cp:coreProperties>
</file>