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December 31,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 (d)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1-15461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 xml:space="preserve">MATRIX SERVICE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73-1352174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15 East 5th Street, Suite 1100, Tulsa, Oklahoma 74103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(918) 838-8822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7, 2024 there were 27,304,734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0">
              <w:r>
                <w:rPr>
                  <w:rStyle w:val="InternetLink"/>
                  <w:rFonts w:ascii="Times New Roman;sans-serif" w:hAnsi="Times New Roman;sans-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3">
              <w:r>
                <w:rPr>
                  <w:rStyle w:val="InternetLink"/>
                  <w:rFonts w:ascii="Times New Roman;sans-serif" w:hAnsi="Times New Roman;sans-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6">
              <w:r>
                <w:rPr>
                  <w:rStyle w:val="InternetLink"/>
                  <w:rFonts w:ascii="Times New Roman;sans-serif" w:hAnsi="Times New Roman;sans-serif"/>
                  <w:b w:val="false"/>
                  <w:color w:val="0000FF"/>
                  <w:sz w:val="20"/>
                  <w:u w:val="single"/>
                </w:rPr>
                <w:t>Condensed Consolidated Statements of Income for the Three and Six Months Ended December 31,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6">
              <w:r>
                <w:rPr>
                  <w:rStyle w:val="InternetLink"/>
                  <w:rFonts w:ascii="Times New Roman;sans-serif" w:hAnsi="Times New Roman;sans-serif"/>
                  <w:b w:val="false"/>
                  <w:color w:val="0000FF"/>
                  <w:sz w:val="20"/>
                  <w:u w:val="single"/>
                </w:rPr>
                <w:t>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9">
              <w:r>
                <w:rPr>
                  <w:rStyle w:val="InternetLink"/>
                  <w:rFonts w:ascii="Times New Roman;sans-serif" w:hAnsi="Times New Roman;sans-serif"/>
                  <w:b w:val="false"/>
                  <w:color w:val="0000FF"/>
                  <w:sz w:val="20"/>
                  <w:u w:val="single"/>
                </w:rPr>
                <w:t xml:space="preserve">Condensed Consolidated Statements of Comprehensive Income for the Three and Six Months Ended December 31, 2023 and 2022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9">
              <w:r>
                <w:rPr>
                  <w:rStyle w:val="InternetLink"/>
                  <w:rFonts w:ascii="Times New Roman;sans-serif" w:hAnsi="Times New Roman;sans-serif"/>
                  <w:b w:val="false"/>
                  <w:color w:val="0000FF"/>
                  <w:sz w:val="20"/>
                  <w:u w:val="single"/>
                </w:rPr>
                <w:t>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25">
              <w:r>
                <w:rPr>
                  <w:rStyle w:val="InternetLink"/>
                  <w:rFonts w:ascii="Times New Roman;sans-serif" w:hAnsi="Times New Roman;sans-serif"/>
                  <w:b w:val="false"/>
                  <w:color w:val="0000FF"/>
                  <w:sz w:val="20"/>
                  <w:u w:val="single"/>
                </w:rPr>
                <w:t>Condensed Consolidated Balance Sheets as of December 31, 2023 and June 30,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25">
              <w:r>
                <w:rPr>
                  <w:rStyle w:val="InternetLink"/>
                  <w:rFonts w:ascii="Times New Roman;sans-serif" w:hAnsi="Times New Roman;sans-serif"/>
                  <w:b w:val="false"/>
                  <w:color w:val="0000FF"/>
                  <w:sz w:val="20"/>
                  <w:u w:val="single"/>
                </w:rPr>
                <w:t>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31">
              <w:r>
                <w:rPr>
                  <w:rStyle w:val="InternetLink"/>
                  <w:rFonts w:ascii="Times New Roman;sans-serif" w:hAnsi="Times New Roman;sans-serif"/>
                  <w:b w:val="false"/>
                  <w:color w:val="0000FF"/>
                  <w:sz w:val="20"/>
                  <w:u w:val="single"/>
                </w:rPr>
                <w:t>Condensed Consolidated Statements of Cash Flows for the Six Months Ended December 31,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31">
              <w:r>
                <w:rPr>
                  <w:rStyle w:val="InternetLink"/>
                  <w:rFonts w:ascii="Times New Roman;sans-serif" w:hAnsi="Times New Roman;sans-serif"/>
                  <w:b w:val="false"/>
                  <w:color w:val="0000FF"/>
                  <w:sz w:val="20"/>
                  <w:u w:val="single"/>
                </w:rPr>
                <w:t>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34">
              <w:r>
                <w:rPr>
                  <w:rStyle w:val="InternetLink"/>
                  <w:rFonts w:ascii="Times New Roman;sans-serif" w:hAnsi="Times New Roman;sans-serif"/>
                  <w:b w:val="false"/>
                  <w:color w:val="0000FF"/>
                  <w:sz w:val="20"/>
                  <w:u w:val="single"/>
                </w:rPr>
                <w:t xml:space="preserve">Condensed Consolidated Statements of Changes in Stockholders’ Equity for the Three and Six Months Ended December 31, 2023 and 2022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34">
              <w:r>
                <w:rPr>
                  <w:rStyle w:val="InternetLink"/>
                  <w:rFonts w:ascii="Times New Roman;sans-serif" w:hAnsi="Times New Roman;sans-serif"/>
                  <w:b w:val="false"/>
                  <w:color w:val="0000FF"/>
                  <w:sz w:val="20"/>
                  <w:u w:val="single"/>
                </w:rPr>
                <w:t>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40">
              <w:r>
                <w:rPr>
                  <w:rStyle w:val="InternetLink"/>
                  <w:rFonts w:ascii="Times New Roman;sans-serif" w:hAnsi="Times New Roman;sans-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40">
              <w:r>
                <w:rPr>
                  <w:rStyle w:val="InternetLink"/>
                  <w:rFonts w:ascii="Times New Roman;sans-serif" w:hAnsi="Times New Roman;sans-serif"/>
                  <w:b w:val="false"/>
                  <w:color w:val="0000FF"/>
                  <w:sz w:val="20"/>
                  <w:u w:val="single"/>
                </w:rPr>
                <w:t>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79">
              <w:r>
                <w:rPr>
                  <w:rStyle w:val="InternetLink"/>
                  <w:rFonts w:ascii="Times New Roman;sans-serif" w:hAnsi="Times New Roman;sans-serif"/>
                  <w:b w:val="false"/>
                  <w:color w:val="0000FF"/>
                  <w:sz w:val="20"/>
                  <w:u w:val="single"/>
                </w:rPr>
                <w:t>17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94">
              <w:r>
                <w:rPr>
                  <w:rStyle w:val="InternetLink"/>
                  <w:rFonts w:ascii="Times New Roman;sans-serif" w:hAnsi="Times New Roman;sans-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94">
              <w:r>
                <w:rPr>
                  <w:rStyle w:val="InternetLink"/>
                  <w:rFonts w:ascii="Times New Roman;sans-serif" w:hAnsi="Times New Roman;sans-serif"/>
                  <w:b w:val="false"/>
                  <w:color w:val="0000FF"/>
                  <w:sz w:val="20"/>
                  <w:u w:val="single"/>
                </w:rPr>
                <w:t>30</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97">
              <w:r>
                <w:rPr>
                  <w:rStyle w:val="InternetLink"/>
                  <w:rFonts w:ascii="Times New Roman;sans-serif" w:hAnsi="Times New Roman;sans-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97">
              <w:r>
                <w:rPr>
                  <w:rStyle w:val="InternetLink"/>
                  <w:rFonts w:ascii="Times New Roman;sans-serif" w:hAnsi="Times New Roman;sans-serif"/>
                  <w:b w:val="false"/>
                  <w:color w:val="0000FF"/>
                  <w:sz w:val="20"/>
                  <w:u w:val="single"/>
                </w:rPr>
                <w:t>30</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00">
              <w:r>
                <w:rPr>
                  <w:rStyle w:val="InternetLink"/>
                  <w:rFonts w:ascii="Times New Roman;sans-serif" w:hAnsi="Times New Roman;sans-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03">
              <w:r>
                <w:rPr>
                  <w:rStyle w:val="InternetLink"/>
                  <w:rFonts w:ascii="Times New Roman;sans-serif" w:hAnsi="Times New Roman;sans-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03">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06">
              <w:r>
                <w:rPr>
                  <w:rStyle w:val="InternetLink"/>
                  <w:rFonts w:ascii="Times New Roman;sans-serif" w:hAnsi="Times New Roman;sans-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06">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09">
              <w:r>
                <w:rPr>
                  <w:rStyle w:val="InternetLink"/>
                  <w:rFonts w:ascii="Times New Roman;sans-serif" w:hAnsi="Times New Roman;sans-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09">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12">
              <w:r>
                <w:rPr>
                  <w:rStyle w:val="InternetLink"/>
                  <w:rFonts w:ascii="Times New Roman;sans-serif" w:hAnsi="Times New Roman;sans-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12">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15">
              <w:r>
                <w:rPr>
                  <w:rStyle w:val="InternetLink"/>
                  <w:rFonts w:ascii="Times New Roman;sans-serif" w:hAnsi="Times New Roman;sans-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15">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18">
              <w:r>
                <w:rPr>
                  <w:rStyle w:val="InternetLink"/>
                  <w:rFonts w:ascii="Times New Roman;sans-serif" w:hAnsi="Times New Roman;sans-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18">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21">
              <w:r>
                <w:rPr>
                  <w:rStyle w:val="InternetLink"/>
                  <w:rFonts w:ascii="Times New Roman;sans-serif" w:hAnsi="Times New Roman;sans-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21">
              <w:r>
                <w:rPr>
                  <w:rStyle w:val="InternetLink"/>
                  <w:rFonts w:ascii="Times New Roman;sans-serif" w:hAnsi="Times New Roman;sans-serif"/>
                  <w:b w:val="false"/>
                  <w:color w:val="0000FF"/>
                  <w:sz w:val="20"/>
                  <w:u w:val="single"/>
                </w:rPr>
                <w:t>31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831cfbf9c4b8181c24418731edfbd_124">
              <w:r>
                <w:rPr>
                  <w:rStyle w:val="InternetLink"/>
                  <w:rFonts w:ascii="Times New Roman;sans-serif" w:hAnsi="Times New Roman;sans-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831cfbf9c4b8181c24418731edfbd_124">
              <w:r>
                <w:rPr>
                  <w:rStyle w:val="InternetLink"/>
                  <w:rFonts w:ascii="Times New Roman;sans-serif" w:hAnsi="Times New Roman;sans-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929" w:type="dxa"/>
        <w:jc w:val="center"/>
        <w:tblInd w:w="0" w:type="dxa"/>
        <w:tblLayout w:type="fixed"/>
        <w:tblCellMar>
          <w:top w:w="28" w:type="dxa"/>
          <w:left w:w="28" w:type="dxa"/>
          <w:bottom w:w="28" w:type="dxa"/>
          <w:right w:w="28" w:type="dxa"/>
        </w:tblCellMar>
      </w:tblPr>
      <w:tblGrid>
        <w:gridCol w:w="1561"/>
        <w:gridCol w:w="1376"/>
        <w:gridCol w:w="13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9333" w:type="dxa"/>
        <w:jc w:val="center"/>
        <w:tblInd w:w="0" w:type="dxa"/>
        <w:tblLayout w:type="fixed"/>
        <w:tblCellMar>
          <w:top w:w="28" w:type="dxa"/>
          <w:left w:w="28" w:type="dxa"/>
          <w:bottom w:w="28" w:type="dxa"/>
          <w:right w:w="28" w:type="dxa"/>
        </w:tblCellMar>
      </w:tblPr>
      <w:tblGrid>
        <w:gridCol w:w="1406"/>
        <w:gridCol w:w="1228"/>
        <w:gridCol w:w="1251"/>
        <w:gridCol w:w="228"/>
        <w:gridCol w:w="749"/>
        <w:gridCol w:w="118"/>
        <w:gridCol w:w="109"/>
        <w:gridCol w:w="109"/>
        <w:gridCol w:w="109"/>
        <w:gridCol w:w="211"/>
        <w:gridCol w:w="796"/>
        <w:gridCol w:w="109"/>
        <w:gridCol w:w="109"/>
        <w:gridCol w:w="109"/>
        <w:gridCol w:w="109"/>
        <w:gridCol w:w="228"/>
        <w:gridCol w:w="749"/>
        <w:gridCol w:w="118"/>
        <w:gridCol w:w="109"/>
        <w:gridCol w:w="109"/>
        <w:gridCol w:w="109"/>
        <w:gridCol w:w="211"/>
        <w:gridCol w:w="79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722"/>
        <w:gridCol w:w="2396"/>
        <w:gridCol w:w="2421"/>
        <w:gridCol w:w="211"/>
        <w:gridCol w:w="826"/>
        <w:gridCol w:w="109"/>
        <w:gridCol w:w="109"/>
        <w:gridCol w:w="109"/>
        <w:gridCol w:w="109"/>
        <w:gridCol w:w="211"/>
        <w:gridCol w:w="826"/>
        <w:gridCol w:w="156"/>
      </w:tblGrid>
      <w:tr>
        <w:trPr/>
        <w:tc>
          <w:tcPr>
            <w:tcW w:w="2722"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(December 31, 2023—$408 and June 30, 2023—$1,061)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of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3"/>
        <w:gridCol w:w="2380"/>
        <w:gridCol w:w="2387"/>
        <w:gridCol w:w="211"/>
        <w:gridCol w:w="826"/>
        <w:gridCol w:w="109"/>
        <w:gridCol w:w="109"/>
        <w:gridCol w:w="109"/>
        <w:gridCol w:w="109"/>
        <w:gridCol w:w="211"/>
        <w:gridCol w:w="826"/>
        <w:gridCol w:w="155"/>
      </w:tblGrid>
      <w:tr>
        <w:trPr/>
        <w:tc>
          <w:tcPr>
            <w:tcW w:w="277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asset-backed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stock—$0.01 par value; 60,000,000 shares authorized; 27,888,217 shares issued as of December 31, 2023 and June 30, 2023; 27,300,485 and 27,047,318 shares outstanding as of December 31, 2023 and June 30,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587,732 shares as of December 31, 2023, and 840,899 shares as of June 30,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867" w:type="dxa"/>
        <w:jc w:val="center"/>
        <w:tblInd w:w="0" w:type="dxa"/>
        <w:tblLayout w:type="fixed"/>
        <w:tblCellMar>
          <w:top w:w="28" w:type="dxa"/>
          <w:left w:w="28" w:type="dxa"/>
          <w:bottom w:w="28" w:type="dxa"/>
          <w:right w:w="28" w:type="dxa"/>
        </w:tblCellMar>
      </w:tblPr>
      <w:tblGrid>
        <w:gridCol w:w="2277"/>
        <w:gridCol w:w="1997"/>
        <w:gridCol w:w="2010"/>
        <w:gridCol w:w="228"/>
        <w:gridCol w:w="749"/>
        <w:gridCol w:w="118"/>
        <w:gridCol w:w="109"/>
        <w:gridCol w:w="109"/>
        <w:gridCol w:w="109"/>
        <w:gridCol w:w="211"/>
        <w:gridCol w:w="796"/>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by operating activities: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property, plant and equipment (Note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increasing (decreasing) cash:</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operating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 (Note 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2"/>
        <w:gridCol w:w="2432"/>
        <w:gridCol w:w="2442"/>
        <w:gridCol w:w="221"/>
        <w:gridCol w:w="757"/>
        <w:gridCol w:w="113"/>
        <w:gridCol w:w="109"/>
        <w:gridCol w:w="109"/>
        <w:gridCol w:w="109"/>
        <w:gridCol w:w="220"/>
        <w:gridCol w:w="755"/>
        <w:gridCol w:w="166"/>
      </w:tblGrid>
      <w:tr>
        <w:trPr/>
        <w:tc>
          <w:tcPr>
            <w:tcW w:w="277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under asset-backed credit facility</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advances under asset-backed credit facility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payment of statutory taxes due on equity-based compensation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beginning of period </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end of period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during the period for:</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on account</w:t>
            </w:r>
          </w:p>
        </w:tc>
        <w:tc>
          <w:tcPr>
            <w:tcW w:w="2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64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54"/>
        <w:gridCol w:w="688"/>
        <w:gridCol w:w="691"/>
        <w:gridCol w:w="206"/>
        <w:gridCol w:w="444"/>
        <w:gridCol w:w="116"/>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196"/>
        <w:gridCol w:w="680"/>
        <w:gridCol w:w="109"/>
        <w:gridCol w:w="109"/>
        <w:gridCol w:w="109"/>
        <w:gridCol w:w="109"/>
        <w:gridCol w:w="196"/>
        <w:gridCol w:w="736"/>
        <w:gridCol w:w="156"/>
      </w:tblGrid>
      <w:tr>
        <w:trPr/>
        <w:tc>
          <w:tcPr>
            <w:tcW w:w="10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(86,783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sold to Employee Stock Purchase Plan (3,864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December 31,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2022</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(54,702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sold to Employee Stock Purchase Plan (17,111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December 31, 2022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5"/>
        <w:gridCol w:w="705"/>
        <w:gridCol w:w="686"/>
        <w:gridCol w:w="206"/>
        <w:gridCol w:w="444"/>
        <w:gridCol w:w="116"/>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196"/>
        <w:gridCol w:w="677"/>
        <w:gridCol w:w="109"/>
        <w:gridCol w:w="109"/>
        <w:gridCol w:w="109"/>
        <w:gridCol w:w="109"/>
        <w:gridCol w:w="196"/>
        <w:gridCol w:w="736"/>
        <w:gridCol w:w="156"/>
      </w:tblGrid>
      <w:tr>
        <w:trPr/>
        <w:tc>
          <w:tcPr>
            <w:tcW w:w="104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(297,026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sold to Employee Stock Purchase Plan (11,465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purchased to satisfy tax withholding obligations (55,324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December 31,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(259,529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sold to Employee Stock Purchase Plan (30,144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purchased to satisfy tax withholding obligations (52,864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December 31, 2022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2023, included in our Annual Report on Form 10-K for the year then ended. The results of operations for the three and six month periods ended December 31, 2023 may not necessarily be indicative of the results of operations for the full year ending June 30,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“Note 1 - Summary of Significant Accounting Policies” of our Annual Report on Form 10-K for the year ended June 30,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expands disclosures about a public entity’s reportable segments and requires enhanced information about a reportable segment’s expenses, interim segment profit or loss, and how a public entity’s chief operating decision maker uses reported segment profit or loss information in assessing segment performance and allocating resources. The update will be effective for annual periods beginning after December 15, 2023 (fiscal 2025). We are assessing the effect of this update on our consolidated financial statements and related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We are assessing the effect of this update on our consolidated financial statements and related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accounting pronouncements issued but not effective until after December 31, 2023 are not expected to have a material impact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$749.4 million of remaining performance obligations yet to be satisfied as of December 31, 2023. We expect to recognize $437.1 million of our remaining performance obligations as revenue within the next twelve months.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tbl>
      <w:tblPr>
        <w:tblW w:w="10205" w:type="dxa"/>
        <w:jc w:val="center"/>
        <w:tblInd w:w="0" w:type="dxa"/>
        <w:tblLayout w:type="fixed"/>
        <w:tblCellMar>
          <w:top w:w="28" w:type="dxa"/>
          <w:left w:w="28" w:type="dxa"/>
          <w:bottom w:w="28" w:type="dxa"/>
          <w:right w:w="28" w:type="dxa"/>
        </w:tblCellMar>
      </w:tblPr>
      <w:tblGrid>
        <w:gridCol w:w="2234"/>
        <w:gridCol w:w="1959"/>
        <w:gridCol w:w="1968"/>
        <w:gridCol w:w="211"/>
        <w:gridCol w:w="794"/>
        <w:gridCol w:w="109"/>
        <w:gridCol w:w="109"/>
        <w:gridCol w:w="109"/>
        <w:gridCol w:w="109"/>
        <w:gridCol w:w="211"/>
        <w:gridCol w:w="794"/>
        <w:gridCol w:w="109"/>
        <w:gridCol w:w="109"/>
        <w:gridCol w:w="109"/>
        <w:gridCol w:w="109"/>
        <w:gridCol w:w="211"/>
        <w:gridCol w:w="794"/>
        <w:gridCol w:w="157"/>
      </w:tblGrid>
      <w:tr>
        <w:trPr/>
        <w:tc>
          <w:tcPr>
            <w:tcW w:w="223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6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beginning and ending balances of our CIE and BIE primarily results from the timing of revenue recognized relative to the billings on the associated contract. The amount of revenue recognized during the six months ended December 31, 2023 that was included in the June 30, 2023 BIE balance was $78.3 million. This revenue consists primarily of work performed during the period on contracts with customers that had advance billings.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 billings in accounts receivable at December 31, 2023 and June 30, 2023 included retentions to be collected within one year of $14.7 million and $16.3 million, respectively. Contract retentions collectible beyond one year are included in other assets, non-current in the Condensed Consolidated Balance Sheets and totaled $17.6 million as of December 31, 2023 and $10.0 million as of June 30, 2023.</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Unpriced Change Orders and Claims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 included revenues for unpriced change orders and claims of $11.8 million at December 31, 2023 and $9.7 million at June 30, 2023. The amounts ultimately realized may be significantly different than the recorded amounts resulting in a material adjustment to future earnings. The determination of our legal basis for a claim requires significant judgment. Generally, collection of amounts related to unpriced change orders and claims is expected within twelve months. However, since customers may not pay these amounts until final resolution of related claims, collection of these amounts may extend beyond one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reportable segment is presented in Note 9 - Segment Information. The following tables presents revenue disaggregated by geographic area where the work was performed and by contract type: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Geographic Disaggregation:</w:t>
      </w:r>
    </w:p>
    <w:tbl>
      <w:tblPr>
        <w:tblW w:w="7384" w:type="dxa"/>
        <w:jc w:val="left"/>
        <w:tblInd w:w="0" w:type="dxa"/>
        <w:tblLayout w:type="fixed"/>
        <w:tblCellMar>
          <w:top w:w="28" w:type="dxa"/>
          <w:left w:w="28" w:type="dxa"/>
          <w:bottom w:w="28" w:type="dxa"/>
          <w:right w:w="28" w:type="dxa"/>
        </w:tblCellMar>
      </w:tblPr>
      <w:tblGrid>
        <w:gridCol w:w="604"/>
        <w:gridCol w:w="529"/>
        <w:gridCol w:w="532"/>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Type Disaggregation:                                                                </w:t>
      </w:r>
    </w:p>
    <w:tbl>
      <w:tblPr>
        <w:tblW w:w="10205" w:type="dxa"/>
        <w:jc w:val="left"/>
        <w:tblInd w:w="0" w:type="dxa"/>
        <w:tblLayout w:type="fixed"/>
        <w:tblCellMar>
          <w:top w:w="28" w:type="dxa"/>
          <w:left w:w="28" w:type="dxa"/>
          <w:bottom w:w="28" w:type="dxa"/>
          <w:right w:w="28" w:type="dxa"/>
        </w:tblCellMar>
      </w:tblPr>
      <w:tblGrid>
        <w:gridCol w:w="1631"/>
        <w:gridCol w:w="1422"/>
        <w:gridCol w:w="1431"/>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3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 contracts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 and other cost reimbursable contracts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Revisions in Estimates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unfavorable changes in the estimated recovery of change orders and increased forecasted costs to complete and closeout certain midstream gas processing construction work in the Process and Industrial Facilities segment resulted in a reduction of gross profit of $9.6 million and $9.4 million during the three and six months ended December 31, 2022, respectively. This was primarily the result of the client not approving adequate compensation to us for the impact that excessive scope changes had on our ability to progress the work according to forecast and for the impacts of global supply chain issues and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3 – Property, Plant and Equipment</w:t>
      </w:r>
    </w:p>
    <w:p>
      <w:pPr>
        <w:pStyle w:val="TextBody"/>
        <w:bidi w:val="0"/>
        <w:spacing w:lineRule="auto" w:line="288" w:before="3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Building Disposals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2024, we sold a facility in Catoosa, Oklahoma for $2.7 million in net proceeds, which resulted in a gain of $2.0 million. Proceeds were received in January 2024. The gain was included in Other income in the Condensed Consolidated Statements of Income. The facility was previously utilized for our industrial cleaning business, which was sold during the fourth quarter of fiscal 2023. The Catoosa, Oklahoma facility was closed as it was no longer strategic to the future of the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2024, we sold a previously utilized facility in Burlington, Ontario for $2.7 million in net proceeds, which resulted in a gain of $2.5 million. The gain was included in Other income in the Condensed Consolidated Statements of Income. We closed this previously utilized facility during the second quarter of fiscal 2023 because it was no longer strategic to the future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 Goodwill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2023,we had indicators of a potential impairment and performed an interim impairment test within the Process and Industrial Facilities segment. We concluded that its $12.3 million of goodwill was fully impaired and recognized the impairment in operating income during the three and six months ended December 31, 2022. We did not record any impairments during the three and six months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amended on October 5, 2022 and December 29, 2023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 The ABL Facility matures, and any outstanding amounts become due and payable, on September 9,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December 31, 2023, our borrowing base was $69.1 million. During the quarter ended December 31, 2023, the Company repaid all outstanding borrowings under the ABL Facility. The Company had $10.0 million in letters of credit outstanding as of December 31, 2023, which resulted in availability of $59.1 million under the ABL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Canadian Prime Rate borrowings or (ii) the last day of the interest period for Adjusted Term SOFR borrowings, as set forth in the ABL Facility. The fee for undrawn amounts is 0.25% per annum and is due quarterly.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were zero for each of the three and six months ended December 31, 2023 and 2022. The effective tax rates during fiscal 2024 were impacted by valuation allowances of $1.2 million and $1.4 million placed on deferred tax assets during the three and six months ended December 31, 2023, respectively. The effective tax rates during fiscal 2023 were impacted by valuation allowances of $8.4 million and $9.8 million placed on deferred tax assets during the three and six months ended December 31, 2022, respectively.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Contingencies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Insurance Reserves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for various aspects of our operations. However, we retain exposure to potential losses through the use of deductibles, self-insured retentions and coverage limits.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insurance and the additional insurance coverage provided by our subcontractors will fully protect us against a valid claim or loss under the contracts with our customers.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2020, we commenced litigation in an effort to collect an account receivable from an iron and steel customer on a reimbursable contract following the deterioration of the relationship. In connection with our suit, the customer filed certain counterclaims against us. In September 2023, a jury returned a verdict in our favor and awarded us the full contract balance. We received full payment of $16.8 million in October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completed cost reimbursable construction services for a customer at a mining and minerals facility. In late fiscal 2023, after numerous attempts to collect outstanding receivables, we filed a notice of default for lack of payment of outstanding balances, and in early fiscal 2024, we filed a lien on the facility. The customer responded by commencing litigation against us, alleging breach of contract and breach of express warranty. We deny all claims and filed a countersuit against the customer for failure to pay outstanding amounts of accounts receivable, which totaled $5.6 million as of December 31, 2023. Litigation is unpredictable, however, based on the terms of the contract with this customer, we believe we are entitled to collect the full amount owed under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filed an arbitration demand in an effort to collect outstanding balances of $32.7 million from a customer for which we completed a crude oil storage terminal project. The customer has filed counterclaims for liquidated damages and miscellaneous warranty items. We deny all claims and believe we are entitled to collect the full amount owed under the contract. Our hearing for this matter is currently scheduled for October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set appropriate reserves for the matters described above based on our evaluation of the possible outcomes of the litigation. We and our subsidiaries are participants in various other legal actions. It is the opinion of management that none of the other known legal actions will have a material impact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8 – Earnings per Common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(“Basic EPS”) is calculated based on the weighted average shares outstanding during the period. Diluted earnings per share (“Diluted EPS”) includes the dilutive effect of nonvested restricted stock shares. In the event we report a loss, nonvested restricted stock shares are not included since they are anti-dilutive.</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and diluted earnings per share is as follows:</w:t>
      </w:r>
    </w:p>
    <w:tbl>
      <w:tblPr>
        <w:tblW w:w="9212" w:type="dxa"/>
        <w:jc w:val="center"/>
        <w:tblInd w:w="0" w:type="dxa"/>
        <w:tblLayout w:type="fixed"/>
        <w:tblCellMar>
          <w:top w:w="28" w:type="dxa"/>
          <w:left w:w="28" w:type="dxa"/>
          <w:bottom w:w="28" w:type="dxa"/>
          <w:right w:w="28" w:type="dxa"/>
        </w:tblCellMar>
      </w:tblPr>
      <w:tblGrid>
        <w:gridCol w:w="1360"/>
        <w:gridCol w:w="1192"/>
        <w:gridCol w:w="1212"/>
        <w:gridCol w:w="228"/>
        <w:gridCol w:w="749"/>
        <w:gridCol w:w="118"/>
        <w:gridCol w:w="109"/>
        <w:gridCol w:w="109"/>
        <w:gridCol w:w="109"/>
        <w:gridCol w:w="211"/>
        <w:gridCol w:w="796"/>
        <w:gridCol w:w="109"/>
        <w:gridCol w:w="109"/>
        <w:gridCol w:w="109"/>
        <w:gridCol w:w="109"/>
        <w:gridCol w:w="228"/>
        <w:gridCol w:w="749"/>
        <w:gridCol w:w="118"/>
        <w:gridCol w:w="109"/>
        <w:gridCol w:w="109"/>
        <w:gridCol w:w="109"/>
        <w:gridCol w:w="211"/>
        <w:gridCol w:w="79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2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left"/>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ar    e considered antidilutive and have been excluded from the calculation of Diluted EPS:</w:t>
      </w:r>
    </w:p>
    <w:p>
      <w:pPr>
        <w:pStyle w:val="TextBody"/>
        <w:bidi w:val="0"/>
        <w:spacing w:before="0" w:after="20"/>
        <w:jc w:val="left"/>
        <w:rPr/>
      </w:pPr>
      <w:r>
        <w:rPr/>
      </w:r>
    </w:p>
    <w:tbl>
      <w:tblPr>
        <w:tblW w:w="8549" w:type="dxa"/>
        <w:jc w:val="center"/>
        <w:tblInd w:w="0" w:type="dxa"/>
        <w:tblLayout w:type="fixed"/>
        <w:tblCellMar>
          <w:top w:w="28" w:type="dxa"/>
          <w:left w:w="28" w:type="dxa"/>
          <w:bottom w:w="28" w:type="dxa"/>
          <w:right w:w="28" w:type="dxa"/>
        </w:tblCellMar>
      </w:tblPr>
      <w:tblGrid>
        <w:gridCol w:w="1016"/>
        <w:gridCol w:w="891"/>
        <w:gridCol w:w="897"/>
        <w:gridCol w:w="364"/>
        <w:gridCol w:w="364"/>
        <w:gridCol w:w="366"/>
        <w:gridCol w:w="178"/>
        <w:gridCol w:w="178"/>
        <w:gridCol w:w="178"/>
        <w:gridCol w:w="364"/>
        <w:gridCol w:w="364"/>
        <w:gridCol w:w="366"/>
        <w:gridCol w:w="109"/>
        <w:gridCol w:w="109"/>
        <w:gridCol w:w="109"/>
        <w:gridCol w:w="364"/>
        <w:gridCol w:w="364"/>
        <w:gridCol w:w="366"/>
        <w:gridCol w:w="154"/>
        <w:gridCol w:w="154"/>
        <w:gridCol w:w="154"/>
        <w:gridCol w:w="334"/>
        <w:gridCol w:w="334"/>
        <w:gridCol w:w="47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shares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before="280" w:after="283"/>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9 – Segment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results of operations through three reportable segments: Storage and Terminal Solutions, Utility and Power Infrastructure, and Process and Industrial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94" w:type="dxa"/>
        <w:jc w:val="center"/>
        <w:tblInd w:w="0" w:type="dxa"/>
        <w:tblLayout w:type="fixed"/>
        <w:tblCellMar>
          <w:top w:w="28" w:type="dxa"/>
          <w:left w:w="28" w:type="dxa"/>
          <w:bottom w:w="28" w:type="dxa"/>
          <w:right w:w="28" w:type="dxa"/>
        </w:tblCellMar>
      </w:tblPr>
      <w:tblGrid>
        <w:gridCol w:w="1515"/>
        <w:gridCol w:w="1330"/>
        <w:gridCol w:w="13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Inter-segment revenue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revenue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 impairment &amp; restructuring costs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 impairment &amp; restructuring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before="80" w:after="283"/>
        <w:jc w:val="left"/>
        <w:rPr/>
      </w:pPr>
      <w:r>
        <w:rPr/>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segment were as follows (in thousands):</w:t>
      </w:r>
    </w:p>
    <w:tbl>
      <w:tblPr>
        <w:tblW w:w="5675" w:type="dxa"/>
        <w:jc w:val="left"/>
        <w:tblInd w:w="0" w:type="dxa"/>
        <w:tblLayout w:type="fixed"/>
        <w:tblCellMar>
          <w:top w:w="28" w:type="dxa"/>
          <w:left w:w="28" w:type="dxa"/>
          <w:bottom w:w="28" w:type="dxa"/>
          <w:right w:w="28" w:type="dxa"/>
        </w:tblCellMar>
      </w:tblPr>
      <w:tblGrid>
        <w:gridCol w:w="971"/>
        <w:gridCol w:w="855"/>
        <w:gridCol w:w="858"/>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a2831cfbf9c4b8181c24418731edfbd_7">
        <w:r>
          <w:rPr>
            <w:rStyle w:val="InternetLink"/>
          </w:rPr>
          <w:t>Table of Conten</w:t>
        </w:r>
      </w:hyperlink>
      <w:hyperlink w:anchor="i2a2831cfbf9c4b8181c24418731edfbd_7">
        <w:r>
          <w:rPr>
            <w:rStyle w:val="InternetLink"/>
          </w:rPr>
          <w:t>t</w:t>
        </w:r>
      </w:hyperlink>
      <w:hyperlink w:anchor="i2a2831cfbf9c4b8181c24418731edfbd_7">
        <w:r>
          <w:rPr>
            <w:rStyle w:val="InternetLink"/>
          </w:rPr>
          <w: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10 – Restructuring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improvement plan consisted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During the three and six months ended December 31, 2022, we incurred restructuring costs of $1.3 million and $2.6 million, respectively. The restructuring costs were primarily related to severance and other personnel-related costs in connection with the second phase of our plan as well as the closure of an underperforming operating location. Our restructuring efforts were substantially complete as of June 30, 2023.</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comply with the covenants in our credit agreement;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with respect to the likelihood of a future impairment;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pending litigation;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expansion and other trends of the industries we serve.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risk factors discussed in this Form 10-Q, Form 10-K for the fiscal year ended June 30, 2023, and in our other filings with the Securities and Exchange Commission;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laws or regulations, including the imposition, cancellation or delay of tariffs on imported goods.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update publicly, except as required by law, any such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results of operations through three reportable segments: Storage and Terminal Solutions, Utility and Power Infrastructure, and Process and Industrial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Operational Update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2024, we continued to make progress on efforts to position the company for profitable growth. Another quarter of strong project awards contributed to a total of $1.4 billion of project awards in the last 12 months, and the highest backlog in the company's history. Many of these project awards are large construction projects that will generate revenues over a multi-year period with expected gross margins at our pre-pandemic historical gross margin range. While the time to convert these awards to revenue is dependent on a variety of factors, many outside of our control, we expect modest growth in the third quarter of this fiscal year, and a substantial recovery of revenues in the fourth quarter and beyond. We have also improved project execution, resulting in strong direct gross margins in all three of our segments. We tightly managed costs, with selling, general and administrative expenses at their lowest level since 2014. These efforts have produced a cost structure that we expect to leverage for enhanced gross margins and operating income as revenue volumes return. We have also closely managed our balance sheet. During the second quarter of fiscal 2024, we repaid all outstanding borrowings on our ABL Facility while simultaneously growing our cash balance by $19.8 million. The result is a strong financial position, which will provide the foundation for future growth. The combination of these factors positions the company for significantly improved financial performance in the near term.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fixed-price awards;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minimum customer commitments on cost plus arrangements; and</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time and material arrangements in which the estimated value is firm or can be estimated with a reasonable amount of certainty in both timing and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backlog for the three months ended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8"/>
        <w:gridCol w:w="600"/>
        <w:gridCol w:w="602"/>
        <w:gridCol w:w="320"/>
        <w:gridCol w:w="1254"/>
        <w:gridCol w:w="165"/>
        <w:gridCol w:w="109"/>
        <w:gridCol w:w="109"/>
        <w:gridCol w:w="109"/>
        <w:gridCol w:w="326"/>
        <w:gridCol w:w="1280"/>
        <w:gridCol w:w="168"/>
        <w:gridCol w:w="109"/>
        <w:gridCol w:w="109"/>
        <w:gridCol w:w="109"/>
        <w:gridCol w:w="320"/>
        <w:gridCol w:w="1254"/>
        <w:gridCol w:w="165"/>
        <w:gridCol w:w="109"/>
        <w:gridCol w:w="109"/>
        <w:gridCol w:w="109"/>
        <w:gridCol w:w="211"/>
        <w:gridCol w:w="976"/>
        <w:gridCol w:w="109"/>
        <w:gridCol w:w="109"/>
        <w:gridCol w:w="109"/>
        <w:gridCol w:w="109"/>
        <w:gridCol w:w="109"/>
        <w:gridCol w:w="109"/>
        <w:gridCol w:w="161"/>
      </w:tblGrid>
      <w:tr>
        <w:trPr/>
        <w:tc>
          <w:tcPr>
            <w:tcW w:w="76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September 30, 2023</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awards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December 31, 2023</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658,049 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337,332 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Book-to-bill ratio</w:t>
            </w:r>
            <w:r>
              <w:rPr>
                <w:rFonts w:ascii="Times New Roman;sans-serif" w:hAnsi="Times New Roman;sans-serif"/>
                <w:b w:val="false"/>
                <w:color w:val="000000"/>
                <w:sz w:val="13"/>
              </w:rPr>
              <w:t>(1)</w:t>
            </w:r>
          </w:p>
        </w:tc>
        <w:tc>
          <w:tcPr>
            <w:tcW w:w="15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by dividing project awards by revenue recognized during the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backlog for the six months ended December 31, 2023:</w:t>
      </w:r>
    </w:p>
    <w:tbl>
      <w:tblPr>
        <w:tblW w:w="10205" w:type="dxa"/>
        <w:jc w:val="center"/>
        <w:tblInd w:w="0" w:type="dxa"/>
        <w:tblLayout w:type="fixed"/>
        <w:tblCellMar>
          <w:top w:w="28" w:type="dxa"/>
          <w:left w:w="28" w:type="dxa"/>
          <w:bottom w:w="28" w:type="dxa"/>
          <w:right w:w="28" w:type="dxa"/>
        </w:tblCellMar>
      </w:tblPr>
      <w:tblGrid>
        <w:gridCol w:w="867"/>
        <w:gridCol w:w="644"/>
        <w:gridCol w:w="646"/>
        <w:gridCol w:w="348"/>
        <w:gridCol w:w="1364"/>
        <w:gridCol w:w="179"/>
        <w:gridCol w:w="109"/>
        <w:gridCol w:w="109"/>
        <w:gridCol w:w="109"/>
        <w:gridCol w:w="356"/>
        <w:gridCol w:w="1396"/>
        <w:gridCol w:w="184"/>
        <w:gridCol w:w="109"/>
        <w:gridCol w:w="109"/>
        <w:gridCol w:w="109"/>
        <w:gridCol w:w="348"/>
        <w:gridCol w:w="1364"/>
        <w:gridCol w:w="179"/>
        <w:gridCol w:w="109"/>
        <w:gridCol w:w="109"/>
        <w:gridCol w:w="109"/>
        <w:gridCol w:w="211"/>
        <w:gridCol w:w="976"/>
        <w:gridCol w:w="162"/>
      </w:tblGrid>
      <w:tr>
        <w:trPr/>
        <w:tc>
          <w:tcPr>
            <w:tcW w:w="86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June 30, 2023</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awards</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December 31, 2023</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658,049 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451,442 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337,332 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Book-to-bill ratio</w:t>
            </w:r>
            <w:r>
              <w:rPr>
                <w:rFonts w:ascii="Times New Roman;sans-serif" w:hAnsi="Times New Roman;sans-serif"/>
                <w:b w:val="false"/>
                <w:color w:val="000000"/>
                <w:sz w:val="13"/>
              </w:rPr>
              <w:t>(1)</w:t>
            </w:r>
          </w:p>
        </w:tc>
        <w:tc>
          <w:tcPr>
            <w:tcW w:w="17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by dividing project awards by revenue recognized during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Storage and Terminal Solutions segment, we booked $125.2 million of project awards during the second quarter of fiscal 2024. Included in project awards was scope growth on an existing LNG storage construction project award, and a tank and terminal construction project. During the six months ended December 31, 2023, we booked $539.9 million of project awards, which included a significant LNG storage construction project. This segment includes significant opportunities for storage infrastructure projects related to natural gas, LNG, ammonia, hydrogen, NGLs and other forms of renewable energy. We believe LNG and hydrogen projects will be key growth drivers for this segment. Bidding activity on LNG projects has been strong.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Utility and Power Infrastructure segment, we booked $41.4 million of project awards during the second quarter of fiscal 2024. Included in project awards was a significant power delivery construction project. During the six months ended December 31, 2023, we booked $64.5 million of project awards. Project opportunities and bidding activity are strong for both the power delivery portion of the business and LNG peak shaving.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Process and Industrial Facilities segment, backlog decreased by 2.1% as we booked $64.2 million of project awards during the second quarter of fiscal 2024. Project awards during the quarter were driven by contract growth on a refinery retrofit project at a biodiesel facility and spending related to refinery maintenance and turnaround operations. During the six months ended December 31, 2023, we booked $123.8 million of project awards. We continue to see increasing opportunities in mining and minerals, chemicals, aerospace, and renewables. In addition, we are pursuing opportunities for hydrogen and carbon capture projects across a number of different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In some cases, this lag can be between three and six months or longer, depending on finalization of scopes, contracts, permits, and facility process requirements. Additionally, awards for larger construction projects may be recognized as revenue over a multi-year period as the projects may take a few years to complete.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Three months ended December 31, 2023 Compared to the Three months ended December 31, 2022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 was $175.0 million for the three months ended December 31, 2023, compared to $193.8 million in the same period last year. The decrease was primarily related to the Process and Industrial Facilities and Utility Power and Infrastructure segments, which decreased by $9.5 million and $10.4 million, respectively.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increased to $10.6 million in the three months ended December 31, 2023 compared to a gross loss of $1.3 million in the same period last year. Gross margin (loss) increased to 6.0% in the three months ended December 31, 2023 compared to (0.7)% in the same period last year. Gross margins in the second quarter of fiscal 2024 were positively impacted by strong project execution partially offset by the under-recovery of construction overhead costs. Gross margins in the second quarter of fiscal 2023 were also negatively impacted by the under-recovery of construction overhead costs, as well as unfavorable changes in the estimated recovery of change orders and increased forecasted costs to complete certain midstream gas processing projects, and continued work on previously-booked projects with reduced gross margins awarded in a highly competitive time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were $15.7 million in the three months ended December 31, 2023 compared to $17.5 million in the same period last year. SG&amp;A expenses continue to benefit from the Company's cost control measures. In addition, the timing of project pursuits resulted in lower pursuit costs in the quarter ended December 31, 2023. We remain active in the market as we pursue additional project opportunities.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prior year quarter ended December 31, 2022, we recorded a goodwill impairment of $12.3 million. We did not have any goodwill impairment in the quarter based upon the improved market and performance outlook. See Item 1. Financial Statements, Note 4 - Goodwill, for more information about the impairment.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incur any restructuring costs during the second quarter of fiscal 2024. During the second quarter of fiscal 2023, we closed an underperforming office and ceased its associated operations, which resulted in $1.3 million of restructuring costs. See Item 1. Financial Statements, Note 10 - Restructuring Costs, for more information about our business improvement plan. Our restructuring efforts were substantially complete as of June 30,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$0.3 million in the three months ended December 31, 2023 compared to $0.9 million in the three months ended December 31, 2022. Interest expense in the three months ended December 31, 2023 and December 31, 2022 consisted primarily of interest on debt outstanding, unused capacity fees, amortization of deferred debt issuance costs, letter of credit fees and other interest. Interest expense decreased due to the repayment of borrowing under the ABL credit facility during the second quarter of fiscal 2024.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during the three months ended December 31, 2023 included a gain of $2.0 million on the sale of a facility in Catoosa, Oklahoma. We received $2.7 million in net proceeds from the sale. The proceeds were received in January 2024. The facility was previously utilized for our industrial cleaning business, which was sold during the fourth quarter of fiscal 2023. This completes the divestiture and closure of a non-core service offering of the business as part of our strategy to focus the business on core markets.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three months ended December 31, 2023 and December 31, 2022 were zero. The effective tax rates during both periods were impacted by valuation allowances of $1.2 million and $8.4 million, respectively, placed on deferred tax assets generated during the quarters. We placed a valuation allowance on our deferred tax assets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2023, we had a net loss of $2.9 million, or $0.10 per fully diluted share, compared to a net loss of $32.8 million, or $1.22 per fully diluted share, in the three months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Storage and Terminal Solutions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the Storage and Terminal Solutions segment was $62.4 million in the three months ended December 31, 2023 compared to $62.5 million in the same period last year. The revenue volume in the recent quarter was impacted by low levels of material procurement on recently awarded projects. The Company expects higher revenue volume as it moves through the remainder of fiscal 2024 and into fiscal 2025 as it transitions recent large specialty storage project awards through contracting, project planning and mobilization.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segment gross margin was 2.9% for the three months ended December 31, 2023 compared to a gross margin of 2.6% in the same period last year. Strong direct margins during the quarter were offset by under-recovery of construction overhead costs. We have allocated additional resources to this segment to support recent awards and anticipated higher</w:t>
      </w:r>
      <w:r>
        <w:rPr>
          <w:color w:val="000000"/>
        </w:rPr>
        <w:t xml:space="preserve"> </w:t>
      </w:r>
      <w:r>
        <w:rPr>
          <w:rFonts w:ascii="Times New Roman;sans-serif" w:hAnsi="Times New Roman;sans-serif"/>
          <w:b w:val="false"/>
          <w:color w:val="000000"/>
          <w:sz w:val="20"/>
        </w:rPr>
        <w:t>revenue volume in the second half of fiscal 2024. We expect continued award strength in this segment in the next two quarters that will increase revenue volumes and provide more stability in future quarters. With revenue increases in this segment, we expect to reach full recovery of construction overhead costs in the fourth quarter of fiscal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Utility and Power Infrastructure</w:t>
      </w:r>
    </w:p>
    <w:p>
      <w:pPr>
        <w:pStyle w:val="TextBody"/>
        <w:bidi w:val="0"/>
        <w:spacing w:lineRule="auto" w:line="288" w:before="180" w:after="283"/>
        <w:jc w:val="both"/>
        <w:rPr/>
      </w:pPr>
      <w:r>
        <w:rPr>
          <w:rFonts w:ascii="Times New Roman;sans-serif" w:hAnsi="Times New Roman;sans-serif"/>
          <w:b w:val="false"/>
          <w:color w:val="000000"/>
          <w:sz w:val="20"/>
        </w:rPr>
        <w:t>Revenue for the Utility and Power Infrastructure segment was $40.1 million in the three months ended December 31, 2023 compared to $50.5 million in the same period last year. The decrease is primarily due to lower volumes of power delivery and power generation work. The Company expects higher revenue volume as it moves through the remainder of fiscal 2024 and into fiscal 2025 as it transitions recent large LNG peak shaver project awards through contracting, project planning and mobilization.</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3.5% in the second quarter of fiscal 2024 compared to a gross margin of 4.8% in the same period last year. In the current quarter, strong project execution in this segment was offset by under-recovery of construction overhead costs due to lower revenue volumes. The segment gross margin in the second quarter of fiscal 2023 was negatively impacted by previously-booked projects with reduced gross margins awarded in a highly competitive time period.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Process and Industrial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Process and Industrial Facilities segment was $71.3 million in the three months ended December 31, 2023 compared to $80.8 million in the same period last year. Decreases in revenue volumes from midstream gas processing, industrial cleaning, and mining and minerals work were partially offset by increases in work for a renewable energy facility and thermal vacuum chambers.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segment gross margin (loss) was 9.4% for the three months ended December 31, 2023 compared to (6.4)% in the same period last year. Project execution improved in the second quarter of fiscal 2024 resulting in a significantly improved gross margin despite the lower revenue volume. The segment gross margin (loss) in the second quarter of fiscal 2023 was negatively impacted by unfavorable changes in the estimated recovery of change orders and increased forecasted costs to complete certain midstream gas processing construction work. The project reduced gross profit by $9.6 million during the three months ended December 31, 2022. The segment gross margin (loss) in the second quarter of fiscal 2023 was also negatively impacted by the under recovery of construction overhead costs and continued work on previously-booked projects with reduced gross margins awarded in a highly competitive time period.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revenue and expenses were $6.5 million during the three months ended December 31, 2023 compared to $7.4 million in the same period last year. The decrease was primarily due to the favorable resolution of a long-standing legal dispute with an iron and steel customer, which resulted in the recognition of $1.2 million of revenue.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Six Months Ended December 31, 2023 Compared to the Six Months Ended December 31, 2022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revenue was $372.7 million for the six months ended December 31, 2023, compared to $402.3 million in the same period last year. On a segment basis, revenue decreased in the Utility and Power Infrastructure and Process and Industrial Facilities segments by $22.9 million and $21.0 million, respectively. These decreases were partially offset by a $13.1 million increase in revenue in the Storage and Terminal Solutions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gross profit increased to $22.4 million in the six months ended December 31, 2023 compared to a gross profit of $11.7 million in the same period last year. Gross margin increased to 6.0% in the six months ended December 31, 2023 compared to a gross margin of 2.9% in the same period last year. Gross margins in the first six months of fiscal 2024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positively impacted by strong project execution, partially offset by the under-recovery of construction overhead costs. We expect this under-recovery to be temporary as we have maintained overhead resources at levels needed to support higher revenue volumes in the fourth quarter of fiscal 2024. Gross margins in the first six months of fiscal 2023 were also negatively impacted by the under-recovery of construction overhead costs, as well as unfavorable changes in the estimated recovery of change orders and increased forecasted costs to complete certain midstream gas processing projects, continued work on previously-booked projects with reduced gross margins awarded in a highly competitive time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SG&amp;A expenses were $32.8 million in the six months ended December 31, 2023 compared to $34.4 million in the same period last year. Consolidated SG&amp;A expenses for the first half of fiscal 2024 continue to benefit from the Company's cost control measures, with lower costs in a number of categories, including pursuit costs, salaries, professional fees, depreciation, and rent. These decreases were partially offset by an additional $1.9 million of expense associated with the variable accounting for cash-settled stock-based compensation, which increased due to a higher stock price.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prior year period ended December 31, 2022, we recorded a goodwill impairment of $12.3 million. We did not have any goodwill impairment in the current period based upon the improved market and performance outlook. See Item 1. Financial Statements, Note 4 - Goodwill, for more information about the impairment.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incur any restructuring costs during the six months ended December 31, 2023. During the six months ended December 31, 2022, we incurred $2.6 million of restructuring costs, which included severance and other personnel-related costs in connection with our restructuring plan. Additionally, we closed an underperforming office and ceased its associated operations, which resulted in $0.7 million of restructuring costs. See Item 1. Financial Statements, Note 10 - Restructuring Costs, for more information about our business improvement plan. Our restructuring efforts were substantially complete as of June 30,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$0.6 million in the six months ended December 31, 2023 compared to $1.3 million in the six months ended December 31, 2022. Interest expense in both periods consisted primarily of interest on debt outstanding, unused capacity fees, amortization of deferred debt issuance costs and letter of credit fees. Interest expense decreased due to lower average outstanding borrowings.</w:t>
      </w:r>
    </w:p>
    <w:p>
      <w:pPr>
        <w:pStyle w:val="TextBody"/>
        <w:bidi w:val="0"/>
        <w:spacing w:lineRule="auto" w:line="288" w:before="180" w:after="283"/>
        <w:jc w:val="both"/>
        <w:rPr/>
      </w:pPr>
      <w:r>
        <w:rPr>
          <w:rFonts w:ascii="Times New Roman;sans-serif" w:hAnsi="Times New Roman;sans-serif"/>
          <w:b w:val="false"/>
          <w:color w:val="000000"/>
          <w:sz w:val="20"/>
        </w:rPr>
        <w:t xml:space="preserve">Other income during the six months ended December 31, 2023, included a gain of $2.0 million from the sale of </w:t>
      </w:r>
      <w:r>
        <w:rPr>
          <w:rFonts w:ascii="Times New Roman;sans-serif" w:hAnsi="Times New Roman;sans-serif"/>
          <w:b w:val="false"/>
          <w:color w:val="000000"/>
          <w:sz w:val="20"/>
          <w:shd w:fill="FFFFFF" w:val="clear"/>
        </w:rPr>
        <w:t xml:space="preserve">a facility in Catoosa, Oklahoma for $2.7 million in net proceeds. The proceeds were received in January 2024. The facility was previously utilized for our industrial cleaning business, which was sold during the fourth quarter of fiscal 2023. Additionally, in the first quarter of fiscal 2024, we recognized </w:t>
      </w:r>
      <w:r>
        <w:rPr>
          <w:rFonts w:ascii="Times New Roman;sans-serif" w:hAnsi="Times New Roman;sans-serif"/>
          <w:b w:val="false"/>
          <w:color w:val="000000"/>
          <w:sz w:val="20"/>
        </w:rPr>
        <w:t>a gain of $2.5 million on the sale of a previously utilized facility in Burlington, Ontario. We received $2.7 million in net proceeds from the sale. We closed this previously utilized facility during the second quarter of fiscal 2023 because it was no longer strategic to the future of the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six months ended December 31, 2023 and December 31, 2022 were zero. The effective tax rates during both periods were impacted by valuation allowances of $1.4 million and $9.8 million, respectively, placed on deferred tax assets generated during the quarters. 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December 31, 2023, we had a net loss of $6.0 million or $0.22 per fully diluted share, compared to a net loss of $39.3 million, or $1.46 per fully diluted share, in the six months ended December 31,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Storage and Terminal Solutions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Storage and Terminal Solutions segment was $152.5 million in the six months ended December 31, 2023 compared to $139.4 million in the same period last year. The increase in segment revenue is primarily a result of work on large construction projects awarded in the previous fiscal year, partially offset by lower volumes of work on tanks and terminals projects.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4.5% for the six months ended December 31, 2023 compared to a gross margin of 6.6% in the same period last year. Strong direct margins during the period were offset by under-recovery of construction overhead costs. We have allocated additional resources to this segment to support recent awards and additional revenue in the fourth quarter of fiscal 2024. As these revenues increase, we expect to reach full recovery of construction overhead costs in the second half of fiscal 2024. The fiscal 2023 segment gross margin was positively impacted by strong project execution, partially offset by low revenue volume, which led to under-recovery of construction overhead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Utility and Power Infrastructure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Utility and Power Infrastructure segment was $72.5 million in the six months ended December 31, 2023 compared to $95.4 million in the same period last year. The decrease is primarily due to a decrease in of power generation and power delivery work.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7.0% for the six months ended December 31, 2023 compared to a gross margin of 4.3% in the same period last year. The segment gross margin for the first half of fiscal 2024 was positively impacted by strong project execution which led to favorable project closeouts. This was partially offset by the under-recovery of construction overhead costs due low revenue volumes. The segment gross margin for second quarter ended December 31, 2023 was negatively impacted by previously-booked projects with reduced gross margins awarded in a highly competitive time period.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Process and Industrial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Process and Industrial Facilities segment was $146.4 million in the six months ended December 31, 2023 compared to $167.4 million in the same period last year. Decreases in revenue volumes from midstream gas processing, industrial facilities, mining and minerals, and refinery turnarounds work were partially offset by increases in work for a renewable energy facility and thermal vacuum chambers.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8.0% for the six months ended December 31, 2023 compared to a gross loss of (0.5)% in the same period last year. Project execution was significantly improved in the second quarter of fiscal 2024 resulting in a significantly improved gross margin despite the lower revenue volume. The segment gross margin in the first half of fiscal 2024 was negatively impacted by the under-recovery of construction overhead costs due to low revenue volume. Otherwise, project execution was generally strong in this segment including the completion of a midstream gas processing project in line with our previous forecast. The segment gross margin in the first half of fiscal 2023 was negatively impacted by work on a midstream gas processing project that experienced increases in forecasted costs to complete in the prior year, which reduced the remaining margin realized on the project. In addition, low revenue volumes resulted in under-recovery of construction overhead costs, which negatively impacted segment gross margin.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revenues and expenses were $16.3 million during the six months ended December 31, 2023 compared to $15.2 million in the same period last year. The increase was primarily due to higher cash-settled stock-based compensation due to an increase in the price of our stock and legal costs related to a jury trial that resulted in a verdict in our favor, partially offset by the recognition of $1.2 million of revenue due to the favorable resolution of that dispute, see Note 7 - Commitments and Contingencies, Litigation, for more information.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Net Loss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presented Adjusted net loss, which we define as Net loss before restructuring costs, gain on sale of assets, and the tax impact of these adjustments, because we believe it better depicts our core operating results. We believe that the line item on our Condensed Consolidated Statements of Income entitled “Net loss” is the most directly comparable GAAP measure to Adjusted net loss. Since Adjusted net loss is not a measure of performance calculated in accordance with GAAP, it should not be considered in isolation of, or as a substitute for, Net loss as an indicator of operating performance. Adjusted net loss, as we calculate it, may not be comparable to similarly titled measures employed by other companies. In addition, this measure is not a measure of our ability to fund our cash needs. As Adjusted net loss excludes certain financial information compared with Net loss, the most directly comparable GAAP financial measure, users of this financial information should consider the type of events and transactions that are excluded. Our non-GAAP performance measure, Adjusted net loss, has certain material limitations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impairments to goodwill.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gain on the sale of assets. While these sales occurred outside the normal course of business, any measure that excludes this gain has inherent limitations since the sales resulted in material inflows of cash.</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Adjusted net loss follows:</w:t>
      </w:r>
    </w:p>
    <w:p>
      <w:pPr>
        <w:pStyle w:val="TextBody"/>
        <w:bidi w:val="0"/>
        <w:spacing w:before="180" w:after="283"/>
        <w:jc w:val="left"/>
        <w:rPr/>
      </w:pPr>
      <w:r>
        <w:rPr/>
      </w:r>
    </w:p>
    <w:p>
      <w:pPr>
        <w:pStyle w:val="TextBody"/>
        <w:bidi w:val="0"/>
        <w:spacing w:lineRule="auto" w:line="288" w:before="0" w:after="0"/>
        <w:jc w:val="center"/>
        <w:rPr/>
      </w:pPr>
      <w:r>
        <w:rPr>
          <w:rFonts w:ascii="Times New Roman;sans-serif" w:hAnsi="Times New Roman;sans-serif"/>
          <w:b/>
          <w:color w:val="000000"/>
          <w:sz w:val="20"/>
        </w:rPr>
        <w:t>Reconciliation of Net Loss to Adjusted Net Loss</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9779" w:type="dxa"/>
        <w:jc w:val="left"/>
        <w:tblInd w:w="0" w:type="dxa"/>
        <w:tblLayout w:type="fixed"/>
        <w:tblCellMar>
          <w:top w:w="28" w:type="dxa"/>
          <w:left w:w="28" w:type="dxa"/>
          <w:bottom w:w="28" w:type="dxa"/>
          <w:right w:w="28" w:type="dxa"/>
        </w:tblCellMar>
      </w:tblPr>
      <w:tblGrid>
        <w:gridCol w:w="879"/>
        <w:gridCol w:w="772"/>
        <w:gridCol w:w="779"/>
        <w:gridCol w:w="109"/>
        <w:gridCol w:w="109"/>
        <w:gridCol w:w="109"/>
        <w:gridCol w:w="313"/>
        <w:gridCol w:w="1025"/>
        <w:gridCol w:w="161"/>
        <w:gridCol w:w="109"/>
        <w:gridCol w:w="109"/>
        <w:gridCol w:w="109"/>
        <w:gridCol w:w="283"/>
        <w:gridCol w:w="1070"/>
        <w:gridCol w:w="146"/>
        <w:gridCol w:w="109"/>
        <w:gridCol w:w="109"/>
        <w:gridCol w:w="109"/>
        <w:gridCol w:w="283"/>
        <w:gridCol w:w="1070"/>
        <w:gridCol w:w="146"/>
        <w:gridCol w:w="109"/>
        <w:gridCol w:w="109"/>
        <w:gridCol w:w="109"/>
        <w:gridCol w:w="280"/>
        <w:gridCol w:w="1059"/>
        <w:gridCol w:w="205"/>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assets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impact of adjustments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w:t>
            </w:r>
          </w:p>
        </w:tc>
        <w:tc>
          <w:tcPr>
            <w:tcW w:w="2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(1)Beginning with the first quarter of fiscal 2024, the definition of Adjusted net loss and Adjusted loss per share was updated to no longer include changes in the valuation allowance of deferred tax assets. Prior period information has been adjusted to conform to the updated definition of Adjusted net loss and Adjusted loss per share.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gain on the sale of our Burlington, ON office in the first quarter of FY24 and the gain on the sale of our Catoosa, OK facility in the second quarter of FY24. See Item 1, Note 3 - Property, Plant and Equipment, Building Disposals, for more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the tax impact of the adjustments to Net loss, calculated using the applicable effective tax rate of the adjustment, including the impacts related to our valuation allowance on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presented Adjusted EBITDA, which we define as Net loss before restructuring costs, gain on sale of assets, stock-based compensation, interest expense,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loss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impairments to goodwill.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gain on the sale of assets. While this sale occurred outside the normal course of business, any measure that excludes this gain has inherent limitations since the sale resulted in a material inflow of cash.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It does not include equity-settled stock-based compensation expense. Stock-based compensation represents material amounts of equity that are awarded to our employees and directors for services rendered. While the expense is non-cash, we historically release vested shares out of our treasury stock, which has been replenished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using cash to periodically repurchase our stock. Therefore, any measure that excludes stock-based compensation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Adjusted EBITDA follows: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41"/>
        <w:gridCol w:w="1503"/>
        <w:gridCol w:w="1540"/>
        <w:gridCol w:w="226"/>
        <w:gridCol w:w="740"/>
        <w:gridCol w:w="117"/>
        <w:gridCol w:w="109"/>
        <w:gridCol w:w="109"/>
        <w:gridCol w:w="109"/>
        <w:gridCol w:w="211"/>
        <w:gridCol w:w="791"/>
        <w:gridCol w:w="109"/>
        <w:gridCol w:w="109"/>
        <w:gridCol w:w="109"/>
        <w:gridCol w:w="109"/>
        <w:gridCol w:w="226"/>
        <w:gridCol w:w="740"/>
        <w:gridCol w:w="117"/>
        <w:gridCol w:w="109"/>
        <w:gridCol w:w="109"/>
        <w:gridCol w:w="109"/>
        <w:gridCol w:w="211"/>
        <w:gridCol w:w="791"/>
        <w:gridCol w:w="161"/>
      </w:tblGrid>
      <w:tr>
        <w:trPr/>
        <w:tc>
          <w:tcPr>
            <w:tcW w:w="17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assets</w:t>
            </w:r>
            <w:r>
              <w:rPr>
                <w:rFonts w:ascii="Times New Roman;sans-serif" w:hAnsi="Times New Roman;sans-serif"/>
                <w:b w:val="false"/>
                <w:color w:val="000000"/>
                <w:sz w:val="13"/>
              </w:rPr>
              <w:t>(1)</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(2)</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federal, state and foreign income taxes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gain on the sale of our Burlington, ON office in the first quarter of FY24 and the gain on the sale of our Catoosa, OK facility in the second quarter of FY24. See Item 1, Note 3 - Property, Plant and Equipment, Building Disposals, for more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only the equity-settled portion of our stock-based compensation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 and Other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can exhibit seasonal fluctuations, especially in our Process and Industrial Facilities and Utility and Power Infrastructure segments, for a variety of reasons. Turnarounds and planned outages at customer facilities are typically scheduled in the spring or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overhead cost structure is generally fixed. Significant fluctuations in revenue usually leads to over or under-recovery of fixed overhead costs, which can have a material impact on our gross margin and profitability.</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define liquidity as the ongoing ability to pay our liabilities as they become due, fund business operations and meet all monetary contractual obligations. Our primary sources of liquidity at December 31, 2023 were unrestricted cash and cash equivalents on hand, capacity under our ABL Facility, and cash generated from operations. Unrestricted cash and cash equivalents at December 31, 2023 totaled $47.2 million and availability under the ABL Facility totaled $59.1 million, resulting in total liquidity of $106.3 million. During the second quarter of fiscal 2024, cash and cash equivalents increased $19.8 million and total liquidity increased $26.0 million as a result of cash provided by operating activities partially offset by the repayment of borrowings under the ABL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cash and cash equivalents, restricted cash and total cash in the Condensed Consolidated Balance Sheets (in thousands):</w:t>
      </w:r>
    </w:p>
    <w:tbl>
      <w:tblPr>
        <w:tblW w:w="8464"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22"/>
        <w:gridCol w:w="759"/>
        <w:gridCol w:w="114"/>
        <w:gridCol w:w="109"/>
        <w:gridCol w:w="109"/>
        <w:gridCol w:w="109"/>
        <w:gridCol w:w="109"/>
        <w:gridCol w:w="109"/>
        <w:gridCol w:w="231"/>
        <w:gridCol w:w="790"/>
        <w:gridCol w:w="11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liquidity for the three months ended December 31, 2023 (in thousands):</w:t>
      </w:r>
    </w:p>
    <w:tbl>
      <w:tblPr>
        <w:tblW w:w="4835" w:type="dxa"/>
        <w:jc w:val="left"/>
        <w:tblInd w:w="0" w:type="dxa"/>
        <w:tblLayout w:type="fixed"/>
        <w:tblCellMar>
          <w:top w:w="28" w:type="dxa"/>
          <w:left w:w="28" w:type="dxa"/>
          <w:bottom w:w="28" w:type="dxa"/>
          <w:right w:w="28" w:type="dxa"/>
        </w:tblCellMar>
      </w:tblPr>
      <w:tblGrid>
        <w:gridCol w:w="1318"/>
        <w:gridCol w:w="1161"/>
        <w:gridCol w:w="1165"/>
        <w:gridCol w:w="211"/>
        <w:gridCol w:w="82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availability under ABL Facility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liquidity for the six months ended December 31, 2023 (in thousands):</w:t>
      </w:r>
    </w:p>
    <w:tbl>
      <w:tblPr>
        <w:tblW w:w="4836" w:type="dxa"/>
        <w:jc w:val="left"/>
        <w:tblInd w:w="0" w:type="dxa"/>
        <w:tblLayout w:type="fixed"/>
        <w:tblCellMar>
          <w:top w:w="28" w:type="dxa"/>
          <w:left w:w="28" w:type="dxa"/>
          <w:bottom w:w="28" w:type="dxa"/>
          <w:right w:w="28" w:type="dxa"/>
        </w:tblCellMar>
      </w:tblPr>
      <w:tblGrid>
        <w:gridCol w:w="1319"/>
        <w:gridCol w:w="1160"/>
        <w:gridCol w:w="1166"/>
        <w:gridCol w:w="211"/>
        <w:gridCol w:w="82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availability under ABL Facility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routinely impact our short-term liquidity and may impact our long-term liquidity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cost-plus and fixed-price customer contracts are billed based on milestones which may require us to incur significant expenditures prior to collections from our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fixed-price customer contracts allow for significant upfront billings at the beginning of a project, which temporarily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of our large construction projects may require security in the form of letters of credit or significant retentions. Retentions are normally held until certain contractual milestones are achieved;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changes in working capital, including the timing of tax payments and refunds;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 disputes;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strategic investments in new operations or divestitures of existing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purchases of shares under our stock buyback program.</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ABL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9, 2021, the Company and our primary U.S. and Canada operating subsidiaries entered into an asset-based credit agreement, which was amended on </w:t>
      </w:r>
      <w:bookmarkStart w:id="0" w:name="ic91d133724504cb095ffddc8a3e41c00_14969"/>
      <w:bookmarkEnd w:id="0"/>
      <w:r>
        <w:rPr>
          <w:rFonts w:ascii="Times New Roman;sans-serif" w:hAnsi="Times New Roman;sans-serif"/>
          <w:b w:val="false"/>
          <w:color w:val="000000"/>
          <w:sz w:val="20"/>
        </w:rPr>
        <w:t>October 5, 2022 and December 29, 2023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 The ABL Facility matures, and any outstanding amounts become due and payable, on September 9,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December 31, 2023, our borrowing base was $69.1 million. During the quarter ended December 31, 2023, the Company repaid all outstanding borrowings under the ABL Facility. The Company had $10.0 million in letters of credit outstanding, which resulted in availability of $59.1 million under the ABL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Canadian Prime Rate borrowings or (ii) the last day of the interest period for Adjusted Term SOFR borrowings, as set forth in the ABL Facility. The fee for undrawn amounts is 0.25% per annum and is due quarterly.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December 31, 2023.</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 for the Six Months Ended December 31, 2023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six months ended December 31, 2023 totaled $0.7 million. The various components are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Cash Used by Operating Activities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left"/>
        <w:rPr>
          <w:color w:val="000000"/>
        </w:rPr>
      </w:pPr>
      <w:r>
        <w:rPr>
          <w:color w:val="000000"/>
        </w:rPr>
        <w:t> </w:t>
      </w:r>
    </w:p>
    <w:tbl>
      <w:tblPr>
        <w:tblW w:w="5706" w:type="dxa"/>
        <w:jc w:val="center"/>
        <w:tblInd w:w="0" w:type="dxa"/>
        <w:tblLayout w:type="fixed"/>
        <w:tblCellMar>
          <w:top w:w="28" w:type="dxa"/>
          <w:left w:w="28" w:type="dxa"/>
          <w:bottom w:w="28" w:type="dxa"/>
          <w:right w:w="28" w:type="dxa"/>
        </w:tblCellMar>
      </w:tblPr>
      <w:tblGrid>
        <w:gridCol w:w="1683"/>
        <w:gridCol w:w="1470"/>
        <w:gridCol w:w="1497"/>
        <w:gridCol w:w="211"/>
        <w:gridCol w:w="691"/>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plant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 at December 31, 2023 in comparison to June 30, 2023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receivable, excluding credit losses recognized during the period, increased by $19.8 million during the six months ended December 31, 2023, which decreased cash flows from operating activities. The variance is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Costs and estimated earnings in excess of billings on uncompleted contracts ("CIE") decreased $4.5 million, which increased cash flows from operating activities. Billings on uncompleted contracts in excess of costs and estimated earnings ("BIE") increased $31.8 million, which increased cash flows from operating activities. CIE and BIE balances can experience significant fluctuations based on business volumes and the timing of when job costs are incurred and the timing of customer billings and payments.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Inventories, income taxes receivable, prepaid expenses, other current assets, operating right-of-use lease assets and other assets, non-current, increased $0.1 million during the six months ended December 31, 2023,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payable, accrued wages and benefits, accrued insurance, operating lease liabilities, other accrued expenses, and other liabilities, non-current decreased by $14.7 million during the six months ended December 31, 2023,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provided $1.9 million of cash in the six months ended December 31, 2023 primarily due to proceeds from asset sales, partially offset by capital expenditures. In the first quarter of fiscal 2024, we sold a previously utilized facility in Burlington, Ontario for $2.7 million in net proceeds. In the second quarter of fiscal 2024, we sold a facility in Catoosa, Oklahoma. Proceeds from this sale of $2.7 million were received in January 2024 and will be reflected in our cash flows in the third quarter of fiscal 2024. We closed these previously utilized facilities as they was no longer strategic to the future of the business. Capital expenditures of $0.9 million during the first quarter of fiscal 2024 primarily consisted of transportation equipment.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by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$10.4 million of cash in the six months ended December 31, 2023 primarily due to $10.0 million in advances and $20.0 million in repayments under our ABL facility. As of December 31, 2023, we have no outstanding borrowings under our ABL facility.</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September 30, 2023 and have no current plans to repurchase stock. As of December 31, 2023,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Treasury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587,732 treasury shares as of December 31, 2023 and intend to utilize these treasury shares in connection with equity awards under the our stock incentive plans and for sales to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from those reported in our fiscal 2023 Annual Report on Form 10-K filed with the SEC. For more information on our critical accounting policies, see Part II, Item 7 of our fiscal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faced by us from those reported in our Annual Report on Form 10-K for the fiscal year ended June 30, 2023, filed with the Securities and Exchange Commission. For more information on market risk, see Part II, Item 7A in our fiscal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2023. Based on the foregoing, our Chief Executive Officer and Chief Financial Officer concluded that our disclosure controls and procedures were effective at the reasonable assurance level at December 31,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a number of legal proceedings. See Part I., Item 1. Financial Statements, Note 7 - Commitments and Contingencies, Litigation,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Risk Factors from those reported in Item 1A of Part I of our Annual Report on Form 10-K for the fiscal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As of December 31, 2023,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second quarter of fiscal 2024 and have no current plans to repurchase stock.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none of our directors or officers adopted or terminated a Rule 10b5-1 trading arrangement or Non-Rule 10b5-1, as each term is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 Exhibits:</w:t>
      </w:r>
      <w:r>
        <w:rPr>
          <w:color w:val="000000"/>
        </w:rPr>
        <w: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92"/>
        <w:gridCol w:w="434"/>
        <w:gridCol w:w="375"/>
        <w:gridCol w:w="109"/>
        <w:gridCol w:w="109"/>
        <w:gridCol w:w="109"/>
        <w:gridCol w:w="2542"/>
        <w:gridCol w:w="2481"/>
        <w:gridCol w:w="3554"/>
      </w:tblGrid>
      <w:tr>
        <w:trPr/>
        <w:tc>
          <w:tcPr>
            <w:tcW w:w="49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matrixsecondame.htm">
              <w:r>
                <w:rPr>
                  <w:rStyle w:val="InternetLink"/>
                  <w:rFonts w:ascii="Times New Roman;sans-serif" w:hAnsi="Times New Roman;sans-serif"/>
                  <w:b w:val="false"/>
                  <w:color w:val="0000FF"/>
                  <w:sz w:val="20"/>
                  <w:u w:val="single"/>
                </w:rPr>
                <w:t>Second Amendment to Credit Agreement dated December 29, 2023 by and among, Matrix Service Company and certain subsidiaries thereof, certain financial institutions as lenders, and Bank of Montreal, as administrative agent</w:t>
              </w:r>
            </w:hyperlink>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3x12x31x.htm">
              <w:r>
                <w:rPr>
                  <w:rStyle w:val="InternetLink"/>
                  <w:rFonts w:ascii="Times New Roman;sans-serif" w:hAnsi="Times New Roman;sans-serif"/>
                  <w:b w:val="false"/>
                  <w:color w:val="0000FF"/>
                  <w:sz w:val="20"/>
                  <w:u w:val="single"/>
                </w:rPr>
                <w:t>Certification Pursuant to Section 302 of Sarbanes-Oxley Act of 2002 – CEO.</w:t>
              </w:r>
            </w:hyperlink>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3x12x31x.htm">
              <w:r>
                <w:rPr>
                  <w:rStyle w:val="InternetLink"/>
                  <w:rFonts w:ascii="Times New Roman;sans-serif" w:hAnsi="Times New Roman;sans-serif"/>
                  <w:b w:val="false"/>
                  <w:color w:val="0000FF"/>
                  <w:sz w:val="20"/>
                  <w:u w:val="single"/>
                </w:rPr>
                <w:t>Certification Pursuant to Section 302 of Sarbanes-Oxley Act of 2002 – CFO.</w:t>
              </w:r>
            </w:hyperlink>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3x12x31x.htm">
              <w:r>
                <w:rPr>
                  <w:rStyle w:val="InternetLink"/>
                  <w:rFonts w:ascii="Times New Roman;sans-serif" w:hAnsi="Times New Roman;sans-serif"/>
                  <w:b w:val="false"/>
                  <w:color w:val="0000FF"/>
                  <w:sz w:val="20"/>
                  <w:u w:val="single"/>
                </w:rPr>
                <w:t>Certification Pursuant to 18 U.S.C. 1350 (section 906 of Sarbanes-Oxley Act of 2002) – CEO.</w:t>
              </w:r>
            </w:hyperlink>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3x12x31x.htm">
              <w:r>
                <w:rPr>
                  <w:rStyle w:val="InternetLink"/>
                  <w:rFonts w:ascii="Times New Roman;sans-serif" w:hAnsi="Times New Roman;sans-serif"/>
                  <w:b w:val="false"/>
                  <w:color w:val="0000FF"/>
                  <w:sz w:val="20"/>
                  <w:u w:val="single"/>
                </w:rPr>
                <w:t>Certification Pursuant to 18 U.S.C. 1350 (section 906 of Sarbanes-Oxley Act of 2002) – CFO.</w:t>
              </w:r>
            </w:hyperlink>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3x12x31x.htm">
              <w:r>
                <w:rPr>
                  <w:rStyle w:val="InternetLink"/>
                  <w:rFonts w:ascii="Times New Roman;sans-serif" w:hAnsi="Times New Roman;sans-serif"/>
                  <w:b w:val="false"/>
                  <w:color w:val="0000FF"/>
                  <w:sz w:val="20"/>
                  <w:u w:val="single"/>
                </w:rPr>
                <w:t>Mine Safety Disclosure.</w:t>
              </w:r>
            </w:hyperlink>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Document.</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18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a2831cfbf9c4b8181c24418731edfb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53" w:type="dxa"/>
        <w:jc w:val="left"/>
        <w:tblInd w:w="0" w:type="dxa"/>
        <w:tblLayout w:type="fixed"/>
        <w:tblCellMar>
          <w:top w:w="28" w:type="dxa"/>
          <w:left w:w="28" w:type="dxa"/>
          <w:bottom w:w="28" w:type="dxa"/>
          <w:right w:w="28" w:type="dxa"/>
        </w:tblCellMar>
      </w:tblPr>
      <w:tblGrid>
        <w:gridCol w:w="216"/>
        <w:gridCol w:w="191"/>
        <w:gridCol w:w="192"/>
        <w:gridCol w:w="494"/>
        <w:gridCol w:w="494"/>
        <w:gridCol w:w="496"/>
        <w:gridCol w:w="1045"/>
        <w:gridCol w:w="1045"/>
        <w:gridCol w:w="148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MATRIX SERVICE COMPANY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S. Cavanah</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Kevin S. Cavanah </w:t>
              <w:b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SECOND AMENDMENT TO CREDIT AGREEMENT</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SECOND AMENDMENT TO CREDIT AGREEMENT</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is made and entered into as of December 29, 2023, by and among MATRIX SERVICE COMPANY, a Delaware corporation (“</w:t>
      </w:r>
      <w:r>
        <w:rPr>
          <w:rFonts w:ascii="Times New Roman;sans-serif" w:hAnsi="Times New Roman;sans-serif"/>
          <w:b w:val="false"/>
          <w:color w:val="000000"/>
          <w:sz w:val="22"/>
          <w:u w:val="single"/>
        </w:rPr>
        <w:t>Matrix</w:t>
      </w:r>
      <w:r>
        <w:rPr>
          <w:color w:val="000000"/>
        </w:rPr>
        <w:t>”</w:t>
      </w:r>
      <w:r>
        <w:rPr>
          <w:rFonts w:ascii="Times New Roman;sans-serif" w:hAnsi="Times New Roman;sans-serif"/>
          <w:b w:val="false"/>
          <w:color w:val="000000"/>
          <w:sz w:val="22"/>
        </w:rPr>
        <w:t>), MATRIX SERVICE INC., an Oklahoma corporation (“</w:t>
      </w:r>
      <w:r>
        <w:rPr>
          <w:rFonts w:ascii="Times New Roman;sans-serif" w:hAnsi="Times New Roman;sans-serif"/>
          <w:b w:val="false"/>
          <w:color w:val="000000"/>
          <w:sz w:val="22"/>
          <w:u w:val="single"/>
        </w:rPr>
        <w:t>Matrix Service</w:t>
      </w:r>
      <w:r>
        <w:rPr>
          <w:color w:val="000000"/>
        </w:rPr>
        <w:t>”</w:t>
      </w:r>
      <w:r>
        <w:rPr>
          <w:rFonts w:ascii="Times New Roman;sans-serif" w:hAnsi="Times New Roman;sans-serif"/>
          <w:b w:val="false"/>
          <w:color w:val="000000"/>
          <w:sz w:val="22"/>
        </w:rPr>
        <w:t>), MATRIX PDM ENGINEERING, INC., a Delaware corporation (“</w:t>
      </w:r>
      <w:r>
        <w:rPr>
          <w:rFonts w:ascii="Times New Roman;sans-serif" w:hAnsi="Times New Roman;sans-serif"/>
          <w:b w:val="false"/>
          <w:color w:val="000000"/>
          <w:sz w:val="22"/>
          <w:u w:val="single"/>
        </w:rPr>
        <w:t>Matrix PDM Engineering</w:t>
      </w:r>
      <w:r>
        <w:rPr>
          <w:color w:val="000000"/>
        </w:rPr>
        <w:t>”</w:t>
      </w:r>
      <w:r>
        <w:rPr>
          <w:rFonts w:ascii="Times New Roman;sans-serif" w:hAnsi="Times New Roman;sans-serif"/>
          <w:b w:val="false"/>
          <w:color w:val="000000"/>
          <w:sz w:val="22"/>
        </w:rPr>
        <w:t>), MATRIX NORTH AMERICAN CONSTRUCTION, INC., an Oklahoma corporation (“</w:t>
      </w:r>
      <w:r>
        <w:rPr>
          <w:rFonts w:ascii="Times New Roman;sans-serif" w:hAnsi="Times New Roman;sans-serif"/>
          <w:b w:val="false"/>
          <w:color w:val="000000"/>
          <w:sz w:val="22"/>
          <w:u w:val="single"/>
        </w:rPr>
        <w:t>Matrix Oklahoma</w:t>
      </w:r>
      <w:r>
        <w:rPr>
          <w:color w:val="000000"/>
        </w:rPr>
        <w:t>”</w:t>
      </w:r>
      <w:r>
        <w:rPr>
          <w:rFonts w:ascii="Times New Roman;sans-serif" w:hAnsi="Times New Roman;sans-serif"/>
          <w:b w:val="false"/>
          <w:color w:val="000000"/>
          <w:sz w:val="22"/>
        </w:rPr>
        <w:t>), together with each other Person from time to time a “US Borrower” thereunder (together with Matrix, Matrix Service, Matrix PDM Engineering and Matrix Oklahoma, each individually, a “</w:t>
      </w:r>
      <w:r>
        <w:rPr>
          <w:rFonts w:ascii="Times New Roman;sans-serif" w:hAnsi="Times New Roman;sans-serif"/>
          <w:b w:val="false"/>
          <w:color w:val="000000"/>
          <w:sz w:val="22"/>
          <w:u w:val="single"/>
        </w:rPr>
        <w:t>US Borrower</w:t>
      </w:r>
      <w:r>
        <w:rPr>
          <w:color w:val="000000"/>
        </w:rPr>
        <w:t xml:space="preserve">” </w:t>
      </w:r>
      <w:r>
        <w:rPr>
          <w:rFonts w:ascii="Times New Roman;sans-serif" w:hAnsi="Times New Roman;sans-serif"/>
          <w:b w:val="false"/>
          <w:color w:val="000000"/>
          <w:sz w:val="22"/>
        </w:rPr>
        <w:t>and collectively, “</w:t>
      </w:r>
      <w:r>
        <w:rPr>
          <w:rFonts w:ascii="Times New Roman;sans-serif" w:hAnsi="Times New Roman;sans-serif"/>
          <w:b w:val="false"/>
          <w:color w:val="000000"/>
          <w:sz w:val="22"/>
          <w:u w:val="single"/>
        </w:rPr>
        <w:t>US Borrowers</w:t>
      </w:r>
      <w:r>
        <w:rPr>
          <w:rFonts w:ascii="Times New Roman;sans-serif" w:hAnsi="Times New Roman;sans-serif"/>
          <w:b w:val="false"/>
          <w:color w:val="000000"/>
          <w:sz w:val="22"/>
        </w:rPr>
        <w:t>), MATRIX SERVICE CANADA ULC, an Alberta unlimited liability corporation (“</w:t>
      </w:r>
      <w:r>
        <w:rPr>
          <w:rFonts w:ascii="Times New Roman;sans-serif" w:hAnsi="Times New Roman;sans-serif"/>
          <w:b w:val="false"/>
          <w:color w:val="000000"/>
          <w:sz w:val="22"/>
          <w:u w:val="single"/>
        </w:rPr>
        <w:t>Matrix ULC</w:t>
      </w:r>
      <w:r>
        <w:rPr>
          <w:color w:val="000000"/>
        </w:rPr>
        <w:t>”</w:t>
      </w:r>
      <w:r>
        <w:rPr>
          <w:rFonts w:ascii="Times New Roman;sans-serif" w:hAnsi="Times New Roman;sans-serif"/>
          <w:b w:val="false"/>
          <w:color w:val="000000"/>
          <w:sz w:val="22"/>
        </w:rPr>
        <w:t>), MATRIX SME CANADA ULC, a Nova Scotia unlimited company (“</w:t>
      </w:r>
      <w:r>
        <w:rPr>
          <w:rFonts w:ascii="Times New Roman;sans-serif" w:hAnsi="Times New Roman;sans-serif"/>
          <w:b w:val="false"/>
          <w:color w:val="000000"/>
          <w:sz w:val="22"/>
          <w:u w:val="single"/>
        </w:rPr>
        <w:t>Matrix SME Canada</w:t>
      </w:r>
      <w:r>
        <w:rPr>
          <w:color w:val="000000"/>
        </w:rPr>
        <w:t>”</w:t>
      </w:r>
      <w:r>
        <w:rPr>
          <w:rFonts w:ascii="Times New Roman;sans-serif" w:hAnsi="Times New Roman;sans-serif"/>
          <w:b w:val="false"/>
          <w:color w:val="000000"/>
          <w:sz w:val="22"/>
        </w:rPr>
        <w:t>), MATRIX NORTH AMERICAN CONSTRUCTION LTD., an Ontario corporation (“</w:t>
      </w:r>
      <w:r>
        <w:rPr>
          <w:rFonts w:ascii="Times New Roman;sans-serif" w:hAnsi="Times New Roman;sans-serif"/>
          <w:b w:val="false"/>
          <w:color w:val="000000"/>
          <w:sz w:val="22"/>
          <w:u w:val="single"/>
        </w:rPr>
        <w:t>Matrix North America</w:t>
      </w:r>
      <w:r>
        <w:rPr>
          <w:color w:val="000000"/>
        </w:rPr>
        <w:t>”</w:t>
      </w:r>
      <w:r>
        <w:rPr>
          <w:rFonts w:ascii="Times New Roman;sans-serif" w:hAnsi="Times New Roman;sans-serif"/>
          <w:b w:val="false"/>
          <w:color w:val="000000"/>
          <w:sz w:val="22"/>
        </w:rPr>
        <w:t>), together with each other Person from time to time a “Canadian Borrower” thereunder (together with Matrix ULC, Matrix SME Canada and Matrix North America, each a “</w:t>
      </w:r>
      <w:r>
        <w:rPr>
          <w:rFonts w:ascii="Times New Roman;sans-serif" w:hAnsi="Times New Roman;sans-serif"/>
          <w:b w:val="false"/>
          <w:color w:val="000000"/>
          <w:sz w:val="22"/>
          <w:u w:val="single"/>
        </w:rPr>
        <w:t>Canadian Borrower</w:t>
      </w:r>
      <w:r>
        <w:rPr>
          <w:color w:val="000000"/>
        </w:rPr>
        <w:t xml:space="preserve">” </w:t>
      </w:r>
      <w:r>
        <w:rPr>
          <w:rFonts w:ascii="Times New Roman;sans-serif" w:hAnsi="Times New Roman;sans-serif"/>
          <w:b w:val="false"/>
          <w:color w:val="000000"/>
          <w:sz w:val="22"/>
        </w:rPr>
        <w:t>and collectively, “</w:t>
      </w:r>
      <w:r>
        <w:rPr>
          <w:rFonts w:ascii="Times New Roman;sans-serif" w:hAnsi="Times New Roman;sans-serif"/>
          <w:b w:val="false"/>
          <w:color w:val="000000"/>
          <w:sz w:val="22"/>
          <w:u w:val="single"/>
        </w:rPr>
        <w:t>Canadian Borrowers</w:t>
      </w:r>
      <w:r>
        <w:rPr>
          <w:color w:val="000000"/>
        </w:rPr>
        <w:t xml:space="preserve">” </w:t>
      </w:r>
      <w:r>
        <w:rPr>
          <w:rFonts w:ascii="Times New Roman;sans-serif" w:hAnsi="Times New Roman;sans-serif"/>
          <w:b w:val="false"/>
          <w:color w:val="000000"/>
          <w:sz w:val="22"/>
        </w:rPr>
        <w:t>and together with US Borrowers, each individually, as a “</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and collectively,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MATRIX SERVICE INTERNATIONAL, LLC, a Delaware limited liability company (“</w:t>
      </w:r>
      <w:r>
        <w:rPr>
          <w:rFonts w:ascii="Times New Roman;sans-serif" w:hAnsi="Times New Roman;sans-serif"/>
          <w:b w:val="false"/>
          <w:color w:val="000000"/>
          <w:sz w:val="22"/>
          <w:u w:val="single"/>
        </w:rPr>
        <w:t>Matrix Service International</w:t>
      </w:r>
      <w:r>
        <w:rPr>
          <w:color w:val="000000"/>
        </w:rPr>
        <w:t>”</w:t>
      </w:r>
      <w:r>
        <w:rPr>
          <w:rFonts w:ascii="Times New Roman;sans-serif" w:hAnsi="Times New Roman;sans-serif"/>
          <w:b w:val="false"/>
          <w:color w:val="000000"/>
          <w:sz w:val="22"/>
        </w:rPr>
        <w:t>), MATRIX INTERNATIONAL ENGINEERING, LLP, a Delaware limited liability partnership (“</w:t>
      </w:r>
      <w:r>
        <w:rPr>
          <w:rFonts w:ascii="Times New Roman;sans-serif" w:hAnsi="Times New Roman;sans-serif"/>
          <w:b w:val="false"/>
          <w:color w:val="000000"/>
          <w:sz w:val="22"/>
          <w:u w:val="single"/>
        </w:rPr>
        <w:t>Matrix International Engineering</w:t>
      </w:r>
      <w:r>
        <w:rPr>
          <w:color w:val="000000"/>
        </w:rPr>
        <w:t>”</w:t>
      </w:r>
      <w:r>
        <w:rPr>
          <w:rFonts w:ascii="Times New Roman;sans-serif" w:hAnsi="Times New Roman;sans-serif"/>
          <w:b w:val="false"/>
          <w:color w:val="000000"/>
          <w:sz w:val="22"/>
        </w:rPr>
        <w:t>), MATRIX APPLIED TECHNOLOGIES, INC., a Delaware corporation (“</w:t>
      </w:r>
      <w:r>
        <w:rPr>
          <w:rFonts w:ascii="Times New Roman;sans-serif" w:hAnsi="Times New Roman;sans-serif"/>
          <w:b w:val="false"/>
          <w:color w:val="000000"/>
          <w:sz w:val="22"/>
          <w:u w:val="single"/>
        </w:rPr>
        <w:t>Matrix Applied</w:t>
      </w:r>
      <w:r>
        <w:rPr>
          <w:color w:val="000000"/>
        </w:rPr>
        <w:t>”</w:t>
      </w:r>
      <w:r>
        <w:rPr>
          <w:rFonts w:ascii="Times New Roman;sans-serif" w:hAnsi="Times New Roman;sans-serif"/>
          <w:b w:val="false"/>
          <w:color w:val="000000"/>
          <w:sz w:val="22"/>
        </w:rPr>
        <w:t>), MSI FEDERAL CONTRACTING, LLC, a Delaware limited liability company (“</w:t>
      </w:r>
      <w:r>
        <w:rPr>
          <w:rFonts w:ascii="Times New Roman;sans-serif" w:hAnsi="Times New Roman;sans-serif"/>
          <w:b w:val="false"/>
          <w:color w:val="000000"/>
          <w:sz w:val="22"/>
          <w:u w:val="single"/>
        </w:rPr>
        <w:t>MSI</w:t>
      </w:r>
      <w:r>
        <w:rPr>
          <w:color w:val="000000"/>
        </w:rPr>
        <w:t>”</w:t>
      </w:r>
      <w:r>
        <w:rPr>
          <w:rFonts w:ascii="Times New Roman;sans-serif" w:hAnsi="Times New Roman;sans-serif"/>
          <w:b w:val="false"/>
          <w:color w:val="000000"/>
          <w:sz w:val="22"/>
        </w:rPr>
        <w:t>), MATRIX PDM, LLC, an Oklahoma limited liability company (“</w:t>
      </w:r>
      <w:r>
        <w:rPr>
          <w:rFonts w:ascii="Times New Roman;sans-serif" w:hAnsi="Times New Roman;sans-serif"/>
          <w:b w:val="false"/>
          <w:color w:val="000000"/>
          <w:sz w:val="22"/>
          <w:u w:val="single"/>
        </w:rPr>
        <w:t>Matrix PDM</w:t>
      </w:r>
      <w:r>
        <w:rPr>
          <w:color w:val="000000"/>
        </w:rPr>
        <w:t>”</w:t>
      </w:r>
      <w:r>
        <w:rPr>
          <w:rFonts w:ascii="Times New Roman;sans-serif" w:hAnsi="Times New Roman;sans-serif"/>
          <w:b w:val="false"/>
          <w:color w:val="000000"/>
          <w:sz w:val="22"/>
        </w:rPr>
        <w:t>), MATRIX PDM ENGINEERING LTD., a Nova Scotia company limited by shares (“</w:t>
      </w:r>
      <w:r>
        <w:rPr>
          <w:rFonts w:ascii="Times New Roman;sans-serif" w:hAnsi="Times New Roman;sans-serif"/>
          <w:b w:val="false"/>
          <w:color w:val="000000"/>
          <w:sz w:val="22"/>
          <w:u w:val="single"/>
        </w:rPr>
        <w:t>Matrix PDM Canada</w:t>
      </w:r>
      <w:r>
        <w:rPr>
          <w:color w:val="000000"/>
        </w:rPr>
        <w:t>”</w:t>
      </w:r>
      <w:r>
        <w:rPr>
          <w:rFonts w:ascii="Times New Roman;sans-serif" w:hAnsi="Times New Roman;sans-serif"/>
          <w:b w:val="false"/>
          <w:color w:val="000000"/>
          <w:sz w:val="22"/>
        </w:rPr>
        <w:t>), MATRIX NORTH AMERICAN CONSTRUCTION, LLC, a Delaware limited liability company (“</w:t>
      </w:r>
      <w:r>
        <w:rPr>
          <w:rFonts w:ascii="Times New Roman;sans-serif" w:hAnsi="Times New Roman;sans-serif"/>
          <w:b w:val="false"/>
          <w:color w:val="000000"/>
          <w:sz w:val="22"/>
          <w:u w:val="single"/>
        </w:rPr>
        <w:t>Matrix Delaware</w:t>
      </w:r>
      <w:r>
        <w:rPr>
          <w:color w:val="000000"/>
        </w:rPr>
        <w:t>”</w:t>
      </w:r>
      <w:r>
        <w:rPr>
          <w:rFonts w:ascii="Times New Roman;sans-serif" w:hAnsi="Times New Roman;sans-serif"/>
          <w:b w:val="false"/>
          <w:color w:val="000000"/>
          <w:sz w:val="22"/>
        </w:rPr>
        <w:t>), MATRIX SME CANADA, INC., a Delaware corporation (“</w:t>
      </w:r>
      <w:r>
        <w:rPr>
          <w:rFonts w:ascii="Times New Roman;sans-serif" w:hAnsi="Times New Roman;sans-serif"/>
          <w:b w:val="false"/>
          <w:color w:val="000000"/>
          <w:sz w:val="22"/>
          <w:u w:val="single"/>
        </w:rPr>
        <w:t>Matrix SME Delaware</w:t>
      </w:r>
      <w:r>
        <w:rPr>
          <w:color w:val="000000"/>
        </w:rPr>
        <w:t>”</w:t>
      </w:r>
      <w:r>
        <w:rPr>
          <w:rFonts w:ascii="Times New Roman;sans-serif" w:hAnsi="Times New Roman;sans-serif"/>
          <w:b w:val="false"/>
          <w:color w:val="000000"/>
          <w:sz w:val="22"/>
        </w:rPr>
        <w:t>), and together with each other Person from time to time a “Guarantor” thereunder (together with Matrix Service International, Matrix International Engineering, Matrix Applied, MSI, Matrix PDM, Matrix PDM Canada, Matrix Delaware and Matrix SME Delaware, each individually, a “</w:t>
      </w:r>
      <w:r>
        <w:rPr>
          <w:rFonts w:ascii="Times New Roman;sans-serif" w:hAnsi="Times New Roman;sans-serif"/>
          <w:b w:val="false"/>
          <w:color w:val="000000"/>
          <w:sz w:val="22"/>
          <w:u w:val="single"/>
        </w:rPr>
        <w:t>Guarantor</w:t>
      </w:r>
      <w:r>
        <w:rPr>
          <w:color w:val="000000"/>
        </w:rPr>
        <w:t xml:space="preserve">” </w:t>
      </w:r>
      <w:r>
        <w:rPr>
          <w:rFonts w:ascii="Times New Roman;sans-serif" w:hAnsi="Times New Roman;sans-serif"/>
          <w:b w:val="false"/>
          <w:color w:val="000000"/>
          <w:sz w:val="22"/>
        </w:rPr>
        <w:t>and collectively, “</w:t>
      </w:r>
      <w:r>
        <w:rPr>
          <w:rFonts w:ascii="Times New Roman;sans-serif" w:hAnsi="Times New Roman;sans-serif"/>
          <w:b w:val="false"/>
          <w:color w:val="000000"/>
          <w:sz w:val="22"/>
          <w:u w:val="single"/>
        </w:rPr>
        <w:t>Guarantors</w:t>
      </w:r>
      <w:r>
        <w:rPr>
          <w:color w:val="000000"/>
        </w:rPr>
        <w:t>”</w:t>
      </w:r>
      <w:r>
        <w:rPr>
          <w:rFonts w:ascii="Times New Roman;sans-serif" w:hAnsi="Times New Roman;sans-serif"/>
          <w:b w:val="false"/>
          <w:color w:val="000000"/>
          <w:sz w:val="22"/>
        </w:rPr>
        <w:t xml:space="preserve">), the Lenders party hereto, and </w:t>
      </w:r>
      <w:r>
        <w:rPr>
          <w:rFonts w:ascii="Times New Roman;sans-serif" w:hAnsi="Times New Roman;sans-serif"/>
          <w:b/>
          <w:color w:val="000000"/>
          <w:sz w:val="22"/>
        </w:rPr>
        <w:t>BANK OF MONTREAL</w:t>
      </w:r>
      <w:r>
        <w:rPr>
          <w:rFonts w:ascii="Times New Roman;sans-serif" w:hAnsi="Times New Roman;sans-serif"/>
          <w:b w:val="false"/>
          <w:color w:val="000000"/>
          <w:sz w:val="22"/>
        </w:rPr>
        <w:t>, as administrative agent for the Lenders (in such capacity,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WHEREAS</w:t>
      </w:r>
      <w:r>
        <w:rPr>
          <w:rFonts w:ascii="Times New Roman;sans-serif" w:hAnsi="Times New Roman;sans-serif"/>
          <w:b w:val="false"/>
          <w:color w:val="000000"/>
          <w:sz w:val="22"/>
        </w:rPr>
        <w:t>, reference is hereby made to that certain Credit Agreement, dated as of September 9, 2021, by and among the Borrowers, the other Loan Parties party thereto,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Agent (as amended, restated, amended and restated, supplemented and/or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capitalized terms used and not otherwise defined herein being used herein as therein defined); and </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Borrowers have requested and Agent and the Lenders have agreed, subject to the terms and conditions of this Amendment, to make certain amendments to the Credit Agreement as provided for herein.</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herein contained and other good and valuable consideration, the receipt and sufficiency of which are hereby acknowledged, the parties, intending to be legally bound,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w:t>
      </w:r>
      <w:r>
        <w:rPr>
          <w:rFonts w:ascii="Times New Roman;sans-serif" w:hAnsi="Times New Roman;sans-serif"/>
          <w:b w:val="false"/>
          <w:color w:val="000000"/>
          <w:sz w:val="22"/>
          <w:u w:val="single"/>
        </w:rPr>
        <w:t>Amendments to the Credit Agreement</w:t>
      </w:r>
      <w:r>
        <w:rPr>
          <w:rFonts w:ascii="Times New Roman;sans-serif" w:hAnsi="Times New Roman;sans-serif"/>
          <w:b w:val="false"/>
          <w:color w:val="000000"/>
          <w:sz w:val="22"/>
        </w:rPr>
        <w:t xml:space="preserve">. Effective as of the Second Amendment Effective Date,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of the Credit Agreement is hereby amended as follows: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following definition of “Reset Date” is hereby added in the appropriate alphabetical order: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u w:val="single"/>
        </w:rPr>
        <w:t>Reset Date</w:t>
      </w:r>
      <w:r>
        <w:rPr>
          <w:color w:val="000000"/>
        </w:rPr>
        <w:t xml:space="preserve">” </w:t>
      </w:r>
      <w:r>
        <w:rPr>
          <w:rFonts w:ascii="Times New Roman;sans-serif" w:hAnsi="Times New Roman;sans-serif"/>
          <w:b w:val="false"/>
          <w:color w:val="000000"/>
          <w:sz w:val="22"/>
        </w:rPr>
        <w:t>means January 1, 2024, or if consented to (in writing) by the Administrative Agent at its sole option, the date of the most recent Equipment appraisal received and approved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definition of “NOLV” is amended and restated to read in its entirety as follows: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2890"/>
                <wp:effectExtent l="0" t="0" r="0" b="0"/>
                <wp:wrapNone/>
                <wp:docPr id="36" name="Frame3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u w:val="single"/>
        </w:rPr>
        <w:t>NOLV</w:t>
      </w:r>
      <w:r>
        <w:rPr>
          <w:color w:val="000000"/>
        </w:rPr>
        <w:t xml:space="preserve">” </w:t>
      </w:r>
      <w:r>
        <w:rPr>
          <w:rFonts w:ascii="Times New Roman;sans-serif" w:hAnsi="Times New Roman;sans-serif"/>
          <w:b w:val="false"/>
          <w:color w:val="000000"/>
          <w:sz w:val="22"/>
        </w:rPr>
        <w:t xml:space="preserve">means, with respect to the Borrowers’ Equipment, the net orderly liquidation value of such Equipment, (a percentage of the Cost of such Equipment) that might be realized at an orderly, negotiated sale held within a reasonable period of time, net of all liquidation expenses, as determined from time to time by reference to the most recent appraisal received by the Administrative Agent conducted by an independent appraiser engaged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on the first day of each calendar month (commencing with </w:t>
      </w:r>
      <w:r>
        <w:rPr>
          <w:rFonts w:ascii="Times New Roman;sans-serif" w:hAnsi="Times New Roman;sans-serif"/>
          <w:b/>
          <w:i/>
          <w:color w:val="000000"/>
          <w:sz w:val="22"/>
        </w:rPr>
        <w:t>the calendar month in which the most recent Reset Date occurred</w:t>
      </w:r>
      <w:r>
        <w:rPr>
          <w:rFonts w:ascii="Times New Roman;sans-serif" w:hAnsi="Times New Roman;sans-serif"/>
          <w:b w:val="false"/>
          <w:color w:val="000000"/>
          <w:sz w:val="22"/>
        </w:rPr>
        <w:t xml:space="preserve">), the NOLV that is otherwise determined above for any particular Equipment shall be reduced on a straight-line basis, which reduction shall be calculated by (1) first dividing such NOLV by 84 and (2) next multiplying that quotient by the number of full calendar months that have been completed after the </w:t>
      </w:r>
      <w:r>
        <w:rPr>
          <w:rFonts w:ascii="Times New Roman;sans-serif" w:hAnsi="Times New Roman;sans-serif"/>
          <w:b/>
          <w:i/>
          <w:color w:val="000000"/>
          <w:sz w:val="22"/>
        </w:rPr>
        <w:t>Reset Date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2.</w:t>
      </w:r>
      <w:r>
        <w:rPr>
          <w:rFonts w:ascii="Times New Roman;sans-serif" w:hAnsi="Times New Roman;sans-serif"/>
          <w:b w:val="false"/>
          <w:color w:val="000000"/>
          <w:sz w:val="22"/>
          <w:u w:val="single"/>
        </w:rPr>
        <w:t>No Waiver</w:t>
      </w:r>
      <w:r>
        <w:rPr>
          <w:rFonts w:ascii="Times New Roman;sans-serif" w:hAnsi="Times New Roman;sans-serif"/>
          <w:b w:val="false"/>
          <w:color w:val="000000"/>
          <w:sz w:val="22"/>
        </w:rPr>
        <w:t>. Nothing in this Amendment shall directly or indirectly whatsoever either: (i) be construed as a waiver of any covenant or provision of the Credit Agreement, any other Loan Document, or any other contract or instrument by or among any Loan Party and the Agent and/or the Secured Parties, (ii) impair, prejudice or otherwise adversely affect any right of the Agent or the Secured Parties at any time to exercise any right, privilege or remedy in connection with the Credit Agreement, any other Loan Document or any other contract or instrument, or (iii) constitute any course of dealing or other basis for altering any obligation of the Loan Parties or any right, privilege or remedy of the Agent or the Lenders under the Credit Agreement, any other Loan Document or any other contract or instrument by or among any Loan Party and the Agent and/or the Secured Parties or constitute any consent by the Agent or the Lenders to any prior, existing or future violations of the Credit Agreement or any other Loan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3.</w:t>
      </w:r>
      <w:r>
        <w:rPr>
          <w:rFonts w:ascii="Times New Roman;sans-serif" w:hAnsi="Times New Roman;sans-serif"/>
          <w:b w:val="false"/>
          <w:color w:val="000000"/>
          <w:sz w:val="22"/>
          <w:u w:val="single"/>
        </w:rPr>
        <w:t>Conditions to Effectiveness</w:t>
      </w:r>
      <w:r>
        <w:rPr>
          <w:rFonts w:ascii="Times New Roman;sans-serif" w:hAnsi="Times New Roman;sans-serif"/>
          <w:b w:val="false"/>
          <w:color w:val="000000"/>
          <w:sz w:val="22"/>
        </w:rPr>
        <w:t>. The effectiveness of this Amendment is subject to the satisfaction of the following conditions precedent in a manner satisfactory to the Agent (the first date upon which all such conditions have been satisfied being herein called the “</w:t>
      </w:r>
      <w:r>
        <w:rPr>
          <w:rFonts w:ascii="Times New Roman;sans-serif" w:hAnsi="Times New Roman;sans-serif"/>
          <w:b w:val="false"/>
          <w:color w:val="000000"/>
          <w:sz w:val="22"/>
          <w:u w:val="single"/>
        </w:rPr>
        <w:t>Second Amendment Effective Date</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Agent shall have received this Amendment, duly executed by the Loan Parties, satisfactory in form and substance to the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representations and warranties contained in this Amendment shall be true and correct in all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Loan Parties shall have paid (x) to Agent an amendment fee in an aggregate amount equal to $20,000 (the “</w:t>
      </w:r>
      <w:r>
        <w:rPr>
          <w:rFonts w:ascii="Times New Roman;sans-serif" w:hAnsi="Times New Roman;sans-serif"/>
          <w:b w:val="false"/>
          <w:color w:val="000000"/>
          <w:sz w:val="22"/>
          <w:u w:val="single"/>
        </w:rPr>
        <w:t>Amendment Fee</w:t>
      </w:r>
      <w:r>
        <w:rPr>
          <w:color w:val="000000"/>
        </w:rPr>
        <w:t>”</w:t>
      </w:r>
      <w:r>
        <w:rPr>
          <w:rFonts w:ascii="Times New Roman;sans-serif" w:hAnsi="Times New Roman;sans-serif"/>
          <w:b w:val="false"/>
          <w:color w:val="000000"/>
          <w:sz w:val="22"/>
        </w:rPr>
        <w:t xml:space="preserve">), which Amendment Fee shall be fully earned and due and payable on the Second Amendment Effective Date and (y) all other fees, costs and expenses (including, without limitation, all legal fees and expenses of Holland &amp; Knight LLP) of the Agent as set forth in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hereof.</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Loan Parties shall be deemed to represent and warrant to the Agent and the Lenders that the foregoing conditions have been satisfied upon the release of its signatures to this Amendment.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4.</w:t>
      </w:r>
      <w:r>
        <w:rPr>
          <w:rFonts w:ascii="Times New Roman;sans-serif" w:hAnsi="Times New Roman;sans-serif"/>
          <w:b w:val="false"/>
          <w:color w:val="000000"/>
          <w:sz w:val="22"/>
          <w:u w:val="single"/>
        </w:rPr>
        <w:t>Ratifications and Further Assurances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The Loan Parties, the Agent and the Lenders agree that the Credit Agreement and the other Loan Documents, as amended hereby, shall continue to be legal, valid, binding and enforceable in accordance with their respective terms.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Loan Party confirms that all of its obligations under the Loan Documents are in full force and effect and are performable in accordance with their respective terms without setoff, defense, counter-claim or claims in recoupment. Each Loan Party further confirms that the term “Obligations”, as used in the Credit Agreement, shall include all Obligations of the Loan Parties under the Credit Agreement, any promissory notes issued under the Credit Agreement and each other Loan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94335"/>
                <wp:effectExtent l="0" t="0" r="0" b="0"/>
                <wp:wrapNone/>
                <wp:docPr id="37" name="Frame37"/>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5.</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Each Loan Party hereby represents and warrants to the Agent and the Lenders that (a) the execution, delivery and performance of this Amendment and any and all other Loan Documents executed and/or delivered in connection herewith by such Loan Party have been authorized by all requisite organizational action on the part of such Loan Party and will not violate the organizational or governing documents of such Loan Party; (b) before and after giving effect to this Amendment, 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of the Credit Agreement and in the other Loan Documents, or which are contained in any document furnished at any time under or in connection herewith or therewith, are true and correct in all material respects (or in all respects if qualified by materiality) on and as of the Second Amendment Effective Date, except to the extent that such representations and warranties specifically refer to an earlier date, in which case they are true and correct in all material respects (or in all respects if qualified by materiality) as of such earlier date, and for the purposes of this Amendment, the representations and warranties contained in subsections (a) and (b) of Section 6.05 of the Credit Agreement shall be deemed to refer to the most recent statements furnished pursuant to clauses (a) and (b), respectively, of Section 7.01 of the Credit Agreement; (c) after giving effect to this Amendment, no Default or Event of Default under the Credit Agreement has occurred and is continuing; (d) such Loan Party is in compliance with all covenants and agreements contained in the Credit Agreement and the other Loan Documents, as applicable, as amended hereby; and (e) such Loan Party has not amended its organizational or governing documents since the date of execution of the Credit Agreement other than as has been previously disclosed and delivered to the Agent.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6.</w:t>
      </w:r>
      <w:r>
        <w:rPr>
          <w:rFonts w:ascii="Times New Roman;sans-serif" w:hAnsi="Times New Roman;sans-serif"/>
          <w:b w:val="false"/>
          <w:color w:val="000000"/>
          <w:sz w:val="22"/>
          <w:u w:val="single"/>
        </w:rPr>
        <w:t>Survival of Representations and Warranties</w:t>
      </w:r>
      <w:r>
        <w:rPr>
          <w:rFonts w:ascii="Times New Roman;sans-serif" w:hAnsi="Times New Roman;sans-serif"/>
          <w:b w:val="false"/>
          <w:color w:val="000000"/>
          <w:sz w:val="22"/>
        </w:rPr>
        <w:t>. All representations and warranties made in the Credit Agreement or any other Loan Document, including, without limitation, any document furnished in connection with this Amendment, shall survive the execution and delivery of this Amendment and the other Loan Documents, and no investigation by the Agent or any Lender or any closing shall affect the representations and warranties or the right of the Agent and the Lenders to rely upon them.</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SECTION 7.</w:t>
      </w:r>
      <w:r>
        <w:rPr>
          <w:rFonts w:ascii="Times New Roman;sans-serif" w:hAnsi="Times New Roman;sans-serif"/>
          <w:b w:val="false"/>
          <w:color w:val="000000"/>
          <w:sz w:val="22"/>
          <w:u w:val="single"/>
        </w:rPr>
        <w:t>Reference to Credit Agreement</w:t>
      </w:r>
      <w:r>
        <w:rPr>
          <w:rFonts w:ascii="Times New Roman;sans-serif" w:hAnsi="Times New Roman;sans-serif"/>
          <w:b w:val="false"/>
          <w:color w:val="000000"/>
          <w:sz w:val="22"/>
        </w:rPr>
        <w:t>. Each of the Credit Agreement and the other Loan Documents, and any and all other Loan Documents,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 and any reference in the Credit Agreement and such other Loan Documents to any other Loan Document amended by the provisions of this Amendment shall mean a reference to such other Loan Documents, as amended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8.</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As provided in the Credit Agreement, the Loan Parties agree to pay on demand all reasonable costs and out-of-pocket expenses incurred by the Agent and the Lenders in connection with the preparation, negotiation, and execution of this Amendment and the other Loan Documents executed pursuant hereto and any and all amendments, modifications, and supplements thereto, including, without limitation, the reasonable fees and expenses of the Agent’s and the Lenders’ respective legal counsel, and all reasonable costs and out-of-pocket expenses incurred by the Agent and the Lenders in connection with the enforcement or preservation of any rights under the Credit Agreement, as modified hereby, or any other Loan Documents, including, without, limitation, the reasonable fees and expenses of the Agent’s and the Lenders’ respective legal counsel and consultants retained by the Agent and the Lenders or retained by the Agent’s and the Lenders’ legal counsel.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9.</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Amendment held by a court of competent jurisdiction to be invalid or unenforceable shall not impair or invalidate the remainder of this Amendment and the effect thereof shall be confined to the provision so held to be invalid or unenforceable. Furthermore, in lieu of such invalid or unenforceable provision there shall be added as a part of this Amendment a provision as similar in terms to such illegal, invalid or unenforceable provision as may be possible and be legal, valid and enforceable.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This Amendment is binding upon and shall inure to the benefit of the Agent, the Lenders, and the Loan Parties and their respective successors and assigns, except that no Loan Party may assign or transfer any of its rights or obligations hereunder without the prior written consent of the Agent.</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94335"/>
                <wp:effectExtent l="0" t="0" r="0" b="0"/>
                <wp:wrapNone/>
                <wp:docPr id="38" name="Frame38"/>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Amendment may be executed in one or more counterparts (including via electronic transmission), each of which when so executed shall be deemed to be an original, but all of which when taken together shall constitute one and the same instrument.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u w:val="single"/>
        </w:rPr>
        <w:t>Effect of Waiver</w:t>
      </w:r>
      <w:r>
        <w:rPr>
          <w:rFonts w:ascii="Times New Roman;sans-serif" w:hAnsi="Times New Roman;sans-serif"/>
          <w:b w:val="false"/>
          <w:color w:val="000000"/>
          <w:sz w:val="22"/>
        </w:rPr>
        <w:t>. No consent or waiver, express or implied, by the Agent and the Lenders to or for any breach of or deviation from any covenant or condition by any Loan Party shall be deemed a consent to or waiver of any other breach of the same or any other covenant, condition or duty.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13.</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captions, and arrangements used in this Amendment are for convenience only and shall not affect the interpretation of this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14.</w:t>
      </w:r>
      <w:r>
        <w:rPr>
          <w:rFonts w:ascii="Times New Roman;sans-serif" w:hAnsi="Times New Roman;sans-serif"/>
          <w:b w:val="false"/>
          <w:color w:val="000000"/>
          <w:sz w:val="22"/>
          <w:u w:val="single"/>
        </w:rPr>
        <w:t>Applicable Law</w:t>
      </w:r>
      <w:r>
        <w:rPr>
          <w:rFonts w:ascii="Times New Roman;sans-serif" w:hAnsi="Times New Roman;sans-serif"/>
          <w:b w:val="false"/>
          <w:color w:val="000000"/>
          <w:sz w:val="22"/>
        </w:rPr>
        <w:t xml:space="preserve">. This Amendment and all other Loan Documents executed pursuant hereto shall be deemed to have been made and to be performable in and shall be governed by and construed in accordance with the laws of the State of New York.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15.</w:t>
      </w:r>
      <w:r>
        <w:rPr>
          <w:rFonts w:ascii="Times New Roman;sans-serif" w:hAnsi="Times New Roman;sans-serif"/>
          <w:b w:val="false"/>
          <w:color w:val="000000"/>
          <w:sz w:val="22"/>
          <w:u w:val="single"/>
        </w:rPr>
        <w:t>Final Agreement</w:t>
      </w:r>
      <w:r>
        <w:rPr>
          <w:rFonts w:ascii="Times New Roman;sans-serif" w:hAnsi="Times New Roman;sans-serif"/>
          <w:b w:val="false"/>
          <w:color w:val="000000"/>
          <w:sz w:val="22"/>
        </w:rPr>
        <w:t xml:space="preserve">. THE CREDIT AGREEMENT AND THE OTHER LOAN DOCUMENTS, EACH AS AMENDED HEREBY, REPRESENT THE ENTIRE EXPRESSION OF THE PARTIES WITH RESPECT TO THE SUBJECT MATTER HEREOF ON THE DATE THIS AMENDMENT IS EXECUTED. THE CREDIT AGREEMENT AND THE OTHER LOAN DOCUMENTS MAY NOT BE CONTRADICTED BY EVIDENCE OF PRIOR, CONTEMPORANEOUS OR SUBSEQUENT ORAL AGREEMENTS OF THE PARTIES. THERE ARE NO UNWRITTEN ORAL AGREEMENTS BETWEEN THE PARTIES. NO MODIFICATION, RESCISSION, WAIVER, RELEASE OR AMENDMENT OF ANY PROVISION OF THIS AMENDMENT SHALL BE MADE, EXCEPT BY A WRITTEN AGREEMENT SIGNED BY THE LOAN PARTIES AND THE AGENT.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16.</w:t>
      </w:r>
      <w:r>
        <w:rPr>
          <w:rFonts w:ascii="Times New Roman;sans-serif" w:hAnsi="Times New Roman;sans-serif"/>
          <w:b/>
          <w:color w:val="000000"/>
          <w:sz w:val="22"/>
          <w:u w:val="single"/>
        </w:rPr>
        <w:t>Release</w:t>
      </w:r>
      <w:r>
        <w:rPr>
          <w:rFonts w:ascii="Times New Roman;sans-serif" w:hAnsi="Times New Roman;sans-serif"/>
          <w:b/>
          <w:color w:val="000000"/>
          <w:sz w:val="22"/>
        </w:rPr>
        <w:t>. BORROWERS AND GUARANTORS HEREBY ACKNOWLEDGE THAT THEY HAVE NO DEFENSE, COUNTERCLAIM, OFFSET, CROSS-COMPLAINT, CLAIM OR DEMAND OF ANY KIND OR NATURE WHATSOEVER THAT CAN BE ASSERTED TO REDUCE OR ELIMINATE ALL OR ANY PART OF ITS LIABILITY TO REPAY THE “OBLIGATIONS” OR TO SEEK AFFIRMATIVE RELIEF OR DAMAGES OF ANY KIND OR NATURE FROM AGENT OR ANY SECURED PARTY. BORROWERS AND GUARANTORS HEREBY VOLUNTARILY AND KNOWINGLY RELEASE AND FOREVER DISCHARGE AGENT AND EACH SECURED PARTY AND THEIR RESPECTIVE PREDECESSORS, AGENTS, EMPLOYEES, SUCCESSORS AND ASSIGNS, FROM ALL POSSIBLE CLAIMS, DEMANDS, ACTIONS, CAUSES OF ACTION, DAMAGES, COSTS, EXPENSES, AND LIABILITIES (INCLUDING ALL STRICT LIABILITIES) WHATSOEVER, KNOWN OR UNKNOWN, ANTICIPATED OR UNANTICIPATED, SUSPECTED OR UNSUSPECTED, FIXED, CONTINGENT, OR CONDITIONAL, AT LAW OR IN EQUITY, ORIGINATING IN WHOLE OR IN PART ON OR BEFORE THE DATE THIS AGREEMENT IS EXECUTED, WHICH BORROWERS AND GUARANTORS MAY NOW OR HEREAFTER HAVE AGAINST AGENT, EACH SECURED PARTY OR THEIR RESPECTIVE PREDECESSORS, AGENTS, EMPLOYEES, SUCCESSORS AND ASSIGNS, IF ANY, AND IRRESPECTIVE OF WHETHER ANY SUCH CLAIMS ARISE OUT OF CONTRACT, TORT, VIOLATION OF LAW OR REGULATIONS, OR OTHERWISE, AND ARISING FROM ANY “LOANS”, INCLUDING, WITHOUT LIMITATION, ANY CONTRACTING FOR, CHARGING, TAKING, RESERVING, COLLECTING OR RECEIVING INTEREST IN EXCESS OF THE HIGHEST LAWFUL RATE APPLICABLE, THE EXERCISE OF ANY RIGHTS AND REMEDIES UNDER THE CREDIT AGREEMENT OR OTHER LOAN DOCUMENTS, AND NEGOTIATION FOR AND EXECUTION OF THIS AMENDMENT.</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94335"/>
                <wp:effectExtent l="0" t="0" r="0" b="0"/>
                <wp:wrapNone/>
                <wp:docPr id="39" name="Frame39"/>
                <a:graphic xmlns:a="http://schemas.openxmlformats.org/drawingml/2006/main">
                  <a:graphicData uri="http://schemas.microsoft.com/office/word/2010/wordprocessingShape">
                    <wps:wsp>
                      <wps:cNvSpPr txBox="1"/>
                      <wps:spPr>
                        <a:xfrm>
                          <a:off x="0" y="0"/>
                          <a:ext cx="6480175" cy="39433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[Matrix] Second Amendment to Credit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#235240430</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this Amendment has been executed on the date first written above, to be effective as the respective date set forth above.</w:t>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AGENT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BANK OF MONTREAL</w:t>
      </w:r>
      <w:r>
        <w:rPr>
          <w:color w:val="000000"/>
        </w:rPr>
        <w:t xml:space="preserve"> </w:t>
      </w:r>
      <w:r>
        <w:rPr>
          <w:rFonts w:ascii="Times New Roman;sans-serif" w:hAnsi="Times New Roman;sans-serif"/>
          <w:b w:val="false"/>
          <w:color w:val="000000"/>
          <w:sz w:val="22"/>
        </w:rPr>
        <w:br/>
        <w:br/>
        <w:br/>
        <w:t>By:</w:t>
      </w:r>
      <w:r>
        <w:rPr>
          <w:color w:val="000000"/>
          <w:u w:val="single"/>
        </w:rPr>
        <w:t xml:space="preserve"> </w:t>
      </w:r>
      <w:r>
        <w:rPr>
          <w:rFonts w:ascii="Times New Roman;sans-serif" w:hAnsi="Times New Roman;sans-serif"/>
          <w:b w:val="false"/>
          <w:color w:val="000000"/>
          <w:sz w:val="22"/>
          <w:u w:val="single"/>
        </w:rPr>
        <w:t>/s/ Daniel Duffy</w:t>
      </w:r>
      <w:r>
        <w:rPr>
          <w:color w:val="000000"/>
        </w:rPr>
        <w:t xml:space="preserve"> </w:t>
      </w:r>
      <w:r>
        <w:rPr>
          <w:rFonts w:ascii="Times New Roman;sans-serif" w:hAnsi="Times New Roman;sans-serif"/>
          <w:b w:val="false"/>
          <w:color w:val="000000"/>
          <w:sz w:val="22"/>
        </w:rPr>
        <w:br/>
        <w:t>Name: Daniel Duffy</w:t>
      </w:r>
      <w:r>
        <w:rPr>
          <w:rFonts w:ascii="Times New Roman;sans-serif" w:hAnsi="Times New Roman;sans-serif"/>
          <w:b w:val="false"/>
          <w:color w:val="000000"/>
          <w:sz w:val="22"/>
          <w:u w:val="single"/>
        </w:rPr>
        <w:br/>
      </w:r>
      <w:r>
        <w:rPr>
          <w:rFonts w:ascii="Times New Roman;sans-serif" w:hAnsi="Times New Roman;sans-serif"/>
          <w:b w:val="false"/>
          <w:color w:val="000000"/>
          <w:sz w:val="22"/>
        </w:rPr>
        <w:t xml:space="preserve">Title: Director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color w:val="000000"/>
          <w:sz w:val="22"/>
          <w:u w:val="single"/>
        </w:rPr>
      </w:pPr>
      <w:r>
        <w:rPr>
          <w:rFonts w:ascii="Times New Roman;sans-serif" w:hAnsi="Times New Roman;sans-serif"/>
          <w:b/>
          <w:color w:val="000000"/>
          <w:sz w:val="22"/>
          <w:u w:val="single"/>
        </w:rPr>
        <w:t>LENDERS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BANK OF MONTREAL</w:t>
      </w:r>
      <w:r>
        <w:rPr>
          <w:color w:val="000000"/>
        </w:rPr>
        <w:t xml:space="preserve"> </w:t>
      </w:r>
      <w:r>
        <w:rPr>
          <w:rFonts w:ascii="Times New Roman;sans-serif" w:hAnsi="Times New Roman;sans-serif"/>
          <w:b w:val="false"/>
          <w:color w:val="000000"/>
          <w:sz w:val="22"/>
        </w:rPr>
        <w:br/>
        <w:br/>
        <w:t>By:</w:t>
      </w:r>
      <w:r>
        <w:rPr>
          <w:color w:val="000000"/>
          <w:u w:val="single"/>
        </w:rPr>
        <w:t xml:space="preserve"> </w:t>
      </w:r>
      <w:r>
        <w:rPr>
          <w:rFonts w:ascii="Times New Roman;sans-serif" w:hAnsi="Times New Roman;sans-serif"/>
          <w:b w:val="false"/>
          <w:color w:val="000000"/>
          <w:sz w:val="22"/>
          <w:u w:val="single"/>
        </w:rPr>
        <w:t>/s/ Daniel Duffy</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Name: Daniel Duffy</w:t>
      </w:r>
      <w:r>
        <w:rPr>
          <w:rFonts w:ascii="Times New Roman;sans-serif" w:hAnsi="Times New Roman;sans-serif"/>
          <w:b w:val="false"/>
          <w:color w:val="000000"/>
          <w:sz w:val="22"/>
          <w:u w:val="single"/>
        </w:rPr>
        <w:br/>
      </w:r>
      <w:r>
        <w:rPr>
          <w:color w:val="000000"/>
        </w:rPr>
        <w:t>    </w:t>
      </w:r>
      <w:r>
        <w:rPr>
          <w:rFonts w:ascii="Times New Roman;sans-serif" w:hAnsi="Times New Roman;sans-serif"/>
          <w:b w:val="false"/>
          <w:color w:val="000000"/>
          <w:sz w:val="22"/>
        </w:rPr>
        <w:t>Title: Director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BANK OF MONTREAL</w:t>
      </w:r>
      <w:r>
        <w:rPr>
          <w:color w:val="000000"/>
        </w:rPr>
        <w:t xml:space="preserve"> </w:t>
      </w:r>
      <w:r>
        <w:rPr>
          <w:rFonts w:ascii="Times New Roman;sans-serif" w:hAnsi="Times New Roman;sans-serif"/>
          <w:b w:val="false"/>
          <w:color w:val="000000"/>
          <w:sz w:val="22"/>
        </w:rPr>
        <w:br/>
        <w:br/>
        <w:br/>
        <w:t>By:</w:t>
      </w:r>
      <w:r>
        <w:rPr>
          <w:color w:val="000000"/>
          <w:u w:val="single"/>
        </w:rPr>
        <w:t xml:space="preserve"> </w:t>
      </w:r>
      <w:r>
        <w:rPr>
          <w:rFonts w:ascii="Times New Roman;sans-serif" w:hAnsi="Times New Roman;sans-serif"/>
          <w:b w:val="false"/>
          <w:color w:val="000000"/>
          <w:sz w:val="22"/>
          <w:u w:val="single"/>
        </w:rPr>
        <w:t>/s/ Helen Alvarez-Hernandez</w:t>
      </w:r>
      <w:r>
        <w:rPr>
          <w:rFonts w:ascii="Times New Roman;sans-serif" w:hAnsi="Times New Roman;sans-serif"/>
          <w:b w:val="false"/>
          <w:color w:val="000000"/>
          <w:sz w:val="22"/>
        </w:rPr>
        <w:br/>
        <w:t>Name: Helen Alvarez-Hernandez</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 Managing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72870"/>
                <wp:effectExtent l="0" t="0" r="0" b="0"/>
                <wp:wrapNone/>
                <wp:docPr id="40" name="Frame40"/>
                <a:graphic xmlns:a="http://schemas.openxmlformats.org/drawingml/2006/main">
                  <a:graphicData uri="http://schemas.microsoft.com/office/word/2010/wordprocessingShape">
                    <wps:wsp>
                      <wps:cNvSpPr txBox="1"/>
                      <wps:spPr>
                        <a:xfrm>
                          <a:off x="0" y="0"/>
                          <a:ext cx="6480175" cy="137287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color w:val="000000"/>
          <w:sz w:val="22"/>
          <w:u w:val="single"/>
        </w:rPr>
        <w:t>BORROWERS</w:t>
      </w:r>
      <w:r>
        <w:rPr>
          <w:rFonts w:ascii="Times New Roman;sans-serif" w:hAnsi="Times New Roman;sans-serif"/>
          <w:b/>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MATRIX SERVICE COMPANY</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Delaware corporation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MATRIX SERVICE INC.</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 Oklahoma corporation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MATRIX PDM ENGINEERING, INC.</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 Delaware corporation </w:t>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MATRIX NORTH AMERICAN CONSTRUCTION, INC.</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 Oklahoma corporation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310"/>
                <wp:effectExtent l="0" t="0" r="0" b="0"/>
                <wp:wrapNone/>
                <wp:docPr id="41" name="Frame4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r>
                              <w:br w:type="page"/>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MATRIX SERVICE CANADA ULC</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 Alberta unlimited liability corporation</w:t>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MATRIX SME CANADA ULC</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Nova Scotia unlimited company</w:t>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color w:val="000000"/>
          <w:sz w:val="24"/>
        </w:rPr>
        <w:t>MATRIX NORTH AMERICAN CONSTRUCTION LTD.</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 Ontario corporation</w:t>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310"/>
                <wp:effectExtent l="0" t="0" r="0" b="0"/>
                <wp:wrapNone/>
                <wp:docPr id="42" name="Frame4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r>
                              <w:br w:type="page"/>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GUARANTORS</w:t>
      </w:r>
      <w:r>
        <w:rPr>
          <w:rFonts w:ascii="Times New Roman;sans-serif" w:hAnsi="Times New Roman;sans-serif"/>
          <w:b/>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MATRIX SERVICE INTERNATIONAL, LLC</w:t>
      </w:r>
      <w:r>
        <w:rPr>
          <w:rFonts w:ascii="Times New Roman;sans-serif" w:hAnsi="Times New Roman;sans-serif"/>
          <w:b w:val="false"/>
          <w:color w:val="000000"/>
          <w:sz w:val="24"/>
        </w:rPr>
        <w:t xml:space="preserve">, a Delaware limited liability company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MATRIX INTERNATIONAL ENGINEERING, LLP</w:t>
      </w:r>
      <w:r>
        <w:rPr>
          <w:rFonts w:ascii="Times New Roman;sans-serif" w:hAnsi="Times New Roman;sans-serif"/>
          <w:b w:val="false"/>
          <w:color w:val="000000"/>
          <w:sz w:val="22"/>
        </w:rPr>
        <w:t xml:space="preserv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partnership</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MATRIX APPLIED TECHNOLOGIES, INC.</w:t>
      </w:r>
      <w:r>
        <w:rPr>
          <w:rFonts w:ascii="Times New Roman;sans-serif" w:hAnsi="Times New Roman;sans-serif"/>
          <w:b w:val="false"/>
          <w:color w:val="000000"/>
          <w:sz w:val="24"/>
        </w:rPr>
        <w:t xml:space="preserv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MSI FEDERAL CONTRACTING, LLC</w:t>
      </w:r>
      <w:r>
        <w:rPr>
          <w:rFonts w:ascii="Times New Roman;sans-serif" w:hAnsi="Times New Roman;sans-serif"/>
          <w:b w:val="false"/>
          <w:color w:val="000000"/>
          <w:sz w:val="22"/>
        </w:rPr>
        <w:t xml:space="preserv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MATRIX PDM, LLC</w:t>
      </w:r>
      <w:r>
        <w:rPr>
          <w:rFonts w:ascii="Times New Roman;sans-serif" w:hAnsi="Times New Roman;sans-serif"/>
          <w:b w:val="false"/>
          <w:color w:val="000000"/>
          <w:sz w:val="22"/>
        </w:rPr>
        <w:t xml:space="preserv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 Oklahoma limited liability company</w:t>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310"/>
                <wp:effectExtent l="0" t="0" r="0" b="0"/>
                <wp:wrapNone/>
                <wp:docPr id="43" name="Frame4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r>
                              <w:br w:type="page"/>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2"/>
        </w:rPr>
        <w:t>MATRIX PDM ENGINEERING LTD.</w:t>
      </w:r>
      <w:r>
        <w:rPr>
          <w:rFonts w:ascii="Times New Roman;sans-serif" w:hAnsi="Times New Roman;sans-serif"/>
          <w:b w:val="false"/>
          <w:color w:val="000000"/>
          <w:sz w:val="22"/>
        </w:rPr>
        <w:t xml:space="preserve">,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Nova Scotia company limited by shares</w:t>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MATRIX NORTH AMERICAN CONSTRUCTION, LLC</w:t>
      </w:r>
      <w:r>
        <w:rPr>
          <w:rFonts w:ascii="Times New Roman;sans-serif" w:hAnsi="Times New Roman;sans-serif"/>
          <w:b w:val="false"/>
          <w:color w:val="000000"/>
          <w:sz w:val="22"/>
        </w:rPr>
        <w:t xml:space="preserv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pPr>
      <w:r>
        <w:rPr>
          <w:rFonts w:ascii="Times New Roman;sans-serif" w:hAnsi="Times New Roman;sans-serif"/>
          <w:b/>
          <w:color w:val="000000"/>
          <w:sz w:val="22"/>
        </w:rPr>
        <w:t>MATRIX SME CANADA, INC.</w:t>
      </w:r>
      <w:r>
        <w:rPr>
          <w:color w:val="000000"/>
        </w:rPr>
        <w:t xml:space="preserve">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ind w:left="0" w:right="0" w:hanging="720"/>
        <w:jc w:val="both"/>
        <w:rPr/>
      </w:pPr>
      <w:r>
        <w:rPr/>
      </w:r>
    </w:p>
    <w:p>
      <w:pPr>
        <w:pStyle w:val="TextBody"/>
        <w:bidi w:val="0"/>
        <w:spacing w:lineRule="auto" w:line="319"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Kevin S. Cavanah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310"/>
                <wp:effectExtent l="0" t="0" r="0" b="0"/>
                <wp:wrapNone/>
                <wp:docPr id="44" name="Frame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Amendment to Credit Agreement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R. Hewitt,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tbl>
      <w:tblPr>
        <w:tblW w:w="3220" w:type="dxa"/>
        <w:jc w:val="left"/>
        <w:tblInd w:w="0" w:type="dxa"/>
        <w:tblLayout w:type="fixed"/>
        <w:tblCellMar>
          <w:top w:w="28" w:type="dxa"/>
          <w:left w:w="28" w:type="dxa"/>
          <w:bottom w:w="28" w:type="dxa"/>
          <w:right w:w="28" w:type="dxa"/>
        </w:tblCellMar>
      </w:tblPr>
      <w:tblGrid>
        <w:gridCol w:w="267"/>
        <w:gridCol w:w="236"/>
        <w:gridCol w:w="238"/>
        <w:gridCol w:w="660"/>
        <w:gridCol w:w="660"/>
        <w:gridCol w:w="663"/>
        <w:gridCol w:w="145"/>
        <w:gridCol w:w="145"/>
        <w:gridCol w:w="206"/>
      </w:tblGrid>
      <w:tr>
        <w:trPr/>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Kevin S. Cavanah,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582" w:type="dxa"/>
        <w:jc w:val="left"/>
        <w:tblInd w:w="0" w:type="dxa"/>
        <w:tblLayout w:type="fixed"/>
        <w:tblCellMar>
          <w:top w:w="28" w:type="dxa"/>
          <w:left w:w="28" w:type="dxa"/>
          <w:bottom w:w="28" w:type="dxa"/>
          <w:right w:w="28" w:type="dxa"/>
        </w:tblCellMar>
      </w:tblPr>
      <w:tblGrid>
        <w:gridCol w:w="297"/>
        <w:gridCol w:w="263"/>
        <w:gridCol w:w="264"/>
        <w:gridCol w:w="734"/>
        <w:gridCol w:w="734"/>
        <w:gridCol w:w="737"/>
        <w:gridCol w:w="162"/>
        <w:gridCol w:w="162"/>
        <w:gridCol w:w="229"/>
      </w:tblGrid>
      <w:tr>
        <w:trPr/>
        <w:tc>
          <w:tcPr>
            <w:tcW w:w="2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Matrix Service Company (the “Company”) on Form 10-Q for the period ending December 31, 2023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20" w:type="dxa"/>
        <w:jc w:val="left"/>
        <w:tblInd w:w="0" w:type="dxa"/>
        <w:tblLayout w:type="fixed"/>
        <w:tblCellMar>
          <w:top w:w="28" w:type="dxa"/>
          <w:left w:w="28" w:type="dxa"/>
          <w:bottom w:w="28" w:type="dxa"/>
          <w:right w:w="28" w:type="dxa"/>
        </w:tblCellMar>
      </w:tblPr>
      <w:tblGrid>
        <w:gridCol w:w="267"/>
        <w:gridCol w:w="236"/>
        <w:gridCol w:w="238"/>
        <w:gridCol w:w="660"/>
        <w:gridCol w:w="660"/>
        <w:gridCol w:w="663"/>
        <w:gridCol w:w="145"/>
        <w:gridCol w:w="145"/>
        <w:gridCol w:w="206"/>
      </w:tblGrid>
      <w:tr>
        <w:trPr/>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Matrix Service Company (the “Company”) on Form 10-Q for the period ending December 31, 2023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82" w:type="dxa"/>
        <w:jc w:val="left"/>
        <w:tblInd w:w="0" w:type="dxa"/>
        <w:tblLayout w:type="fixed"/>
        <w:tblCellMar>
          <w:top w:w="28" w:type="dxa"/>
          <w:left w:w="28" w:type="dxa"/>
          <w:bottom w:w="28" w:type="dxa"/>
          <w:right w:w="28" w:type="dxa"/>
        </w:tblCellMar>
      </w:tblPr>
      <w:tblGrid>
        <w:gridCol w:w="297"/>
        <w:gridCol w:w="263"/>
        <w:gridCol w:w="264"/>
        <w:gridCol w:w="734"/>
        <w:gridCol w:w="734"/>
        <w:gridCol w:w="737"/>
        <w:gridCol w:w="162"/>
        <w:gridCol w:w="162"/>
        <w:gridCol w:w="229"/>
      </w:tblGrid>
      <w:tr>
        <w:trPr/>
        <w:tc>
          <w:tcPr>
            <w:tcW w:w="2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for the three months ended December 31, 2023:</w:t>
      </w:r>
    </w:p>
    <w:tbl>
      <w:tblPr>
        <w:tblW w:w="10205" w:type="dxa"/>
        <w:jc w:val="center"/>
        <w:tblInd w:w="0" w:type="dxa"/>
        <w:tblLayout w:type="fixed"/>
        <w:tblCellMar>
          <w:top w:w="28" w:type="dxa"/>
          <w:left w:w="28" w:type="dxa"/>
          <w:bottom w:w="28" w:type="dxa"/>
          <w:right w:w="28" w:type="dxa"/>
        </w:tblCellMar>
      </w:tblPr>
      <w:tblGrid>
        <w:gridCol w:w="629"/>
        <w:gridCol w:w="316"/>
        <w:gridCol w:w="318"/>
        <w:gridCol w:w="216"/>
        <w:gridCol w:w="216"/>
        <w:gridCol w:w="217"/>
        <w:gridCol w:w="183"/>
        <w:gridCol w:w="183"/>
        <w:gridCol w:w="184"/>
        <w:gridCol w:w="210"/>
        <w:gridCol w:w="210"/>
        <w:gridCol w:w="212"/>
        <w:gridCol w:w="193"/>
        <w:gridCol w:w="193"/>
        <w:gridCol w:w="195"/>
        <w:gridCol w:w="183"/>
        <w:gridCol w:w="183"/>
        <w:gridCol w:w="184"/>
        <w:gridCol w:w="312"/>
        <w:gridCol w:w="312"/>
        <w:gridCol w:w="314"/>
        <w:gridCol w:w="235"/>
        <w:gridCol w:w="235"/>
        <w:gridCol w:w="237"/>
        <w:gridCol w:w="308"/>
        <w:gridCol w:w="308"/>
        <w:gridCol w:w="309"/>
        <w:gridCol w:w="336"/>
        <w:gridCol w:w="336"/>
        <w:gridCol w:w="338"/>
        <w:gridCol w:w="265"/>
        <w:gridCol w:w="265"/>
        <w:gridCol w:w="267"/>
        <w:gridCol w:w="248"/>
        <w:gridCol w:w="248"/>
        <w:gridCol w:w="249"/>
        <w:gridCol w:w="245"/>
        <w:gridCol w:w="245"/>
        <w:gridCol w:w="368"/>
      </w:tblGrid>
      <w:tr>
        <w:trPr/>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Mine or Operating Name/MSHA Identification Number</w:t>
            </w:r>
          </w:p>
        </w:tc>
        <w:tc>
          <w:tcPr>
            <w:tcW w:w="6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 S&amp;S Citations</w:t>
            </w:r>
            <w:r>
              <w:rPr>
                <w:rFonts w:ascii="Times New Roman;sans-serif" w:hAnsi="Times New Roman;sans-serif"/>
                <w:b w:val="false"/>
                <w:color w:val="000000"/>
                <w:sz w:val="8"/>
              </w:rPr>
              <w:t>(1)</w:t>
            </w:r>
          </w:p>
        </w:tc>
        <w:tc>
          <w:tcPr>
            <w:tcW w:w="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104(b) Orders</w:t>
            </w:r>
            <w:r>
              <w:rPr>
                <w:rFonts w:ascii="Times New Roman;sans-serif" w:hAnsi="Times New Roman;sans-serif"/>
                <w:b w:val="false"/>
                <w:color w:val="000000"/>
                <w:sz w:val="8"/>
              </w:rPr>
              <w:t>(2)</w:t>
            </w:r>
          </w:p>
        </w:tc>
        <w:tc>
          <w:tcPr>
            <w:tcW w:w="6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104(d) Citations and Orders</w:t>
            </w:r>
            <w:r>
              <w:rPr>
                <w:rFonts w:ascii="Times New Roman;sans-serif" w:hAnsi="Times New Roman;sans-serif"/>
                <w:b w:val="false"/>
                <w:color w:val="000000"/>
                <w:sz w:val="8"/>
              </w:rPr>
              <w:t>(3)</w:t>
            </w:r>
          </w:p>
        </w:tc>
        <w:tc>
          <w:tcPr>
            <w:tcW w:w="5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110(b)(2) Violations</w:t>
            </w:r>
            <w:r>
              <w:rPr>
                <w:rFonts w:ascii="Times New Roman;sans-serif" w:hAnsi="Times New Roman;sans-serif"/>
                <w:b w:val="false"/>
                <w:color w:val="000000"/>
                <w:sz w:val="8"/>
              </w:rPr>
              <w:t>(4)</w:t>
            </w:r>
          </w:p>
        </w:tc>
        <w:tc>
          <w:tcPr>
            <w:tcW w:w="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107(a) Orders</w:t>
            </w:r>
            <w:r>
              <w:rPr>
                <w:rFonts w:ascii="Times New Roman;sans-serif" w:hAnsi="Times New Roman;sans-serif"/>
                <w:b w:val="false"/>
                <w:color w:val="000000"/>
                <w:sz w:val="8"/>
              </w:rPr>
              <w:t>(5)</w:t>
            </w:r>
          </w:p>
        </w:tc>
        <w:tc>
          <w:tcPr>
            <w:tcW w:w="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Dollar Value of MSHA Assessments Proposed ($)</w:t>
            </w:r>
          </w:p>
        </w:tc>
        <w:tc>
          <w:tcPr>
            <w:tcW w:w="7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Mining Related Fatalities</w:t>
            </w:r>
          </w:p>
        </w:tc>
        <w:tc>
          <w:tcPr>
            <w:tcW w:w="9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Pattern of Violations Under Section 104(e)</w:t>
            </w:r>
            <w:r>
              <w:rPr>
                <w:rFonts w:ascii="Times New Roman;sans-serif" w:hAnsi="Times New Roman;sans-serif"/>
                <w:b w:val="false"/>
                <w:color w:val="000000"/>
                <w:sz w:val="8"/>
              </w:rPr>
              <w:t>(6)</w:t>
            </w:r>
            <w:r>
              <w:rPr>
                <w:color w:val="000000"/>
              </w:rPr>
              <w:t xml:space="preserve"> </w:t>
            </w:r>
            <w:r>
              <w:rPr>
                <w:rFonts w:ascii="Times New Roman;sans-serif" w:hAnsi="Times New Roman;sans-serif"/>
                <w:b w:val="false"/>
                <w:color w:val="000000"/>
                <w:sz w:val="12"/>
              </w:rPr>
              <w:t>(yes/no)</w:t>
            </w:r>
          </w:p>
        </w:tc>
        <w:tc>
          <w:tcPr>
            <w:tcW w:w="1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Potential to Have Pattern of Violations Under Section 104(e)</w:t>
            </w:r>
            <w:r>
              <w:rPr>
                <w:rFonts w:ascii="Times New Roman;sans-serif" w:hAnsi="Times New Roman;sans-serif"/>
                <w:b w:val="false"/>
                <w:color w:val="000000"/>
                <w:sz w:val="8"/>
              </w:rPr>
              <w:t xml:space="preserve">(7) </w:t>
            </w:r>
            <w:r>
              <w:rPr>
                <w:rFonts w:ascii="Times New Roman;sans-serif" w:hAnsi="Times New Roman;sans-serif"/>
                <w:b w:val="false"/>
                <w:color w:val="000000"/>
                <w:sz w:val="12"/>
              </w:rPr>
              <w:t>(yes/no)</w:t>
            </w:r>
          </w:p>
        </w:tc>
        <w:tc>
          <w:tcPr>
            <w:tcW w:w="7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Pending as of Last Day of Period</w:t>
            </w:r>
          </w:p>
        </w:tc>
        <w:tc>
          <w:tcPr>
            <w:tcW w:w="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Initiated During Period</w:t>
            </w:r>
          </w:p>
        </w:tc>
        <w:tc>
          <w:tcPr>
            <w:tcW w:w="8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Resolved During Period</w:t>
            </w:r>
          </w:p>
        </w:tc>
      </w:tr>
      <w:tr>
        <w:trPr/>
        <w:tc>
          <w:tcPr>
            <w:tcW w:w="1263"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Freeport-McMoran Bagdad Mine, 02-00137</w:t>
            </w:r>
          </w:p>
        </w:tc>
        <w:tc>
          <w:tcPr>
            <w:tcW w:w="6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5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No</w:t>
            </w:r>
          </w:p>
        </w:tc>
        <w:tc>
          <w:tcPr>
            <w:tcW w:w="10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No</w:t>
            </w:r>
          </w:p>
        </w:tc>
        <w:tc>
          <w:tcPr>
            <w:tcW w:w="797"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45"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58"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 A written notice from the MSHA regarding a potential to have a pattern of violations under section 104(e) of the Mine Act.</w:t>
      </w:r>
    </w:p>
    <w:p>
      <w:pPr>
        <w:pStyle w:val="TextBody"/>
        <w:bidi w:val="0"/>
        <w:spacing w:before="0" w:after="0"/>
        <w:jc w:val="left"/>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19881</Words>
  <Characters>109948</Characters>
  <CharactersWithSpaces>128752</CharactersWithSpaces>
  <Paragraphs>2119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