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443865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-224155</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160" w:hanging="1125"/>
        <w:spacing w:after="0"/>
        <w:tabs>
          <w:tab w:leader="none" w:pos="11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June 30, 2013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1160" w:hanging="1125"/>
        <w:spacing w:after="0"/>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1-15461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MATRIX SERVICE COMPANY</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420" w:type="dxa"/>
        <w:tblCellMar>
          <w:top w:w="0" w:type="dxa"/>
          <w:left w:w="0" w:type="dxa"/>
          <w:bottom w:w="0" w:type="dxa"/>
          <w:right w:w="0" w:type="dxa"/>
        </w:tblCellMar>
      </w:tblPr>
      <w:tr>
        <w:trPr>
          <w:trHeight w:val="18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4"/>
              </w:rPr>
              <w:t>Delaware</w:t>
            </w:r>
          </w:p>
        </w:tc>
        <w:tc>
          <w:tcPr>
            <w:tcW w:w="16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3"/>
              </w:rPr>
              <w:t>(State or other jurisdiction of</w:t>
            </w:r>
          </w:p>
        </w:tc>
        <w:tc>
          <w:tcPr>
            <w:tcW w:w="16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4"/>
              </w:rPr>
              <w:t>incorporation or organization)</w:t>
            </w:r>
          </w:p>
        </w:tc>
        <w:tc>
          <w:tcPr>
            <w:tcW w:w="16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6"/>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3"/>
              </w:rPr>
              <w:t>5100 E. Skelly Drive, Suite 700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74135</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4"/>
              </w:rPr>
              <w:t>Tulsa, Oklahoma</w:t>
            </w:r>
          </w:p>
        </w:tc>
        <w:tc>
          <w:tcPr>
            <w:tcW w:w="10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5"/>
              </w:rPr>
              <w:t>(Zip Code)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1879"/>
              <w:spacing w:after="0"/>
              <w:rPr>
                <w:sz w:val="20"/>
                <w:szCs w:val="20"/>
                <w:color w:val="auto"/>
              </w:rPr>
            </w:pPr>
            <w:r>
              <w:rPr>
                <w:rFonts w:ascii="Arial" w:cs="Arial" w:eastAsia="Arial" w:hAnsi="Arial"/>
                <w:sz w:val="18"/>
                <w:szCs w:val="18"/>
                <w:b w:val="1"/>
                <w:bCs w:val="1"/>
                <w:color w:val="auto"/>
                <w:w w:val="89"/>
              </w:rPr>
              <w:t>Registrant’s telephone number, including area code: (918) 838-8822</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jc w:val="center"/>
              <w:ind w:left="2879"/>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20" w:type="dxa"/>
            <w:vAlign w:val="bottom"/>
          </w:tcPr>
          <w:p>
            <w:pPr>
              <w:jc w:val="center"/>
              <w:ind w:left="2879"/>
              <w:spacing w:after="0"/>
              <w:rPr>
                <w:sz w:val="20"/>
                <w:szCs w:val="20"/>
                <w:color w:val="auto"/>
              </w:rPr>
            </w:pPr>
            <w:r>
              <w:rPr>
                <w:rFonts w:ascii="Arial" w:cs="Arial" w:eastAsia="Arial" w:hAnsi="Arial"/>
                <w:sz w:val="14"/>
                <w:szCs w:val="14"/>
                <w:b w:val="1"/>
                <w:bCs w:val="1"/>
                <w:color w:val="auto"/>
                <w:w w:val="91"/>
              </w:rPr>
              <w:t>(Title of class)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20" w:type="dxa"/>
            <w:vAlign w:val="bottom"/>
          </w:tcPr>
          <w:p>
            <w:pPr>
              <w:jc w:val="center"/>
              <w:ind w:left="2879"/>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2"/>
          </w:tcPr>
          <w:p>
            <w:pPr>
              <w:jc w:val="center"/>
              <w:ind w:left="187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Name of each exchange on which registered: NASDAQ Global Select Market (common stock)</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7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8">
            <w:col w:w="2020" w:space="100"/>
            <w:col w:w="160" w:space="540"/>
            <w:col w:w="1200" w:space="80"/>
            <w:col w:w="160" w:space="540"/>
            <w:col w:w="1540" w:space="80"/>
            <w:col w:w="160" w:space="540"/>
            <w:col w:w="1980" w:space="80"/>
            <w:col w:w="2200"/>
          </w:cols>
          <w:pgMar w:left="240" w:top="233" w:right="279" w:bottom="1440" w:gutter="0" w:footer="0" w:header="0"/>
          <w:type w:val="continuous"/>
        </w:sectPr>
      </w:pPr>
    </w:p>
    <w:p>
      <w:pPr>
        <w:spacing w:after="0" w:line="33"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0" w:lineRule="exact"/>
        <w:rPr>
          <w:sz w:val="24"/>
          <w:szCs w:val="24"/>
          <w:color w:val="auto"/>
        </w:rPr>
      </w:pPr>
    </w:p>
    <w:p>
      <w:pPr>
        <w:sectPr>
          <w:pgSz w:w="11900" w:h="16838" w:orient="portrait"/>
          <w:cols w:equalWidth="0" w:num="5">
            <w:col w:w="8600" w:space="160"/>
            <w:col w:w="260" w:space="100"/>
            <w:col w:w="160" w:space="180"/>
            <w:col w:w="220" w:space="80"/>
            <w:col w:w="1620"/>
          </w:cols>
          <w:pgMar w:left="240" w:top="233" w:right="279" w:bottom="1440" w:gutter="0" w:footer="0" w:header="0"/>
          <w:type w:val="continuous"/>
        </w:sectPr>
      </w:pPr>
    </w:p>
    <w:p>
      <w:pPr>
        <w:ind w:right="80" w:firstLine="405"/>
        <w:spacing w:after="0" w:line="308" w:lineRule="auto"/>
        <w:rPr>
          <w:sz w:val="20"/>
          <w:szCs w:val="20"/>
          <w:color w:val="auto"/>
        </w:rPr>
      </w:pPr>
      <w:r>
        <w:rPr>
          <w:rFonts w:ascii="Arial" w:cs="Arial" w:eastAsia="Arial" w:hAnsi="Arial"/>
          <w:sz w:val="17"/>
          <w:szCs w:val="17"/>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$296 million.</w:t>
      </w:r>
    </w:p>
    <w:p>
      <w:pPr>
        <w:spacing w:after="0" w:line="1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The number of shares of the registrant’s common stock outstanding as of September 3, 2013 was 26,111,758 shares.</w:t>
      </w:r>
    </w:p>
    <w:p>
      <w:pPr>
        <w:spacing w:after="0" w:line="5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240" w:firstLine="405"/>
        <w:spacing w:after="0" w:line="290" w:lineRule="auto"/>
        <w:rPr>
          <w:sz w:val="20"/>
          <w:szCs w:val="20"/>
          <w:color w:val="auto"/>
        </w:rPr>
      </w:pPr>
      <w:r>
        <w:rPr>
          <w:rFonts w:ascii="Arial" w:cs="Arial" w:eastAsia="Arial" w:hAnsi="Arial"/>
          <w:sz w:val="17"/>
          <w:szCs w:val="17"/>
          <w:color w:val="auto"/>
        </w:rPr>
        <w:t>Certain sections of the registrant’s definitive proxy statement relating to the registrant’s 2013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580" w:type="dxa"/>
            <w:vAlign w:val="bottom"/>
            <w:gridSpan w:val="1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Risk Factors</w:t>
              </w:r>
            </w:hyperlink>
          </w:p>
        </w:tc>
        <w:tc>
          <w:tcPr>
            <w:tcW w:w="8320" w:type="dxa"/>
            <w:vAlign w:val="bottom"/>
            <w:gridSpan w:val="1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Mine Safety Disclosures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220" w:type="dxa"/>
            <w:vAlign w:val="bottom"/>
            <w:gridSpan w:val="1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220" w:type="dxa"/>
            <w:vAlign w:val="bottom"/>
            <w:gridSpan w:val="1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220" w:type="dxa"/>
            <w:vAlign w:val="bottom"/>
            <w:gridSpan w:val="1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Principal Accountant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r>
      <w:tr>
        <w:trPr>
          <w:trHeight w:val="912"/>
        </w:trPr>
        <w:tc>
          <w:tcPr>
            <w:tcW w:w="1260" w:type="dxa"/>
            <w:vAlign w:val="bottom"/>
          </w:tcPr>
          <w:p>
            <w:pPr>
              <w:spacing w:after="0"/>
              <w:rPr>
                <w:sz w:val="24"/>
                <w:szCs w:val="24"/>
                <w:color w:val="auto"/>
              </w:rPr>
            </w:pPr>
          </w:p>
        </w:tc>
        <w:tc>
          <w:tcPr>
            <w:tcW w:w="3160" w:type="dxa"/>
            <w:vAlign w:val="bottom"/>
            <w:tcBorders>
              <w:top w:val="single" w:sz="8" w:color="0000FF"/>
            </w:tcBorders>
            <w:gridSpan w:val="10"/>
          </w:tcPr>
          <w:p>
            <w:pPr>
              <w:spacing w:after="0"/>
              <w:rPr>
                <w:sz w:val="24"/>
                <w:szCs w:val="24"/>
                <w:color w:val="auto"/>
              </w:rPr>
            </w:pPr>
          </w:p>
        </w:tc>
        <w:tc>
          <w:tcPr>
            <w:tcW w:w="2280" w:type="dxa"/>
            <w:vAlign w:val="bottom"/>
            <w:gridSpan w:val="4"/>
          </w:tcPr>
          <w:p>
            <w:pPr>
              <w:jc w:val="right"/>
              <w:ind w:right="89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and other trends in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 and</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33"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discussed in Item 1A of this Annual Report and listed from time to time in our filings with the Securities and Exchange Commission;</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and power industries in particular;</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mining and minerals markets. We maintain regional offices throughout the United States and Canada, and operate through union and merit subsidiaries.</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is licensed to operate in all 50 states and in four Canadian provinces. Our principal executive offices are located at 5100 E. Skelly Drive, Suite 700, Tulsa, Oklahoma 74135. Our telephone number is (918) 838-8822. Unless the context otherwise requires, all references herein to “Matrix Service Company”, “Matrix”, the “Company” or to “we”, “our”, and “us” are to Matrix Service Company and its subsidiaries.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Any materials we file with or furnish to the SEC is also maintained on the SEC website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1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the company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the company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Accordingly, investors should monitor such portions of our website and social media channels, in addition to following our press releases, SEC filings and public conference calls and webcasts.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ind w:left="60" w:right="40" w:firstLine="405"/>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33" w:lineRule="exact"/>
        <w:rPr>
          <w:sz w:val="20"/>
          <w:szCs w:val="20"/>
          <w:color w:val="auto"/>
        </w:rPr>
      </w:pPr>
    </w:p>
    <w:p>
      <w:pPr>
        <w:ind w:left="60" w:right="460" w:firstLine="405"/>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93" w:lineRule="exact"/>
        <w:rPr>
          <w:sz w:val="20"/>
          <w:szCs w:val="20"/>
          <w:color w:val="auto"/>
        </w:rPr>
      </w:pPr>
    </w:p>
    <w:p>
      <w:pPr>
        <w:ind w:left="60" w:right="80" w:firstLine="405"/>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ind w:left="60" w:right="240" w:firstLine="405"/>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fertilizer production facilities, as well as work for clients in other industrial and manufacturing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provided services to approximately 500 customers in fiscal 2013. One customer, Enbridge, accounted for $95.5 million, or 10.7% of our consolidated revenue, all of which was in the Storage Solutions segment. The loss of this major customer or other significant customers could have a material adverse effect on the Company; however, we are not dependent on any single contract or customer on an on-going basis.</w:t>
      </w:r>
    </w:p>
    <w:p>
      <w:pPr>
        <w:spacing w:after="0" w:line="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over a year.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Our industry is highly fragmented and intensely competitive. 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schedule, reputation for quality, customer satisfaction, and safety record and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93"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171"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w:t>
      </w:r>
    </w:p>
    <w:p>
      <w:pPr>
        <w:spacing w:after="0" w:line="116"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For long-term maintenance contracts, we include only the amounts that we expect to recognize as revenue over the next 12 months. For all other arrangements, we calculate backlog as the estimated contract amount less revenues recognized as of the reporting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summary of changes in our backlog in fiscal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127,699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236,571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497,452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awards</w:t>
            </w:r>
          </w:p>
        </w:tc>
        <w:tc>
          <w:tcPr>
            <w:tcW w:w="2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147,025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276,124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476,348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122,362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1,021,859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Backlog as of June 30, 2013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103,520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120,138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319,718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83,361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626,737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Turnarounds and planned outages at customer facilities are typically scheduled in the spring and the fall when the demand for energy is lower. Quarterly operating results can exhibit seasonal fluctuations, especially in our Oil Gas &amp; Chemical segment, for a variety of reasons.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Sources and Availability</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steel and other market conditions.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w:t>
      </w:r>
    </w:p>
    <w:p>
      <w:pPr>
        <w:spacing w:after="0" w:line="13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June 30, 2013, the Company had 3,587 employees of which 612 were employed in non-field positions and 2,975 were employed in field or shop positions. The number of employees varies significantly throughout the year because of the number, type and size of projects we have in progress at any particular time.</w:t>
      </w:r>
    </w:p>
    <w:p>
      <w:pPr>
        <w:spacing w:after="0" w:line="12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175" w:lineRule="exact"/>
        <w:rPr>
          <w:sz w:val="20"/>
          <w:szCs w:val="20"/>
          <w:color w:val="auto"/>
        </w:rPr>
      </w:pPr>
    </w:p>
    <w:p>
      <w:pPr>
        <w:ind w:right="20" w:firstLine="432"/>
        <w:spacing w:after="0" w:line="231" w:lineRule="auto"/>
        <w:rPr>
          <w:sz w:val="20"/>
          <w:szCs w:val="20"/>
          <w:color w:val="auto"/>
        </w:rPr>
      </w:pPr>
      <w:r>
        <w:rPr>
          <w:rFonts w:ascii="Arial" w:cs="Arial" w:eastAsia="Arial" w:hAnsi="Arial"/>
          <w:sz w:val="17"/>
          <w:szCs w:val="17"/>
          <w:color w:val="auto"/>
        </w:rPr>
        <w:t>Matrix Service Company’s engineering subsidiary has several patents and patents pending, and continues to pursue new ideas and innovations to better serve our customers in all areas of our business. The Flex-A-Span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Flex-A-Seal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trademarks are utilized to cover seals for floating roof tanks. Our patent of our ThermoStor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diffuser system is for a process that receives, stores and dispenses both chilled and warm water in and from the same storage tank. The patented RS 1000 Tank Mixer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controls sludge build-up in crude oil tanks through resuspension. The Valve Shield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patent relates to a flexible fluid containment system that captures and contains fluid leaking from pipe and valve connections. The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mobile device that can be used to train personnel on equipment that is made to simulate real world hazards.</w:t>
      </w:r>
    </w:p>
    <w:p>
      <w:pPr>
        <w:spacing w:after="0" w:line="153"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holds a perpetual license to use various patents and technologies related to LNG storage tanks, LIN/LOX storage tanks, LPG storage tanks and thermal vacuum chambers. We believe that the ability to use these patents and technology enables us to expand our presence in the markets for these products and minimizes the development costs typically associated with organic growth.</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While we believe that continued product development and the protection of our intellectual property is important to our business, we do not believe that these patents or licensed technologies are essential to our success.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comprehensive safety regulations. The Company has established comprehensive programs for complying with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Company’s operations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9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material adverse effects on our results of operations, financial condition and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Workplace safety is important to the Company, our employees, and our customers. As a result, we provide comprehensive safety programs and training for all employees throughout our organization. While we focus on protecting people and property, our work is performed at construction sites and in industrial facilities and our workers are subject to the normal hazards associated with providing services at these locations. Even with proper safety precautions, these hazards can lead to personal injury, loss of life, damage to or destruction of property, plant and equipment, and environmental damage. We are intensely focused on maintaining a strong safety environment and reducing the risk of accidents to the lowest possible level.</w:t>
      </w:r>
    </w:p>
    <w:p>
      <w:pPr>
        <w:spacing w:after="0" w:line="11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1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demand for our products and services depends upon the existence of construction and maintenance projects in the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3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execution of contracts may result in under-utilization of our resources, which could adversely impact our revenue, operating results and cash flow. There are numerous factors beyond our control that influence the level of maintenance and capital expenditures of our customers, including: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or projected commodity prices, including oil, gas, power and mineral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oil, gas and electricity;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oil, gas and power companies to generate, access and deploy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exploration,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3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9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There are integration and consolidation risks associated with our acquisition strategy. Future acquisitions may result in significant transaction expenses, and unexpected liabilities and risks associated with entering new markets. We may also be unable to profitably integrate and operate these businesses.</w:t>
      </w:r>
    </w:p>
    <w:p>
      <w:pPr>
        <w:spacing w:after="0" w:line="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9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To the extent that cash flow from operations, together with available borrowings under our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each of our business segments, which may have a material adverse effect on our business.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major equipment manufacturers, large engineering and construction companies and specialty contractors. We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16"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0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171"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111"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productivity;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82" w:lineRule="exact"/>
        <w:rPr>
          <w:rFonts w:ascii="Arial" w:cs="Arial" w:eastAsia="Arial" w:hAnsi="Arial"/>
          <w:sz w:val="17"/>
          <w:szCs w:val="17"/>
          <w:color w:val="auto"/>
        </w:rPr>
      </w:pPr>
    </w:p>
    <w:p>
      <w:pPr>
        <w:ind w:left="640" w:right="4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0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171"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revenues and expenses and disclosures of contingent assets and liabilities. Areas requiring significant estimation by our management include:</w:t>
      </w:r>
    </w:p>
    <w:p>
      <w:pPr>
        <w:spacing w:after="0" w:line="171"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uncollectible receivables from customers for invoiced amounts;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collectability of unapproved change orders and claims against customers;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An inability to attract and retain qualified personnel, and in particular, engineers, project managers, linemen and skilled craft workers, could impact our ability to perform on our contracts, which could harm our business and impair our future revenues and profitability.</w:t>
      </w:r>
    </w:p>
    <w:p>
      <w:pPr>
        <w:spacing w:after="0" w:line="9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ability to attract and retain qualified engineers, project managers, linemen,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1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18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171"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adversely affect us.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Some of our employees are represented by labor unions. The Company has in excess of 50 collective bargaining agreements with various labor unions.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agreements include the following:</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Trade</w:t>
            </w:r>
          </w:p>
        </w:tc>
        <w:tc>
          <w:tcPr>
            <w:tcW w:w="2840" w:type="dxa"/>
            <w:vAlign w:val="bottom"/>
            <w:gridSpan w:val="3"/>
          </w:tcPr>
          <w:p>
            <w:pPr>
              <w:jc w:val="center"/>
              <w:ind w:left="1073"/>
              <w:spacing w:after="0"/>
              <w:rPr>
                <w:sz w:val="20"/>
                <w:szCs w:val="20"/>
                <w:color w:val="auto"/>
              </w:rPr>
            </w:pPr>
            <w:r>
              <w:rPr>
                <w:rFonts w:ascii="Arial" w:cs="Arial" w:eastAsia="Arial" w:hAnsi="Arial"/>
                <w:sz w:val="14"/>
                <w:szCs w:val="14"/>
                <w:b w:val="1"/>
                <w:bCs w:val="1"/>
                <w:color w:val="auto"/>
                <w:w w:val="91"/>
              </w:rPr>
              <w:t>Local #</w:t>
            </w:r>
          </w:p>
        </w:tc>
        <w:tc>
          <w:tcPr>
            <w:tcW w:w="96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Location</w:t>
            </w:r>
          </w:p>
        </w:tc>
        <w:tc>
          <w:tcPr>
            <w:tcW w:w="7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Expires</w:t>
            </w:r>
          </w:p>
        </w:tc>
      </w:tr>
      <w:tr>
        <w:trPr>
          <w:trHeight w:val="20"/>
        </w:trPr>
        <w:tc>
          <w:tcPr>
            <w:tcW w:w="3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3240" w:type="dxa"/>
            <w:vAlign w:val="bottom"/>
            <w:gridSpan w:val="2"/>
          </w:tcPr>
          <w:p>
            <w:pPr>
              <w:spacing w:after="0"/>
              <w:rPr>
                <w:sz w:val="20"/>
                <w:szCs w:val="20"/>
                <w:color w:val="auto"/>
              </w:rPr>
            </w:pPr>
            <w:r>
              <w:rPr>
                <w:rFonts w:ascii="Arial" w:cs="Arial" w:eastAsia="Arial" w:hAnsi="Arial"/>
                <w:sz w:val="18"/>
                <w:szCs w:val="18"/>
                <w:color w:val="auto"/>
              </w:rPr>
              <w:t>Boilermaker</w:t>
            </w:r>
          </w:p>
        </w:tc>
        <w:tc>
          <w:tcPr>
            <w:tcW w:w="2220" w:type="dxa"/>
            <w:vAlign w:val="bottom"/>
            <w:gridSpan w:val="2"/>
          </w:tcPr>
          <w:p>
            <w:pPr>
              <w:jc w:val="center"/>
              <w:ind w:left="1713"/>
              <w:spacing w:after="0"/>
              <w:rPr>
                <w:sz w:val="20"/>
                <w:szCs w:val="20"/>
                <w:color w:val="auto"/>
              </w:rPr>
            </w:pPr>
            <w:r>
              <w:rPr>
                <w:rFonts w:ascii="Arial" w:cs="Arial" w:eastAsia="Arial" w:hAnsi="Arial"/>
                <w:sz w:val="18"/>
                <w:szCs w:val="18"/>
                <w:color w:val="auto"/>
                <w:w w:val="89"/>
              </w:rPr>
              <w:t>28</w:t>
            </w:r>
          </w:p>
        </w:tc>
        <w:tc>
          <w:tcPr>
            <w:tcW w:w="620" w:type="dxa"/>
            <w:vAlign w:val="bottom"/>
          </w:tcPr>
          <w:p>
            <w:pPr>
              <w:spacing w:after="0"/>
              <w:rPr>
                <w:sz w:val="22"/>
                <w:szCs w:val="22"/>
                <w:color w:val="auto"/>
              </w:rPr>
            </w:pP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Bayonne, N.J.</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12/31/2013</w:t>
            </w: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rPr>
              <w:t>Boilermaker</w:t>
            </w:r>
          </w:p>
        </w:tc>
        <w:tc>
          <w:tcPr>
            <w:tcW w:w="2220" w:type="dxa"/>
            <w:vAlign w:val="bottom"/>
            <w:gridSpan w:val="2"/>
          </w:tcPr>
          <w:p>
            <w:pPr>
              <w:jc w:val="center"/>
              <w:ind w:left="1713"/>
              <w:spacing w:after="0"/>
              <w:rPr>
                <w:sz w:val="20"/>
                <w:szCs w:val="20"/>
                <w:color w:val="auto"/>
              </w:rPr>
            </w:pPr>
            <w:r>
              <w:rPr>
                <w:rFonts w:ascii="Arial" w:cs="Arial" w:eastAsia="Arial" w:hAnsi="Arial"/>
                <w:sz w:val="18"/>
                <w:szCs w:val="18"/>
                <w:color w:val="auto"/>
                <w:w w:val="89"/>
              </w:rPr>
              <w:t>13</w:t>
            </w:r>
          </w:p>
        </w:tc>
        <w:tc>
          <w:tcPr>
            <w:tcW w:w="620" w:type="dxa"/>
            <w:vAlign w:val="bottom"/>
          </w:tcPr>
          <w:p>
            <w:pPr>
              <w:spacing w:after="0"/>
              <w:rPr>
                <w:sz w:val="23"/>
                <w:szCs w:val="23"/>
                <w:color w:val="auto"/>
              </w:rPr>
            </w:pP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Philadelphia, PA.</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12/31/2015</w:t>
            </w: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2220" w:type="dxa"/>
            <w:vAlign w:val="bottom"/>
            <w:gridSpan w:val="2"/>
          </w:tcPr>
          <w:p>
            <w:pPr>
              <w:jc w:val="center"/>
              <w:ind w:left="1693"/>
              <w:spacing w:after="0"/>
              <w:rPr>
                <w:sz w:val="20"/>
                <w:szCs w:val="20"/>
                <w:color w:val="auto"/>
              </w:rPr>
            </w:pPr>
            <w:r>
              <w:rPr>
                <w:rFonts w:ascii="Arial" w:cs="Arial" w:eastAsia="Arial" w:hAnsi="Arial"/>
                <w:sz w:val="18"/>
                <w:szCs w:val="18"/>
                <w:color w:val="auto"/>
                <w:w w:val="93"/>
              </w:rPr>
              <w:t>351</w:t>
            </w:r>
          </w:p>
        </w:tc>
        <w:tc>
          <w:tcPr>
            <w:tcW w:w="620" w:type="dxa"/>
            <w:vAlign w:val="bottom"/>
          </w:tcPr>
          <w:p>
            <w:pPr>
              <w:spacing w:after="0"/>
              <w:rPr>
                <w:sz w:val="23"/>
                <w:szCs w:val="23"/>
                <w:color w:val="auto"/>
              </w:rPr>
            </w:pP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Winslow, N.J.</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09/30/2013</w:t>
            </w: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rPr>
              <w:t>Boilermaker—NTD</w:t>
            </w:r>
          </w:p>
        </w:tc>
        <w:tc>
          <w:tcPr>
            <w:tcW w:w="1780" w:type="dxa"/>
            <w:vAlign w:val="bottom"/>
          </w:tcPr>
          <w:p>
            <w:pPr>
              <w:spacing w:after="0"/>
              <w:rPr>
                <w:sz w:val="23"/>
                <w:szCs w:val="23"/>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8"/>
                <w:szCs w:val="18"/>
                <w:color w:val="auto"/>
              </w:rPr>
              <w:t>All</w:t>
            </w: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National</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10/31/2013</w:t>
            </w: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2220" w:type="dxa"/>
            <w:vAlign w:val="bottom"/>
            <w:gridSpan w:val="2"/>
          </w:tcPr>
          <w:p>
            <w:pPr>
              <w:jc w:val="center"/>
              <w:ind w:left="1693"/>
              <w:spacing w:after="0"/>
              <w:rPr>
                <w:sz w:val="20"/>
                <w:szCs w:val="20"/>
                <w:color w:val="auto"/>
              </w:rPr>
            </w:pPr>
            <w:r>
              <w:rPr>
                <w:rFonts w:ascii="Arial" w:cs="Arial" w:eastAsia="Arial" w:hAnsi="Arial"/>
                <w:sz w:val="18"/>
                <w:szCs w:val="18"/>
                <w:color w:val="auto"/>
                <w:w w:val="93"/>
              </w:rPr>
              <w:t>102</w:t>
            </w:r>
          </w:p>
        </w:tc>
        <w:tc>
          <w:tcPr>
            <w:tcW w:w="620" w:type="dxa"/>
            <w:vAlign w:val="bottom"/>
          </w:tcPr>
          <w:p>
            <w:pPr>
              <w:spacing w:after="0"/>
              <w:rPr>
                <w:sz w:val="23"/>
                <w:szCs w:val="23"/>
                <w:color w:val="auto"/>
              </w:rPr>
            </w:pPr>
          </w:p>
        </w:tc>
        <w:tc>
          <w:tcPr>
            <w:tcW w:w="236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Parsippany, N.J.</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06/01/2014</w:t>
            </w:r>
          </w:p>
        </w:tc>
      </w:tr>
      <w:tr>
        <w:trPr>
          <w:trHeight w:val="270"/>
        </w:trPr>
        <w:tc>
          <w:tcPr>
            <w:tcW w:w="324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2220" w:type="dxa"/>
            <w:vAlign w:val="bottom"/>
            <w:gridSpan w:val="2"/>
          </w:tcPr>
          <w:p>
            <w:pPr>
              <w:jc w:val="center"/>
              <w:ind w:left="1693"/>
              <w:spacing w:after="0"/>
              <w:rPr>
                <w:sz w:val="20"/>
                <w:szCs w:val="20"/>
                <w:color w:val="auto"/>
              </w:rPr>
            </w:pPr>
            <w:r>
              <w:rPr>
                <w:rFonts w:ascii="Arial" w:cs="Arial" w:eastAsia="Arial" w:hAnsi="Arial"/>
                <w:sz w:val="18"/>
                <w:szCs w:val="18"/>
                <w:color w:val="auto"/>
                <w:w w:val="93"/>
              </w:rPr>
              <w:t>164</w:t>
            </w:r>
          </w:p>
        </w:tc>
        <w:tc>
          <w:tcPr>
            <w:tcW w:w="620" w:type="dxa"/>
            <w:vAlign w:val="bottom"/>
          </w:tcPr>
          <w:p>
            <w:pPr>
              <w:spacing w:after="0"/>
              <w:rPr>
                <w:sz w:val="23"/>
                <w:szCs w:val="23"/>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7"/>
              </w:rPr>
              <w:t>Paramus, N.J.</w:t>
            </w:r>
          </w:p>
        </w:tc>
        <w:tc>
          <w:tcPr>
            <w:tcW w:w="134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05/31/2014</w:t>
            </w:r>
          </w:p>
        </w:tc>
      </w:tr>
    </w:tbl>
    <w:p>
      <w:pPr>
        <w:spacing w:after="0" w:line="17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Company is also working under a number of other collective bargaining agreements that cover a smaller number of employees. These agreements expire within the next five years. For those agreements with upcoming expiration dates, the Company is currently negotiating renewals and expects that the renewals will be successfully completed. To date, the Company has not experienced any work stoppages or other significant labor problems in connection with its collective bargaining agreements. A lengthy strike or other work stoppage on any of our projects could have a material adverse effect on our business and results of operations due to an inability to complete contracted projects in a timely manner. From time to time, we have also experienced attempts to unionize certain of our merit employees. While these efforts have only achieved limited success to date, we cannot provide any assurance that we will not experience additional and more successful union activity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18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events, including those associated with our strategic plan, could negatively affect our liquidity position.</w:t>
      </w:r>
    </w:p>
    <w:p>
      <w:pPr>
        <w:spacing w:after="0" w:line="171"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credit facility.</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1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also are, and are likely to continue to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projects expose us to potential professional liability, product liability, warranty and other claims, which could be expensive, damage our reputation and harm our business. We may not be able to obtain or maintain adequate insurance to cover these claims.</w:t>
      </w:r>
    </w:p>
    <w:p>
      <w:pPr>
        <w:spacing w:after="0" w:line="9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9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3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9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accounting and financial information to other systems, thus increasing our operational expense as well as disrupting the management of our business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adverse weather conditions, which may harm our business and financial results.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116"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related damage to our facilities;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jobsites;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17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0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addition, under the Comprehensive Environmental Response, Compensation and Liability Act of 1980 (“CERCLA”), and comparable state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1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recorded an intangible asset impairment charge of $0.3 million in fiscal 2013 related to an acquisition. Earnings for future periods may be affected by additional impairment charges.</w:t>
      </w:r>
    </w:p>
    <w:p>
      <w:pPr>
        <w:spacing w:after="0" w:line="11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Because we have grown in part through acquisitions, goodwill and other acquired intangible assets represent a substantial portion of our assets. We perform annual goodwill and intangible asset impairment reviews in the fourth quarter of every fiscal year. In addition, we perform an impairment review whenever events or changes in circumstances indicate the carrying value of goodwill or an intangible or fixed asset may not be recoverable. At some future date, we may determine that significant impairment has occurred, which could require us to write off an additional portion of our assets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imposes restrictions that may limit business alternatives.</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credit facility contains covenants that restrict or limit our ability to incur additional debt, acquire or dispose of assets, repurchase equity, or make certain distributions, including dividends. In addition, our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failure to comply with one or more of the covenants in our credit facility could result in an event of default. We can provide no assurance that a default could be remedied, or that our creditors would grant a waiver or amend the terms of the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credit facility accelerate the maturity of any loans or other debt outstanding, we may not have sufficient liquidity to repay amounts outstanding under the existing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Common Stock</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are likely to continue in the future, and our stockholders may not be able to resell their shares of common stock at or above the purchase price paid.</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market price of our common stock may change significantly in response to various factors and events beyond our control, including the following:</w:t>
      </w:r>
    </w:p>
    <w:p>
      <w:pPr>
        <w:spacing w:after="0" w:line="194"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factors described in this Item 1A;</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conditions in our customers’ industries;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conditions in the security markets.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significant concentration of ownership of our common stock in the hands of a small number of institutional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shortfall in operating revenue or net income from that expected by securities analysts and investors;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which could lead to dilution of our issued and outstanding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issuance of additional common stock, restricted stock units or securities convertible into our common stock could result in dilution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ownership interest held by existing stockholders. We are authorized to issue, without stockholder approval 5,000,000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in one or more series, which may give other stockholders dividend, conversion, voting, and liquidation rights, among other rights, which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superior to the rights of holders of our common stock. In addition, we are authorized to issue, without stockholder approval, a significant number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our common stock and securities convertible into either common stock or preferred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properties of Matrix Service Company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6"/>
                <w:szCs w:val="16"/>
                <w:color w:val="auto"/>
              </w:rPr>
            </w:pPr>
          </w:p>
        </w:tc>
        <w:tc>
          <w:tcPr>
            <w:tcW w:w="29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Description of Facility</w:t>
            </w:r>
          </w:p>
        </w:tc>
        <w:tc>
          <w:tcPr>
            <w:tcW w:w="440" w:type="dxa"/>
            <w:vAlign w:val="bottom"/>
          </w:tcPr>
          <w:p>
            <w:pPr>
              <w:spacing w:after="0"/>
              <w:rPr>
                <w:sz w:val="16"/>
                <w:szCs w:val="16"/>
                <w:color w:val="auto"/>
              </w:rPr>
            </w:pPr>
          </w:p>
        </w:tc>
        <w:tc>
          <w:tcPr>
            <w:tcW w:w="20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Segment</w:t>
            </w:r>
          </w:p>
        </w:tc>
        <w:tc>
          <w:tcPr>
            <w:tcW w:w="400" w:type="dxa"/>
            <w:vAlign w:val="bottom"/>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Interest</w:t>
            </w:r>
          </w:p>
        </w:tc>
      </w:tr>
      <w:tr>
        <w:trPr>
          <w:trHeight w:val="22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Tulsa,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Corporate, 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Alton, Illinois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Bellingham, Washington</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 Storage</w:t>
            </w:r>
          </w:p>
        </w:tc>
        <w:tc>
          <w:tcPr>
            <w:tcW w:w="1180" w:type="dxa"/>
            <w:vAlign w:val="bottom"/>
          </w:tcPr>
          <w:p>
            <w:pPr>
              <w:ind w:left="360"/>
              <w:spacing w:after="0"/>
              <w:rPr>
                <w:sz w:val="20"/>
                <w:szCs w:val="20"/>
                <w:color w:val="auto"/>
              </w:rPr>
            </w:pPr>
            <w:r>
              <w:rPr>
                <w:rFonts w:ascii="Arial" w:cs="Arial" w:eastAsia="Arial" w:hAnsi="Arial"/>
                <w:sz w:val="16"/>
                <w:szCs w:val="16"/>
                <w:color w:val="auto"/>
              </w:rPr>
              <w:t>Owned</w:t>
            </w: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Benicia, California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Catoosa,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facility, regional offices and</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 Storage</w:t>
            </w:r>
          </w:p>
        </w:tc>
        <w:tc>
          <w:tcPr>
            <w:tcW w:w="1180" w:type="dxa"/>
            <w:vAlign w:val="bottom"/>
          </w:tcPr>
          <w:p>
            <w:pPr>
              <w:ind w:left="360"/>
              <w:spacing w:after="0"/>
              <w:rPr>
                <w:sz w:val="20"/>
                <w:szCs w:val="20"/>
                <w:color w:val="auto"/>
              </w:rPr>
            </w:pPr>
            <w:r>
              <w:rPr>
                <w:rFonts w:ascii="Arial" w:cs="Arial" w:eastAsia="Arial" w:hAnsi="Arial"/>
                <w:sz w:val="16"/>
                <w:szCs w:val="16"/>
                <w:color w:val="auto"/>
              </w:rPr>
              <w:t xml:space="preserve">Owned </w:t>
            </w:r>
            <w:r>
              <w:rPr>
                <w:rFonts w:ascii="Arial" w:cs="Arial" w:eastAsia="Arial" w:hAnsi="Arial"/>
                <w:sz w:val="21"/>
                <w:szCs w:val="21"/>
                <w:color w:val="auto"/>
                <w:vertAlign w:val="superscript"/>
              </w:rPr>
              <w:t>(1)</w:t>
            </w: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Eddystone,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Electrical Infrastructure, Oil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03"/>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Gas &amp; Chemical, Storage</w:t>
            </w:r>
          </w:p>
        </w:tc>
        <w:tc>
          <w:tcPr>
            <w:tcW w:w="1180" w:type="dxa"/>
            <w:vAlign w:val="bottom"/>
          </w:tcPr>
          <w:p>
            <w:pPr>
              <w:spacing w:after="0"/>
              <w:rPr>
                <w:sz w:val="17"/>
                <w:szCs w:val="17"/>
                <w:color w:val="auto"/>
              </w:rPr>
            </w:pP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Gonzales, Louisiana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Houston, Texas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 Storage</w:t>
            </w:r>
          </w:p>
        </w:tc>
        <w:tc>
          <w:tcPr>
            <w:tcW w:w="1180" w:type="dxa"/>
            <w:vAlign w:val="bottom"/>
          </w:tcPr>
          <w:p>
            <w:pPr>
              <w:ind w:left="280"/>
              <w:spacing w:after="0"/>
              <w:rPr>
                <w:sz w:val="20"/>
                <w:szCs w:val="20"/>
                <w:color w:val="auto"/>
              </w:rPr>
            </w:pPr>
            <w:r>
              <w:rPr>
                <w:rFonts w:ascii="Arial" w:cs="Arial" w:eastAsia="Arial" w:hAnsi="Arial"/>
                <w:sz w:val="16"/>
                <w:szCs w:val="16"/>
                <w:color w:val="auto"/>
              </w:rPr>
              <w:t>Leased &amp;</w:t>
            </w: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Owned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Jamestown, Wyoming</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Industrial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Las Vegas, Nevada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Electrical Infrastructure</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70"/>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Norwich, Connecticut</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Electrical Infrastructure</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70"/>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Parsippany, New Jersey</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Industrial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Orange, California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 Storage</w:t>
            </w:r>
          </w:p>
        </w:tc>
        <w:tc>
          <w:tcPr>
            <w:tcW w:w="1180" w:type="dxa"/>
            <w:vAlign w:val="bottom"/>
          </w:tcPr>
          <w:p>
            <w:pPr>
              <w:ind w:left="360"/>
              <w:spacing w:after="0"/>
              <w:rPr>
                <w:sz w:val="20"/>
                <w:szCs w:val="20"/>
                <w:color w:val="auto"/>
              </w:rPr>
            </w:pPr>
            <w:r>
              <w:rPr>
                <w:rFonts w:ascii="Arial" w:cs="Arial" w:eastAsia="Arial" w:hAnsi="Arial"/>
                <w:sz w:val="16"/>
                <w:szCs w:val="16"/>
                <w:color w:val="auto"/>
              </w:rPr>
              <w:t>Owned</w:t>
            </w: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Rahway, New Jersey</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Electrical Infrastructure, Oil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03"/>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Gas &amp; Chemical, Storage</w:t>
            </w:r>
          </w:p>
        </w:tc>
        <w:tc>
          <w:tcPr>
            <w:tcW w:w="1180" w:type="dxa"/>
            <w:vAlign w:val="bottom"/>
          </w:tcPr>
          <w:p>
            <w:pPr>
              <w:spacing w:after="0"/>
              <w:rPr>
                <w:sz w:val="17"/>
                <w:szCs w:val="17"/>
                <w:color w:val="auto"/>
              </w:rPr>
            </w:pP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Reserve, Louisiana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70"/>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Sandy, Utah</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Industrial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3"/>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Sewickley,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Oil Gas &amp; Chemical, Storage</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06"/>
        </w:trPr>
        <w:tc>
          <w:tcPr>
            <w:tcW w:w="3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Solutions, Industrial</w:t>
            </w:r>
          </w:p>
        </w:tc>
        <w:tc>
          <w:tcPr>
            <w:tcW w:w="1180" w:type="dxa"/>
            <w:vAlign w:val="bottom"/>
          </w:tcPr>
          <w:p>
            <w:pPr>
              <w:spacing w:after="0"/>
              <w:rPr>
                <w:sz w:val="17"/>
                <w:szCs w:val="17"/>
                <w:color w:val="auto"/>
              </w:rPr>
            </w:pP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Temperance, Michigan</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Owned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Tucson, Arizona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Industrial</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Calgary,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Sales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Leduc,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Saint John, New Brunswick,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Leased</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Sarnia, Ontario,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Storage Solutions</w:t>
            </w:r>
          </w:p>
        </w:tc>
        <w:tc>
          <w:tcPr>
            <w:tcW w:w="1180" w:type="dxa"/>
            <w:vAlign w:val="bottom"/>
          </w:tcPr>
          <w:p>
            <w:pPr>
              <w:ind w:left="360"/>
              <w:spacing w:after="0"/>
              <w:rPr>
                <w:sz w:val="20"/>
                <w:szCs w:val="20"/>
                <w:color w:val="auto"/>
              </w:rPr>
            </w:pPr>
            <w:r>
              <w:rPr>
                <w:rFonts w:ascii="Arial" w:cs="Arial" w:eastAsia="Arial" w:hAnsi="Arial"/>
                <w:sz w:val="16"/>
                <w:szCs w:val="16"/>
                <w:color w:val="auto"/>
              </w:rPr>
              <w:t>Owned</w:t>
            </w:r>
          </w:p>
        </w:tc>
      </w:tr>
    </w:tbl>
    <w:p>
      <w:pPr>
        <w:spacing w:after="0" w:line="284"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Facilities were constructed by the Company on land acquired through a ground lease with renewal options extending until 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to the locations listed above, Matrix has temporary office facilities at numerous customer locations throughout the United States and Canada.</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00"/>
          </w:cols>
          <w:pgMar w:left="240" w:top="125" w:right="8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3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There were no mine safety violations or other regulatory matters required to be disclosed in this Annual Report under Section 1503(a) of the Dodd-Frank Wall Street Reform and Consumer Protection Act and Item 104 of Regulation 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2013</w:t>
            </w:r>
          </w:p>
        </w:tc>
        <w:tc>
          <w:tcPr>
            <w:tcW w:w="6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2012</w:t>
            </w:r>
          </w:p>
        </w:tc>
        <w:tc>
          <w:tcPr>
            <w:tcW w:w="660" w:type="dxa"/>
            <w:vAlign w:val="bottom"/>
            <w:tcBorders>
              <w:bottom w:val="single" w:sz="8" w:color="auto"/>
            </w:tcBorders>
          </w:tcPr>
          <w:p>
            <w:pPr>
              <w:spacing w:after="0"/>
              <w:rPr>
                <w:sz w:val="16"/>
                <w:szCs w:val="16"/>
                <w:color w:val="auto"/>
              </w:rPr>
            </w:pP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2"/>
                <w:szCs w:val="22"/>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11.74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10.09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11.40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7.66</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17.62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14.01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14.00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9.77</w:t>
            </w:r>
          </w:p>
        </w:tc>
      </w:tr>
    </w:tbl>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August 30, 2013, there were 27 holders of record of our common stock. The number of beneficial owners of our common stock is substantially greater than the number of holders of record.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table below sets forth the information with respect to purchases made by the Company of its common stock during the fourth quarter of the fiscal year ended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 Number</w:t>
            </w: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or Programs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to April 30, 2013</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May 1 to May 31, 2013</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4,968</w:t>
            </w:r>
          </w:p>
        </w:tc>
        <w:tc>
          <w:tcPr>
            <w:tcW w:w="360" w:type="dxa"/>
            <w:vAlign w:val="bottom"/>
          </w:tcPr>
          <w:p>
            <w:pPr>
              <w:spacing w:after="0"/>
              <w:rPr>
                <w:sz w:val="23"/>
                <w:szCs w:val="23"/>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$16.16</w:t>
            </w:r>
          </w:p>
        </w:tc>
        <w:tc>
          <w:tcPr>
            <w:tcW w:w="340" w:type="dxa"/>
            <w:vAlign w:val="bottom"/>
          </w:tcPr>
          <w:p>
            <w:pPr>
              <w:spacing w:after="0"/>
              <w:rPr>
                <w:sz w:val="23"/>
                <w:szCs w:val="23"/>
                <w:color w:val="auto"/>
              </w:rPr>
            </w:pP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1 to June 30, 2013</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shares purchased under our stock buyback program approved by the Company's Board of Directors on November 6, 2012. The plan expires on December 31, 2014.</w:t>
      </w:r>
    </w:p>
    <w:p>
      <w:pPr>
        <w:spacing w:after="0" w:line="24" w:lineRule="exact"/>
        <w:rPr>
          <w:rFonts w:ascii="Arial" w:cs="Arial" w:eastAsia="Arial" w:hAnsi="Arial"/>
          <w:sz w:val="13"/>
          <w:szCs w:val="13"/>
          <w:color w:val="auto"/>
        </w:rPr>
      </w:pPr>
    </w:p>
    <w:p>
      <w:pPr>
        <w:ind w:left="540" w:hanging="316"/>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shares withheld to satisfy the employee’s tax withholding obligation that is incurred upon the vesting of deferred shares granted under the Company’s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percentages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2"/>
              </w:rPr>
              <w:t>Twelve Months Ended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One Month</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8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13"/>
                <w:szCs w:val="13"/>
                <w:color w:val="auto"/>
              </w:rPr>
            </w:pPr>
          </w:p>
        </w:tc>
        <w:tc>
          <w:tcPr>
            <w:tcW w:w="100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7"/>
              </w:rPr>
              <w:t>2009</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892,574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739,046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627,052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550,814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689,720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45,825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94,702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79,618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74,914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52,922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94,323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57,988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47,983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44,014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45,169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47,006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24,008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30,589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Earnings per share-diluted</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115,374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82,948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409,978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323,135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306,436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284,808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303,451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299,961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23,231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9,983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18,906</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Backlog</w:t>
            </w: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626,737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497,452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405,118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353,216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401,073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392,097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40" w:right="220" w:hanging="316"/>
        <w:spacing w:after="0" w:line="27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July 30, 2009, the Company’s Board of Directors approved a change in the Company’s fiscal year end from May 31 to June 30, beginning July 1, 2009. As a result of the change, the Company had a transition period for the one month ended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Matrix records profits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Orders and Claims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1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claims is appropriate only if it is probable that the claims will result in additional contract revenue and if the amount can be reliably estimated. We must determine if:</w:t>
      </w:r>
    </w:p>
    <w:p>
      <w:pPr>
        <w:spacing w:after="0" w:line="11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all of the these requirements are met, revenue from a claim is recorded only to the extent that we have incurred costs relating to the claim.</w:t>
      </w:r>
    </w:p>
    <w:p>
      <w:pPr>
        <w:spacing w:after="0" w:line="18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June 30, 2013 and June 30, 2012, costs and estimated earnings in excess of billings on uncompleted contracts included revenues for unapproved change orders and claims of $9.1 million and $8.5 million, respectively. Historically, our collections for unapproved change orders and claims have approximated the amount of revenue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 A hypothetical ten percent unfavorable change in our claim reserves at June 30, 2013 would have reduced fiscal 2013 pretax income by $0.5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7" w:lineRule="exact"/>
        <w:rPr>
          <w:sz w:val="20"/>
          <w:szCs w:val="20"/>
          <w:color w:val="auto"/>
        </w:rPr>
      </w:pPr>
    </w:p>
    <w:p>
      <w:pPr>
        <w:jc w:val="both"/>
        <w:ind w:right="640" w:firstLine="432"/>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 step process. Goodwill is first evaluated for impairment by comparing management's estimate of the fair value of a reporting unit with its carrying value, including goodwill.</w:t>
      </w:r>
    </w:p>
    <w:p>
      <w:pPr>
        <w:spacing w:after="0" w:line="12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Management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also consider market-based approaches to assess the fair value of our reporting units. We compare market multiples from our public peer companies in the engineering and construction industry, as well as the combined carrying values of our reporting units with market capitalization.</w:t>
      </w:r>
    </w:p>
    <w:p>
      <w:pPr>
        <w:spacing w:after="0" w:line="93"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Although we do not anticipate a future impairment charge, certain events could occur that would adversely affect the reported value of goodwill. Such events could include, but are not limited to, a change in economic or competitive conditions, a significant change in the project plans of our customers, a deterioration in the economic condition of the customers and industries we serve, and a material negative change in the relationships with one or more of our significant customers. If our judgments and assumptions change as a result of the occurrence of any of these events or other events that we do not currently anticipate, our expectations as to future results and our estimate of the implied value of one or more of our reporting units also may change.</w:t>
      </w:r>
    </w:p>
    <w:p>
      <w:pPr>
        <w:spacing w:after="0" w:line="10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performed our annual impairment test in the fourth quarter to determine whether an impairment existed and to determine the amount of headroom. We define "headroom" as the percentage difference between the fair value of a reporting unit and its carrying value. The amount of headroom varies by reporting unit. Approximately 39% of our goodwill balance is attributable to one reporting unit. This unit had headroom of 64%. We have four additional reporting units with goodwill representing 19%, 13%, 10% and 10% of the total goodwill balance with headroom of 224%, 144%, 149% and 123%, respectively.</w:t>
      </w:r>
    </w:p>
    <w:p>
      <w:pPr>
        <w:spacing w:after="0" w:line="134"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Our significant assumptions, including revenue growth rates, gross margins, unanticipated operating and interest expense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11" w:lineRule="exact"/>
        <w:rPr>
          <w:sz w:val="20"/>
          <w:szCs w:val="20"/>
          <w:color w:val="auto"/>
        </w:rPr>
      </w:pPr>
    </w:p>
    <w:p>
      <w:pPr>
        <w:ind w:left="640" w:right="20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growth rate of estimated revenue decreases by one percentage point, the headroom of the reporting units referenced above would be reduced from 64%, 224%, 144%, 149% and 123% to 59%, 213%, 138%, 139% and 119%, respectively;</w:t>
      </w:r>
    </w:p>
    <w:p>
      <w:pPr>
        <w:spacing w:after="0" w:line="116"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estimate of gross margins decreases one percentage point, the headroom of the reporting units referenced above would be reduced from 64%, 224%, 144%, 149% and 123% to 30%, 160%, 96%, 100% and 88%, respectively; and</w:t>
      </w:r>
    </w:p>
    <w:p>
      <w:pPr>
        <w:spacing w:after="0" w:line="116"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applicable discount rate increases one percentage point, the headroom of the reporting units referenced above would be reduced from 64%, 224%, 144%, 149% and 123% to 45%, 186%, 118%, 120% and 97%,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right="280" w:firstLine="405"/>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 In fiscal 2013, we reclassified an intangible asset from an indefinite-lived intangible to a finite-lived intangible resulting in an impairment charge of $0.3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i w:val="1"/>
          <w:iCs w:val="1"/>
          <w:color w:val="auto"/>
        </w:rPr>
        <w:t>Accounting Standards Update 2013-02, Comprehensive Income (Topic 220): Reporting of Amounts Reclassified Out of Accumulated Other Comprehensive Income</w:t>
      </w:r>
    </w:p>
    <w:p>
      <w:pPr>
        <w:spacing w:after="0" w:line="3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February 2013, the FASB issued Accounting Standards Update No. 2013-02,“Comprehensive Income (Topic 220): Reporting of Amounts Reclassified Out of Accumulated Other Comprehensive Income” (ASU 2013-02). ASU 2013-02 requires companies to report the effect of significant reclassifications out of accumulated other comprehensive income, by component, either on the face of the financial statements or in the notes to the financial statements and is intended to help entities improve the transparency of changes in other comprehensive income. ASU 2013-02 does not amend any existing requirements for reporting net income or other comprehensive income in the financial statements. ASU 2013-02 is effective for reporting periods beginning after December 15, 2012. We currently do not expect the adoption of this standard to have a material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Standards Update 2011-11, Balance Sheet (Topic 210): Disclosures about Offsetting Assets and Liabilities</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December 2011, the FASB issued Accounting Standards Update No. 2011-11,“Balance Sheet (Topic 210): Disclosures about Offsetting Assets and Liabilities” (ASU 2011-11) and in January 2013, the FASB issued Accounting Standards Update No. 2013-01, “Clarifying the Scope of Disclosures about Offsetting Assets and Liabilities.” ASU 2011-11, as clarified, enhances disclosures surrounding offsetting (netting) assets and liabilities. The standard applies to derivatives, repurchase</w:t>
      </w:r>
    </w:p>
    <w:p>
      <w:pPr>
        <w:spacing w:after="0" w:line="2" w:lineRule="exact"/>
        <w:rPr>
          <w:sz w:val="20"/>
          <w:szCs w:val="20"/>
          <w:color w:val="auto"/>
        </w:rPr>
      </w:pPr>
    </w:p>
    <w:p>
      <w:pPr>
        <w:ind w:right="2420"/>
        <w:spacing w:after="0" w:line="281" w:lineRule="auto"/>
        <w:rPr>
          <w:sz w:val="20"/>
          <w:szCs w:val="20"/>
          <w:color w:val="auto"/>
        </w:rPr>
      </w:pPr>
      <w:r>
        <w:rPr>
          <w:rFonts w:ascii="Arial" w:cs="Arial" w:eastAsia="Arial" w:hAnsi="Arial"/>
          <w:sz w:val="16"/>
          <w:szCs w:val="16"/>
          <w:color w:val="auto"/>
        </w:rPr>
        <w:t>agreements and securities lending transactions and requires companies to disclose gross and net information about financial instruments and derivatives eligible for offset and to disclose financial instruments and derivatives subject to master netting</w:t>
      </w:r>
    </w:p>
    <w:p>
      <w:pPr>
        <w:spacing w:after="0" w:line="1"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arrangements in financial statements. ASU 2011-11 is effective for annual reporting periods beginning on or after January 1, 2013. We will adopt this standard beginning our first interim period of fiscal 2014. We currently do not expect the adoption of this standard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ind w:left="60" w:firstLine="405"/>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33" w:lineRule="exact"/>
        <w:rPr>
          <w:sz w:val="20"/>
          <w:szCs w:val="20"/>
          <w:color w:val="auto"/>
        </w:rPr>
      </w:pPr>
    </w:p>
    <w:p>
      <w:pPr>
        <w:ind w:left="60" w:right="380" w:firstLine="405"/>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93" w:lineRule="exact"/>
        <w:rPr>
          <w:sz w:val="20"/>
          <w:szCs w:val="20"/>
          <w:color w:val="auto"/>
        </w:rPr>
      </w:pPr>
    </w:p>
    <w:p>
      <w:pPr>
        <w:ind w:left="60" w:right="40" w:firstLine="405"/>
        <w:spacing w:after="0" w:line="31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LNG, LIN/LOX, and LPG tanks and other specialty vessels including spheres. Finally, the Storage Solutions segment includes balance of plant work in storage terminals and tank farms.</w:t>
      </w:r>
    </w:p>
    <w:p>
      <w:pPr>
        <w:spacing w:after="0" w:line="93" w:lineRule="exact"/>
        <w:rPr>
          <w:sz w:val="20"/>
          <w:szCs w:val="20"/>
          <w:color w:val="auto"/>
        </w:rPr>
      </w:pPr>
    </w:p>
    <w:p>
      <w:pPr>
        <w:ind w:left="60" w:right="200" w:firstLine="405"/>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fertilizer production facilities, as well as work for clients in other industrial markets.</w:t>
      </w:r>
    </w:p>
    <w:p>
      <w:pPr>
        <w:spacing w:after="0" w:line="11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majority of the work for all segments is performed in the United States, with 8.7% of revenues generated in Canada during fiscal 2013, 8.5% in fiscal 2012 and 4.8% in fiscal 2011. Significant period to period changes in revenues, gross profits and operating results are discussed below on a consolidated basis and for each segment.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171,204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273,848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393,201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54,321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25,551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57,988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Fiscal Year 2012</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739,046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42,393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79,618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17,493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31,635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151,058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143,354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298,706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33,934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627,052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225"/>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Variances Fiscal Year 2013 to Fiscal Year 2012</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Increase/(Decrease)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153,528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Variances Fiscal Year 2012 to Fiscal Year 2011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Increase/(Decrease)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62,469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79,448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111,994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Versus Fiscal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Consolidated revenues were $892.6 million in fiscal 2013, an increase of $153.6 million, or 20.8%, from consolidated revenues of $739.0 million in fiscal 2012. The increase in consolidated revenues was a result of increases in all four segments: Oil Gas &amp; Chemical, Electrical Infrastructure, Industrial and Storage Solutions which increased $68.0 million, $36.1 million, $34.3 million and $15.0 million, respectively.</w:t>
      </w:r>
    </w:p>
    <w:p>
      <w:pPr>
        <w:spacing w:after="0" w:line="12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Consolidated gross profit increased from $79.6 million in fiscal 2012 to $94.7 million in fiscal 2013. The increase of $15.1 million, or 19.0%, was due to higher revenues, partially offset by lower gross margins which decreased to 10.6% in fiscal 2013 compared to 10.8% a year earlier.</w:t>
      </w:r>
    </w:p>
    <w:p>
      <w:pPr>
        <w:spacing w:after="0" w:line="9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Consolidated SG&amp;A expenses were $58.0 million in fiscal 2013 compared to $48.0 million in the same period a year earlier. The increase of $10.0 million, or 20.8%, was primarily related to our planned investments in the branding initiative, strategic growth areas and related support functions coupled with a higher business volume. The Company also incurred a bad debt charge of $0.7 million in fiscal 2013. SG&amp;A expense as a percentage of revenue was 6.5% in both fiscal 2013 and fiscal 2012.</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interest expense was $0.8 million in both fiscal 2013 and fiscal 2012.</w:t>
      </w:r>
    </w:p>
    <w:p>
      <w:pPr>
        <w:spacing w:after="0" w:line="17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effective tax rates for fiscal 2013 and fiscal 2012 were 33.2% and 43.6%, respectively. The current year effective tax rate was positively impacted by the effect of retroactive tax legislation enacted in the third quarter of fiscal 2013 and a change in estimate related to an available tax credit. The fiscal 2012 effective tax rate was higher than the statutory rate due to cumulative non-deductible expenses totaling $3.1 million related to deductibility limitations applying to certain items that had previously been fully deducted, of which $2.1 million was related to prior fiscal years (fiscal 2009 to fiscal 2011). The fiscal 2012 effective tax rate was positively impacted by the release of a valuation allowance on foreign tax credit carryovers of $0.5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Revenues for the Electrical Infrastructure segment increased $36.1 million, or 26.7%, to $171.2 million in fiscal 2013 compared to $135.1 million in the same period a year earlier. The higher revenue was primarily due to an increase in high voltage work related primarily to storm restoration services and higher transmission and distribution work in the Northeast United States. Gross margins were 12.7% in fiscal 2013 compared to 12.3% in fiscal 2012. The improvement in gross margins in fiscal 2013 is due to higher margins related to storm restoration work and the improved recovery of overhead costs caused by a higher business volume, partially offset by lower direct margins related to other electrical work.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Revenues for the Oil Gas &amp; Chemical segment increased to $273.8 million in fiscal 2013 compared to $205.8 million in the same period a year earlier. The increase of $68.0 million, or 33.0%, was primarily due to a higher level of turnaround work, geographic expansion of turnaround services, and capital construction projects. Gross margins were 12.0% in fiscal 2013 compared to 9.8% in fiscal 2012. The improvement in gross margins is primarily due to the favorable effect of the improved recovery of overhead costs caused by a higher business volume and improved project execution.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Revenues for the Storage Solutions segment increased to $393.2 million in fiscal 2013 compared to $378.2 million in the same period a year earlier. The increase of $15.0 million, or 4.0%, was primarily due to higher levels of work in Canada in our aboveground storage tank business. Gross margins decreased from 11.2% in fiscal 2012 to 9.5% in the same period in the current year. The lower margins in fiscal 2013 was primarily due to unrecovered overhead costs, a legal charge of $1.0 million and lower direct margins caused primarily by a $3.7 million charge on one project. The legal charge is discussed under the heading "Legal Settlement" and the project charge is discussed under the heading "Western Canada Aboveground Storage Tank Project" in Note 3 of the Notes to Consolidated Financial Statements included in Part II, Item 8 of this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Revenues for the Industrial segment totaled $54.3 million in fiscal 2013 compared to $20.0 million in the same period a year earlier. The increase of $34.3 million, or 172.0%, was primarily due to higher revenues in our mining and minerals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Gross margins were 4.8% in fiscal 2013 compared to 2.4% in fiscal 2012. Although negatively impacted by lower than anticipated business ramp up, gross margins improved throughout fiscal 2013 as the volume of business increased. We also incurred a $0.4 million project charge in fiscal 2013 for this segment. Fiscal 2012 and fiscal 2013 margins were negatively impacted by startup costs related to entry into the bulk material handling and mining and minerals markets.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Versus Fiscal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Consolidated revenues were $739.0 million in fiscal 2012, an increase of $111.9 million, or 17.8%, from consolidated revenues of $627.1 million in fiscal 2011. The increase in consolidated revenues was a result of increases in Storage Solutions and Oil Gas &amp; Chemical revenues, which increased $79.4 million and $62.5 million, respectively. These increases in revenues were partially offset by lower Electrical Infrastructure and Industrial revenues, which decreased $16.0 million and $14.0 million, respectively.</w:t>
      </w:r>
    </w:p>
    <w:p>
      <w:pPr>
        <w:spacing w:after="0" w:line="13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Consolidated gross profit increased from $74.9 million in fiscal 2011 to $79.6 million in fiscal 2012. The increase of $4.7 million was primarily due to higher revenues, partially offset by a decrease in gross margins from 11.9% in fiscal 2011 to 10.8% in fiscal 2012.</w:t>
      </w:r>
    </w:p>
    <w:p>
      <w:pPr>
        <w:spacing w:after="0" w:line="11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Consolidated SG&amp;A expenses were $48.0 million in fiscal 2012 compared to $44.0 million in fiscal 2011. The increase of $4.0 million, or 9.1%, was primarily due to higher operating costs in fiscal 2012 related to increased business volumes, costs related to our investment in high growth areas of the business and related investment in support functions such as safety, marketing, corporate development, systems and training, and a non-routine stock compensation charge, partially offset by lower legal costs. SG&amp;A expense as a percentage of revenue decreased to 6.5% in fiscal 2012 compared to 7.0% in fiscal 2011.</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interest expense was $0.8 million in fiscal 2012 and $0.7 million in fiscal 2011.</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expense in fiscal 2012 was $0.4 million and related primarily to foreign currency transaction losses. Fiscal 2011 had other income of $0.4 million, which related primarily to foreign currency transaction gains.</w:t>
      </w:r>
    </w:p>
    <w:p>
      <w:pPr>
        <w:spacing w:after="0" w:line="116"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effective tax rates for fiscal 2012 and fiscal 2011 were 43.6% and 38.0%, respectively. The fiscal 2012 effective tax rate was higher than the statutory rate due to cumulative non-deductible expenses totaling $3.1 million related to deductibility limitations applying to certain items that had previously been fully deducted, of which $2.1 million was related to prior fiscal years (fiscal 2009 to fiscal 2011) and $1.0 million was for the current fiscal year. The fiscal 2012 effective tax rate was positively impacted by the release of a valuation allowance on foreign tax credit carryovers of $0.5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Revenues for the Electrical Infrastructure segment decreased from $151.1 million in fiscal 2011 to $135.1 million in fiscal 2012. The decrease of $16.0 million, or 10.6%, was primarily due to the completion of a cogeneration project in the prior year and unfavorable conditions in our east coast operations related to a decline in spending by electric utilities due to warm winter weather, the impact of low natural gas prices, as well as timing delays of various project start dates and contract awards. Gross margins were 12.3% in fiscal 2012 compared to 12.1% in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for the Oil Gas &amp; Chemical segment increased to $205.8 million in fiscal 2012 compared to $143.4 million in fiscal 2011. The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$62.4 million, or 43.5%, was due to a significantly higher volume of turnaround work and a higher level of capital construction projects. Gross margins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 in fiscal 2012 compared to 9.5% in fiscal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Revenues for the Storage Solutions segment increased to $378.2 million in fiscal 2012 compared to $298.7 million in fiscal 2011. The increase of $79.5 million, or 26.6%, was due to higher levels of work both domestically and in Canada in our core aboveground storage tank business and an increase in domestic tank farm and terminal balance of plant work. Gross margins decreased from 13.0% in fiscal 2011 to 11.2% in fiscal 2012. The lower margins in fiscal 2012 were primarily due to geographic expansion, costs associated with unexpected warranty work, and isolated margin fades.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Revenues for the Industrial segment decreased from $33.9 million in fiscal 2011 to $20.0 million in fiscal 2012. The decrease of $13.9 million, or 41.0%, was largely due to the timing of revenues on a single project in 2011. This project accounted for $10.8 million of revenues in fiscal 2011 and $2.4 million in fiscal 2012. Gross margins decreased from 12.2% in fiscal 2011 to 2.4% in the current year. Gross margins in fiscal 2012 were negatively impacted by startup costs related to our entry into the bulk material handling and mining and minerals markets.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82" w:lineRule="exact"/>
        <w:rPr>
          <w:sz w:val="20"/>
          <w:szCs w:val="20"/>
          <w:color w:val="auto"/>
        </w:rPr>
      </w:pPr>
    </w:p>
    <w:p>
      <w:pPr>
        <w:ind w:left="980" w:right="1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8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2011</w:t>
            </w: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18,982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795</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11,634</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11,485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11,067</w:t>
            </w:r>
          </w:p>
        </w:tc>
      </w:tr>
      <w:tr>
        <w:trPr>
          <w:trHeight w:val="27"/>
        </w:trPr>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49,498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42,789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42,478</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define liquidity as the ability to pay our liabilities as they become due, fund business operations and meet all contractual or financial obligations. Our primary sources of liquidity in fiscal 2013 were cash on hand at the beginning of the year, capacity under our credit facility, and cash generated from operations. Cash on hand at June 30, 2013 totaled $63.8 million and availability under the credit facility totaled $111.6 million, resulting in total liquidity of $175.4 million. We expect to fund our operations for the next twelve months through the use of cash generated from operations, existing cash balances and borrowings under our credit facility, as necessary.</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6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16"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16" w:lineRule="exact"/>
        <w:rPr>
          <w:rFonts w:ascii="Arial" w:cs="Arial" w:eastAsia="Arial" w:hAnsi="Arial"/>
          <w:sz w:val="18"/>
          <w:szCs w:val="18"/>
          <w:color w:val="auto"/>
        </w:rPr>
      </w:pPr>
    </w:p>
    <w:p>
      <w:pPr>
        <w:ind w:left="1000" w:right="100" w:hanging="317"/>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16" w:lineRule="exact"/>
        <w:rPr>
          <w:rFonts w:ascii="Arial" w:cs="Arial" w:eastAsia="Arial" w:hAnsi="Arial"/>
          <w:sz w:val="18"/>
          <w:szCs w:val="18"/>
          <w:color w:val="auto"/>
        </w:rPr>
      </w:pPr>
    </w:p>
    <w:p>
      <w:pPr>
        <w:ind w:left="1000" w:hanging="317"/>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 amount of our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Cash flows provided by operating activities for the twelve months ended June 30, 2013 totaled $57.1 million. Major components of cash flows from operating activities for the year ending June 30, 2013 are as follows:</w:t>
      </w:r>
    </w:p>
    <w:p>
      <w:pPr>
        <w:spacing w:after="0" w:line="27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5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24,008</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8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17,379</w:t>
            </w:r>
          </w:p>
        </w:tc>
      </w:tr>
      <w:tr>
        <w:trPr>
          <w:trHeight w:val="27"/>
        </w:trPr>
        <w:tc>
          <w:tcPr>
            <w:tcW w:w="8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8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Cash effect of changes in operating assets and liabilities</w:t>
            </w:r>
          </w:p>
        </w:tc>
        <w:tc>
          <w:tcPr>
            <w:tcW w:w="8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13,800</w:t>
            </w:r>
          </w:p>
        </w:tc>
      </w:tr>
      <w:tr>
        <w:trPr>
          <w:trHeight w:val="27"/>
        </w:trPr>
        <w:tc>
          <w:tcPr>
            <w:tcW w:w="8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89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57,084</w:t>
            </w:r>
          </w:p>
        </w:tc>
      </w:tr>
      <w:tr>
        <w:trPr>
          <w:trHeight w:val="20"/>
        </w:trPr>
        <w:tc>
          <w:tcPr>
            <w:tcW w:w="8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171" w:lineRule="exact"/>
        <w:rPr>
          <w:sz w:val="20"/>
          <w:szCs w:val="20"/>
          <w:color w:val="auto"/>
        </w:rPr>
      </w:pPr>
    </w:p>
    <w:p>
      <w:pPr>
        <w:ind w:left="640" w:right="8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receivable increased by $32.4 million. The accounts receivable increase is due to higher business volume and the timing of billings particularly in the Electrical Infrastructure, Storage Solutions and Industrial segments. The receivable aging categories have not deteriorated and we do not anticipate any unusual collection difficulties.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line="312"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net change in the combined balances of costs and estimated earnings in excess of billings on uncompleted contracts and billings on uncompleted contracts in excess of costs and estimated earnings caused an increase to cash of $27.3 million in the twelve months ended June 30, 2013. This change was primarily attributable to improved working capital management and our project portfolio permitting a higher degree of advanced billings.</w:t>
      </w:r>
    </w:p>
    <w:p>
      <w:pPr>
        <w:spacing w:after="0" w:line="92" w:lineRule="exact"/>
        <w:rPr>
          <w:rFonts w:ascii="Arial" w:cs="Arial" w:eastAsia="Arial" w:hAnsi="Arial"/>
          <w:sz w:val="16"/>
          <w:szCs w:val="16"/>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payable increased by $19.3 million. The increase was primarily due to an increase in business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Investing activities used $32.4 million of cash in the twelve months ended June 30, 2013 due to capital expenditures of $23.2 million and the purchase of certain assets of Pelichem in the amount of $9.4 million as discussed in Note 2 - Acquisitions, partially offset by proceeds from asset dispositions of $0.2 million. Capital expenditures included $12.9 million for the purchase of construction equipment, $6.1 million for transportation equipment, $3.8 million for office equipment and software and $0.4 million for land and buildings.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Financing activities used $0.2 million of cash in the twelve months ended June 30, 2013 primarily due to treasury share purchases of $1.2 million, offset in part by proceeds recived from stock issuances of $0.9 million. Borrowings during fiscal 2013 were limited to Canadian dollar advances under our Credit Agreement to mitigate foreign exchange rate risks related to cross-border purchases of materials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under the Credit Agreement may be used for working capital, issuance of letters of credit and other lawful corporate purposes.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71" w:lineRule="exact"/>
        <w:rPr>
          <w:rFonts w:ascii="Arial" w:cs="Arial" w:eastAsia="Arial" w:hAnsi="Arial"/>
          <w:sz w:val="18"/>
          <w:szCs w:val="18"/>
          <w:color w:val="auto"/>
        </w:rPr>
      </w:pPr>
    </w:p>
    <w:p>
      <w:pPr>
        <w:ind w:left="640" w:right="20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16"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Unused Revolving Credit Facility Fee is between 0.30% and 0.45% based on the Senior Leverage Ratio.</w:t>
      </w:r>
    </w:p>
    <w:p>
      <w:pPr>
        <w:spacing w:after="0" w:line="17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Credit Agreement includes a Senior Leverage Ratio covenant, which provides that Consolidated Funded Indebtedness may not exceed 2.5 times Consolidated EBITDA, as defined in the Credit Agreement, over the previous four quarters. For the four quarters ended June 30, 2013, Consolidated EBITDA, as defined in the Credit Agreement, was $53.3 million. Accordingly, at June 30, 2013, the Company had full availability of the $125.0 million credit facility. Consolidated Funded Indebtedness at June 30, 2013 was $6.6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Availability under the credit facility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300" w:type="dxa"/>
            <w:vAlign w:val="bottom"/>
          </w:tcPr>
          <w:p>
            <w:pPr>
              <w:jc w:val="right"/>
              <w:ind w:right="59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3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9,662</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115,338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13,372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8,499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the credit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111,628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106,839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Company is in compliance with all affirmative, negative, and financial covenants under the Credit Agreement and is at the lowest margin tier for the LIBOR, Alternate Base Rate, CDOR and Canadian Prime Rate loans and the lowest tier for the Unused Revolving Credit Facility Fee.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November 6, 2012, our Board of Directors approved an extension of a stock buyback program that allows the Company to purchase up to 2,113,497 shares provided that such purchases do not exceed $25.0 million in any calendar year through the end of calendar year 2014 if sufficient liquidity exists and we believe that it is in the best interest of the stockholders. The Company may elect to purchase shares under this program.</w:t>
      </w:r>
    </w:p>
    <w:p>
      <w:pPr>
        <w:spacing w:after="0" w:line="11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107,344 shares during fiscal 2013 to satisfy these obligations. These shares were returned to the Company’s pool of treasury shares.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1,779,593 treasury shares as of June 30, 2013 and intends to utilize these treasury shares solely in connection with equity awards under the Company’s stock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Off-Balance Sheet Arrangements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2013, the following commitments and off-balance sheet arrangements were in place to support our ordinary course obligations: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Commitments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34,913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36,761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50,133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left="540" w:right="180" w:hanging="316"/>
        <w:spacing w:after="0" w:line="252"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letters of credit issued under our credit facility are in support of our workers’ compensation insurance programs or certain construction contracts. The letters of credit that support our workers’ compensation programs are expected to renew annually through the term of the credit facility; therefore, they are reported in the same period that the credit facility expires. The letters of credit that support construction contracts will expire when the related work is completed and the warranty period has passed; therefore, these letters of credit are reported in the period that we expect the warranty period to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Contractual obligations at June 30, 2013 are summarized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Contractual Obligations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interest rate risk results primarily from our variable rate indebtedness under our credit facility, which is influenced by movements in short-term rates. Borrowings under our $125.0 million revolving credit facility are based on an Alternate Base Rate, LIBOR, CDOR or Canadian Prime Rate as elected by the Company plus an additional margin based on our Senior Leverage Ratio. Although there were no amounts outstanding under the facility at June 30, 2013, we sometimes borrow against our revolving credit line to fund short-term working capital needs, and we may borrow in the future.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instruments with interest rate risk at June 30, 2013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2014</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2016</w:t>
            </w:r>
          </w:p>
        </w:tc>
        <w:tc>
          <w:tcPr>
            <w:tcW w:w="11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12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right="20" w:hanging="316"/>
        <w:spacing w:after="0" w:line="247"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were no outstanding borrowings under our credit facility at June 30, 2013. At the Company’s option, amounts borrowed under the revolving credit facility in U.S. dollars will bear interest at LIBOR or an Alternate Base Rate, plus in each case, an additional margin based on the Senior Leverage Ratio. We may also borrow up to $15.0 million in Canadian dollars at the CDOR rate or the Canadian Prime Rate plus an additional margin based on the Senior Leverage Ratio. The Alternate Base Rate is the greater of the Prime Rate, the Federal Funds Effective Rate plus 0.5% or LIBOR plus 1.00%. The additional margin ranges from 0.75% to 1.5% on Alternate Base Rate borrowings, from 1.75% to 2.5% on LIBOR and CDOR-based borrowings and from 2.25% to 3.0% on Canadian Prime Rate borrowings. The Senior Leverage Ratio at June 30, 2013 placed the Company in the lowest interest rate tier, resulting in LIBOR, CDOR, Canadian Prime Rate and Alternate Base Rate margins of 1.75%, 1.75%, 2.25% and 0.75%,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-627380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instruments with interest rate risk at June 30, 2012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2013</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2014</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2015</w:t>
            </w:r>
          </w:p>
        </w:tc>
        <w:tc>
          <w:tcPr>
            <w:tcW w:w="11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12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hanging="316"/>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There were no outstanding borrowings under our credit facility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-98425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Matrix Service Company has subsidiaries with operations in Canada with the Canadian dollar as their functional currency. Historically, movements in the foreign currency exchange rate have not significantly impacted results. However, further growth in our Canadian operations and significant fluctuations in the Canadian Dollar/U.S. Dollar exchange rate could impact the Company’s financial results in the future. Management has not entered into derivative instruments to hedge foreign currency risk, but periodically evaluates the materiality of our foreign currency exposure. To mitigate our risk, on occasion we borrow Canadian dollars under our credit facility to settle U.S. dollar account balances. A 10% unfavorable change in the Canadian dollar against the U. S. dollar would not have had a material impact on the financial results of the Company for the fiscal year ended June 30,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has no direct commodity exposure, but we do have exposure to materials derived from certain commodities including steel plate and steel pipe,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11180" w:type="dxa"/>
            <w:vAlign w:val="bottom"/>
            <w:gridSpan w:val="15"/>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Report on Internal Control Over Financial Reporting</w:t>
              </w:r>
            </w:hyperlink>
          </w:p>
        </w:tc>
        <w:tc>
          <w:tcPr>
            <w:tcW w:w="180" w:type="dxa"/>
            <w:vAlign w:val="bottom"/>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Reports of Independent Registered Public Accounting Firm</w:t>
              </w:r>
            </w:hyperlink>
          </w:p>
        </w:tc>
        <w:tc>
          <w:tcPr>
            <w:tcW w:w="600" w:type="dxa"/>
            <w:vAlign w:val="bottom"/>
            <w:tcBorders>
              <w:top w:val="single" w:sz="8" w:color="0000FF"/>
            </w:tcBorders>
          </w:tcPr>
          <w:p>
            <w:pPr>
              <w:spacing w:after="0"/>
              <w:rPr>
                <w:sz w:val="24"/>
                <w:szCs w:val="24"/>
                <w:color w:val="auto"/>
              </w:rPr>
            </w:pPr>
          </w:p>
        </w:tc>
        <w:tc>
          <w:tcPr>
            <w:tcW w:w="5940" w:type="dxa"/>
            <w:vAlign w:val="bottom"/>
            <w:gridSpan w:val="6"/>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Consolidated Statements of Income for the Years Ended June 30, 2013, June 30, 2012, and June 30, 2011</w:t>
              </w:r>
            </w:hyperlink>
          </w:p>
        </w:tc>
        <w:tc>
          <w:tcPr>
            <w:tcW w:w="180" w:type="dxa"/>
            <w:vAlign w:val="bottom"/>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Statements of Comprehensive Income for the Years Ended June 30, 2013, June 30, 2012, and June 30,</w:t>
              </w:r>
            </w:hyperlink>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0" w:type="dxa"/>
            <w:vAlign w:val="bottom"/>
            <w:gridSpan w:val="4"/>
          </w:tcPr>
          <w:p>
            <w:pPr>
              <w:ind w:left="720"/>
              <w:spacing w:after="0" w:line="196"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2011</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Consolidated Balance Sheets as of June 30, 2013 and June 30, 2012</w:t>
              </w:r>
            </w:hyperlink>
          </w:p>
        </w:tc>
        <w:tc>
          <w:tcPr>
            <w:tcW w:w="5620" w:type="dxa"/>
            <w:vAlign w:val="bottom"/>
            <w:gridSpan w:val="5"/>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Consolidated Statements of Cash Flows for the Years Ended June 30, 2013, June 30, 2012, and June 30, 2011</w:t>
              </w:r>
            </w:hyperlink>
          </w:p>
        </w:tc>
        <w:tc>
          <w:tcPr>
            <w:tcW w:w="258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Consolidated Statements of Changes in Stockholders’ Equity for the Years Ended June 30, 2013, June 30, 2012, and</w:t>
              </w:r>
            </w:hyperlink>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June 30, 2011</w:t>
              </w:r>
            </w:hyperlink>
          </w:p>
        </w:tc>
        <w:tc>
          <w:tcPr>
            <w:tcW w:w="210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r>
      <w:tr>
        <w:trPr>
          <w:trHeight w:val="372"/>
        </w:trPr>
        <w:tc>
          <w:tcPr>
            <w:tcW w:w="40" w:type="dxa"/>
            <w:vAlign w:val="bottom"/>
          </w:tcPr>
          <w:p>
            <w:pPr>
              <w:spacing w:after="0"/>
              <w:rPr>
                <w:sz w:val="24"/>
                <w:szCs w:val="24"/>
                <w:color w:val="auto"/>
              </w:rPr>
            </w:pPr>
          </w:p>
        </w:tc>
        <w:tc>
          <w:tcPr>
            <w:tcW w:w="11180" w:type="dxa"/>
            <w:vAlign w:val="bottom"/>
            <w:gridSpan w:val="15"/>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Schedule II—Valuation and Qualifying Accounts</w:t>
              </w:r>
            </w:hyperlink>
          </w:p>
        </w:tc>
        <w:tc>
          <w:tcPr>
            <w:tcW w:w="180" w:type="dxa"/>
            <w:vAlign w:val="bottom"/>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26"/>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8"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financial statement schedule is filed as a part of this report under Schedule II – Valuation and Qualifying Accounts for the three fiscal years ended June 30, 2013, June 30, 2012 and June 30, 2011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right="10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June 30, 2013. In making this assessment, the Company’s management used the criteria set forth by the Committee of Sponsoring Organizations of the Treadway Commission (“COSO”) in Internal Control-Integrated Framework.</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2013 was effective.</w:t>
      </w:r>
    </w:p>
    <w:p>
      <w:pPr>
        <w:spacing w:after="0" w:line="11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effectiveness of the Company’s internal control over financial reporting as of June 30, 2013.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Arial" w:cs="Arial" w:eastAsia="Arial" w:hAnsi="Arial"/>
                <w:sz w:val="18"/>
                <w:szCs w:val="18"/>
                <w:color w:val="auto"/>
                <w:w w:val="8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4"/>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3"/>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4240" w:type="dxa"/>
            <w:vAlign w:val="bottom"/>
          </w:tcPr>
          <w:p>
            <w:pPr>
              <w:spacing w:after="0"/>
              <w:rPr>
                <w:sz w:val="20"/>
                <w:szCs w:val="20"/>
                <w:color w:val="auto"/>
              </w:rPr>
            </w:pPr>
            <w:r>
              <w:rPr>
                <w:rFonts w:ascii="Arial" w:cs="Arial" w:eastAsia="Arial" w:hAnsi="Arial"/>
                <w:sz w:val="18"/>
                <w:szCs w:val="18"/>
                <w:color w:val="auto"/>
              </w:rPr>
              <w:t>September 6, 2013</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Arial" w:cs="Arial" w:eastAsia="Arial" w:hAnsi="Arial"/>
                <w:sz w:val="18"/>
                <w:szCs w:val="18"/>
                <w:color w:val="auto"/>
              </w:rPr>
              <w:t>34</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157"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Matrix Service Company and subsidiaries (“the Company”) as of June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7"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June 30, 2013,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w:t>
      </w:r>
    </w:p>
    <w:p>
      <w:pPr>
        <w:spacing w:after="0" w:line="7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June 30, 2013 of the Company and our report dated September 6, 2013 expressed an unqualified opinion on those financial statements and financial statement schedule.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Tulsa,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6,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Matrix Service Company and subsidiaries (the “Company”) as of June 30, 2013 and June 30, 2012, and the related consolidated statements of income, comprehensive income, changes in stockholders’ equity, and cash flows for each of the three years in the period ended June 30, 2013. Our audits also included the financial statement schedule listed in the Index at Item 15. These financial statements and financial statement schedule are the responsibility of the Company’s management. Our responsibility is to express an opinion on the financial statements and the financial statement schedule based on our audits.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Matrix Service Company and subsidiaries as of June 30, 2013 and 2012, and the results of their operations and their cash flows for each of the three years ended June 30,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0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June 30, 2013,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and our report dated September 6, 2013 expressed an unqualified opinion on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Tulsa, Oklahoma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6,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627,052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797,872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659,428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552,138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57,988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47,983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44,014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30,616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24,008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25,962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Twelve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18,982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 of $190, $214 and ($333))</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16,523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19,923</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less allowances (2013—$795; 2012—$1,201)</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140,840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108,034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68,562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2,482</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6,024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296,274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230,516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29,649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28,846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59,176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34,366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25,865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2,910</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133,689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(78,814)</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30,836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28,675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2,565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409,978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323,135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62,848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30,293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7,599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6,912</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3,414</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6,075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stock—$.01 par value; 60,000,000 shares authorized; 27,888,217 shares issued as of</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2013 and June 30, 2012</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118,190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116,693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117,419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235,162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w w:val="93"/>
              </w:rPr>
              <w:t>Less treasury stock, at cost—1,779,593 and 2,141,990 shares as of June 30, 2013 and June 30, 2012</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(24,065)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211,097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409,978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323,135</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24,008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18,982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11,067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2,395</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3,743</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Allowance for uncollectible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Impairment of intangible asset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Changes in operating assets and liabilities increasing (decreasing) cash, net of effects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(16,499)</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2"/>
              </w:rPr>
              <w:t>Costs and estimated earnings in excess of billings on uncompleted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12,862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Billings on uncompleted contracts in excess of costs and estimated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1,027</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under credit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amendment fees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Treasury shares sold to Employee Stock Purchase Plan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treasury share purchases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39,726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50,899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59,357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12,242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12,016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177,585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Exercise of stock options (32,000 shares)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effect of exercised stock options and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deferred shares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w w:val="96"/>
              </w:rPr>
              <w:t>Issuance of deferred shares (126,428 shares)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Employee Stock Purchase Plan (699 shares)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12)</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Other treasury share purchases (30,154</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Balances, June 30, 2011</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113,686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100,231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199,671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 (26,500 shares)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Tax effect of exercised stock options and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vesting of deferred shares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Issuance of deferred shares (184,149 shares)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3"/>
              </w:rPr>
              <w:t>Employee Stock Purchase Plan (4,395 shares)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(886,503 shares)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Other treasury share purchases (52,992</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Balances, June 30, 2012</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116,693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117,419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211,097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 (97,840 shares)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Tax effect of exercised stock options and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vesting of deferred shares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Issuance of deferred shares (367,449 shares)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3"/>
              </w:rPr>
              <w:t>Employee Stock Purchase Plan (4,452 shares)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treasury share purchases (107,344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Matrix Service Company (“Matrix” or the “Company”) and its subsidiaries, all of which are wholly owned. Intercompany transactions and balances have been eliminated in consolidation.</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operates in the United States and Canada. The Company’s reportable segments are Electrical Infrastructure, Oil Gas &amp; Chemical, Storage Solutions and Industrial.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 insured retentions on our insurance programs. Actual results could materially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Matrix records profits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Precontract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Orders and Claims Recognition</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Company includes as cash equivalents all investments with original maturities of three months or less which are readily convertible into cash. The Company had approximately $0.3 million of restricted cash related to a customer deposit at June 30, 2013 and $0.4 million of restricted cash at June 30,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Accounts receivable are carried on a gross basis, less the allowance for uncollectible accounts. The Company’s customers consist primarily of major integrated oil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Accounts receivable at June 30, 2013 and June 30, 2012 included retentions to be collected within one year of $19.9 million and $22.3 million, respectively. Contract retentions collectible beyond one year are included in Other Assets on the Consolidated Balance Sheets and totaled $3.1 million at June 30, 2013 and $1.2 million at June 30, 2012. Accounts payable included retentions of $3.1 million at June 30, 2013 and $1.5 million at June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Inventories consist primarily of steel plate and pipe and are stated at the lower of cost or net realizable value. Cost is determined primarily using the average cost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71"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depreciable assets. Depreciable lives are as follows: buildings—40 years, construction equipment—3 to 15 years, transportation equipment—3 to 5 years, and office equipment and software—3 to 10 years. Leasehold improvements are amortized over the shorter of the useful life of the asset or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Computer Software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or capitalize costs associated with the development of internal-use software as follows: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Preliminary Project Stage</w:t>
      </w:r>
      <w:r>
        <w:rPr>
          <w:rFonts w:ascii="Arial" w:cs="Arial" w:eastAsia="Arial" w:hAnsi="Arial"/>
          <w:sz w:val="18"/>
          <w:szCs w:val="18"/>
          <w:color w:val="auto"/>
        </w:rPr>
        <w:t>: Both internal and external costs incurred during this stage are expensed as incurred.</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Application Development Stage</w:t>
      </w:r>
      <w:r>
        <w:rPr>
          <w:rFonts w:ascii="Arial" w:cs="Arial" w:eastAsia="Arial" w:hAnsi="Arial"/>
          <w:sz w:val="18"/>
          <w:szCs w:val="18"/>
          <w:color w:val="auto"/>
        </w:rPr>
        <w:t>: Both internal and external costs incurred to purchase or develop computer software are capitalized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project stage is completed and management authorizes the computer software project. However, training costs and data conversion costs, which includes purging or cleansing of existing data, reconciling or balancing of data, are expensed as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Post-Implementation/Operation Stage</w:t>
      </w:r>
      <w:r>
        <w:rPr>
          <w:rFonts w:ascii="Arial" w:cs="Arial" w:eastAsia="Arial" w:hAnsi="Arial"/>
          <w:sz w:val="18"/>
          <w:szCs w:val="18"/>
          <w:color w:val="auto"/>
        </w:rPr>
        <w:t>: All training costs and maintenance costs incurred during this stage are expensed as incurred.</w:t>
      </w:r>
    </w:p>
    <w:p>
      <w:pPr>
        <w:spacing w:after="0" w:line="17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Costs of upgrades and enhancements are capitalized if the expenditures will result in adding functionality to the software. Capitalized software costs are depreciated using the straight-line method over the estimated useful life of the related software, which may be up to ten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7"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two-step process. Goodwill is first evaluated for impairment by comparing management’s estimate of the fair value of a reporting unit with its carrying value, including goodwill.</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Management utilizes a discounted cash flow analysis, referred to as an income approach, to determine the estimated fair value of our reporting units. Significant judgments and assumptions including the discount rate, anticipated revenue growth rate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1"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3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also consider indications obtained from market-based approaches. We compare market multiples derived from market prices of stock of companies that are engaged in a similar line of business to the corresponding measures of the Company. We also consider the combined carrying values of our reporting units to our market capitalization.</w:t>
      </w:r>
    </w:p>
    <w:p>
      <w:pPr>
        <w:spacing w:after="0" w:line="127"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Intangible assets are considered impaired if the fair value of the intangible asset is less than its net book value. If quoted market prices are not available, the fair values of the intangible assets are based on present values of expected future cash flows or royalties avoided using discount rates commensurate with the risks involved.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The detailed assumptions used in the model are included in Note 10—Stock Based Compensation.</w:t>
      </w:r>
    </w:p>
    <w:p>
      <w:pPr>
        <w:spacing w:after="0" w:line="134"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For all stock-based awards, expense is recognized over the requisite service period, net of estimated forfeitures. The expense related to performance based shares is recognized only if management believes it is probable that the performance targets specified in the awards will be achieved.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complies with ASC 740, “Income Taxes”. Deferred income taxes are computed using the liability method whereby deferred tax assets and liabilities are recognized based on temporary differences between the financial statement and tax basis of assets and liabilities using presently enacted tax rates. Valuation allowances are established against deferred tax assets to the extent management believes that it is not probable that the assets will be recovered.</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we consider it probable that additional taxes will be due in excess of the amounts included in our tax returns. We continually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1"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review our exposure to additional income taxes due, and as further information is known or events occur, adjustments may be recorded.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functional currency of the Company’s operations in Canada is the Canadian dollar. The assets and liabilities are translated at the year end exchange rate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 sof Comprehensive Income. Transaction gains and losses are reported as a component of Other income (expense)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i w:val="1"/>
          <w:iCs w:val="1"/>
          <w:color w:val="auto"/>
        </w:rPr>
        <w:t>Accounting Standards Update 2013-02, Comprehensive Income (Topic 220): Reporting of Amounts Reclassified Out of Accumulated Other Comprehensive Income</w:t>
      </w:r>
    </w:p>
    <w:p>
      <w:pPr>
        <w:spacing w:after="0" w:line="3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February 2013, the FASB issued Accounting Standards Update No. 2013-02,“Comprehensive Income (Topic 220): Reporting of Amounts Reclassified Out of Accumulated Other Comprehensive Income” (ASU 2013-02). ASU 2013-02 requires companies to report the effect of significant reclassifications out of accumulated other comprehensive income, by component, either on the face of the financial statements or in the notes to the financial statements and is intended to help entities improve the transparency of changes in other comprehensive income. ASU 2013-02 does not amend any existing requirements for reporting net income or other comprehensive income in the financial statements. ASU 2013-02 is effective for reporting periods beginning after December 15, 2012. We currently do not expect the adoption of this standard to have a material impact on our consolidated financial statements.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Standards Update 2011-11, Balance Sheet (Topic 210): Disclosures about Offsetting Assets and Liabilities</w:t>
      </w:r>
    </w:p>
    <w:p>
      <w:pPr>
        <w:spacing w:after="0" w:line="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December 2011, the FASB issued Accounting Standards Update No. 2011-11,“Balance Sheet (Topic 210): Disclosures about Offsetting Assets and Liabilities” (ASU 2011-11) and in January 2013, the FASB issued Accounting Standards Update No. 2013-01, “Clarifying the Scope of Disclosures about Offsetting Assets and Liabilities.” ASU 2011-11, as clarified, enhances disclosures surrounding offsetting (netting) assets and liabilities. The standard applies to derivatives, repurchase</w:t>
      </w:r>
    </w:p>
    <w:p>
      <w:pPr>
        <w:spacing w:after="0" w:line="2" w:lineRule="exact"/>
        <w:rPr>
          <w:sz w:val="20"/>
          <w:szCs w:val="20"/>
          <w:color w:val="auto"/>
        </w:rPr>
      </w:pPr>
    </w:p>
    <w:p>
      <w:pPr>
        <w:ind w:right="2460"/>
        <w:spacing w:after="0" w:line="281" w:lineRule="auto"/>
        <w:rPr>
          <w:sz w:val="20"/>
          <w:szCs w:val="20"/>
          <w:color w:val="auto"/>
        </w:rPr>
      </w:pPr>
      <w:r>
        <w:rPr>
          <w:rFonts w:ascii="Arial" w:cs="Arial" w:eastAsia="Arial" w:hAnsi="Arial"/>
          <w:sz w:val="16"/>
          <w:szCs w:val="16"/>
          <w:color w:val="auto"/>
        </w:rPr>
        <w:t>agreements and securities lending transactions and requires companies to disclose gross and net information about financial instruments and derivatives eligible for offset and to disclose financial instruments and derivatives subject to master netting</w:t>
      </w:r>
    </w:p>
    <w:p>
      <w:pPr>
        <w:spacing w:after="0" w:line="1"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arrangements in financial statements. ASU 2011-11 is effective for annual reporting periods beginning on or after January 1, 2013. We will adopt this standard beginning our first interim period of fiscal 2014. We currently do not expect the adoption of this standard to have a material impact on our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Pelichem Industrial Cleaning Services, LLC</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 Pelichem's operating results are included in the Oil Gas &amp; Chemical Segment.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1"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final purchase price allocation:</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8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4,299</w:t>
            </w:r>
          </w:p>
        </w:tc>
      </w:tr>
      <w:tr>
        <w:trPr>
          <w:trHeight w:val="27"/>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deductible goodwill</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8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1,853</w:t>
            </w:r>
          </w:p>
        </w:tc>
      </w:tr>
      <w:tr>
        <w:trPr>
          <w:trHeight w:val="27"/>
        </w:trPr>
        <w:tc>
          <w:tcPr>
            <w:tcW w:w="9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9,511</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9,394</w:t>
            </w:r>
          </w:p>
        </w:tc>
      </w:tr>
      <w:tr>
        <w:trPr>
          <w:trHeight w:val="20"/>
        </w:trPr>
        <w:tc>
          <w:tcPr>
            <w:tcW w:w="9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operating data related to this acquisition was not material. The acquisition was funded with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EDC, Inc.</w:t>
      </w:r>
    </w:p>
    <w:p>
      <w:pPr>
        <w:spacing w:after="0" w:line="17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On May 3, 2011, the Company purchased substantially all of the assets of EDC, Inc. (“EDC”). EDC, located in New Jersey, provides consulting, engineering, design and supply services for bulk material handling systems. EDC’s results are included in the Industrial segment.</w:t>
      </w:r>
    </w:p>
    <w:p>
      <w:pPr>
        <w:spacing w:after="0" w:line="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asset purchase agreement provided for a $3.8 million cash payment at closing, as well as an additional incentive payment of up to $0.8 million if certain financial targets are achieved over a two-year period ending April 30, 2013. Based on initial projections, the Company believed the operating performance of EDC would exceed what is required to earn the maximum payout. Therefore, the Company recorded the EDC asset purchase at $4.6 million, which represented the cash payment plus the estimated fair value of the incentive payment.</w:t>
      </w:r>
    </w:p>
    <w:p>
      <w:pPr>
        <w:spacing w:after="0" w:line="13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values at the acquisition date. The following table summarizes the purchase price allocation: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3,075</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1,379</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and proforma data related to the EDC acquisition was not material. The acquisition was funded with cash on hand.</w:t>
      </w:r>
    </w:p>
    <w:p>
      <w:pPr>
        <w:spacing w:after="0" w:line="17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As a part of its ongoing assessment of the carrying value of the acquisition payable, the Company subsequently determined the financial targets were not being achieved. Accordingly, as required under ASC 805—“Business Combinations”, the Company recognized adjustments totaling $0.8 million, of which $0.4 million was recorded in fiscal 2012 and an additional $0.4 million was recorded in fiscal 2013. These adjustments reduced the carrying value of the acquisition payable and selling, general and administrative costs. We also had a $0.2 million adjustment to goodwill in fiscal 2012 as part of the final working capital settlement.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3—Customer Contracts</w:t>
      </w:r>
    </w:p>
    <w:p>
      <w:pPr>
        <w:spacing w:after="0" w:line="17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recognized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802,588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774,749</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791,663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736,480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68,562</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62,848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continues to pursue collection of a receivable acquired in connection with the purchase of S.M. Electric Company, Inc. in February 2009. The recorded values at June 30, 2013 and June 30, 2012 include $0.7 million in claim receivables, which represents the Company's best estimate of the amount to be collected under the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Canada Aboveground Storage Tank Project</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During the twelve months ended June 30, 2013, our gross profit was materially impacted by a $3.7 million charge resulting from a change in estimate for a project to construct aboveground storage tanks in western Canada. The charge was primarily driven by changes in facts and circumstances that caused labor productivity to be lower than expected and direct employee costs to be higher than expected. The change in estimate resulted in a $2.4 million decrease in our net income and a $0.10 decrease in our diluted earnings per common share during the twelve months ended June 30, 2013.</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project was completed in the fourth quarter of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9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May 3, 2013, the Company settled a customer dispute related to work performed in 2002 and 2003. The settlement amount of $1.5 million, which was paid in the fourth quarter of fiscal 2013, exceeded the amount previously accrued, resulting in a charge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western Canada aboveground storage tank project and legal settlement discussed above are the only changes in estimates considered material to our results of operations during the periods presented 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54,058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Cumulative impairment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Acquisition related adjustment</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2012</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Pelichem (Note 2)</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Translation adjustment</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translation adjustments relate to the periodic translation of Canadian Dollar denominated goodwill recorded as a part of a prior Canadian acquisition. The acquisition related adjustment represents the final working capital settlement related to the purchase of assets of EDC, which was acquired in May 2011 and is described in Note 2—Acquisitions.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2013</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 to 15</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Indefinite</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734"/>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2012</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 to 15</w:t>
            </w:r>
          </w:p>
        </w:tc>
        <w:tc>
          <w:tcPr>
            <w:tcW w:w="3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amortizing intangibles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increase in other intangible assets at June 30, 2013 compared to June 30, 2012 is primarily due to the acquisition of certain assets of Pelichem. The Pelichem intangible assets consist of amortizing intangible assets including customer-based intangibles with a fair value of $1.6 million and a non-compete agreement with a fair value of $0.3 million. The weighted average amortization periods are anticipated to be 10 and 5 years, respectively. Please refer to Note 2 - Acquisitions for additional information.</w:t>
      </w:r>
    </w:p>
    <w:p>
      <w:pPr>
        <w:spacing w:after="0" w:line="133"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Each reporting period, the Company evaluates the remaining useful lives of intangible assets not being amortized to determine whether facts and circumstances continue to support an indefinite useful life. Based on this analysis, Matrix revised its assumption of the useful life of the "EDC" trade name, which resulted in a reclassification of the asset from an indefinite-lived intangible to a finite-lived intangible with a five year useful life. This reclassification resulted in an impairment charge of $0.3 million which was recorded as a selling, general and administrative cost in the Industrial segment.</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Amortization expense totaled $0.4 million and $0.5 million in fiscal 2013 and fiscal 2012. Amortization expense is expected to be $0.7 million annually in fiscal 2014 to 2016 and $0.6 million in fiscal 2017 and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under the Credit Agreement may be used for working capital, issuance of letters of credit and other lawful corporate purposes.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17"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17" w:lineRule="exact"/>
        <w:rPr>
          <w:rFonts w:ascii="Arial" w:cs="Arial" w:eastAsia="Arial" w:hAnsi="Arial"/>
          <w:sz w:val="18"/>
          <w:szCs w:val="18"/>
          <w:color w:val="auto"/>
        </w:rPr>
      </w:pPr>
    </w:p>
    <w:p>
      <w:pPr>
        <w:ind w:left="640" w:right="18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62"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6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7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June 30, 2013, Consolidated EBITDA, as defined in the Credit Agreement, was $53.3 million. Accordingly, at June 30, 2013, the Company had full availability of the $125.0 million credit facility. Consolidated Funded Indebtedness at June 30, 2013 was $6.6 million.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Availability under the credit facility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59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2012</w:t>
            </w: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38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9,662</w:t>
            </w: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115,338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8,499</w:t>
            </w: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the credit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111,628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106,839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Company is in compliance with all affirmative, negative, and financial covenants under the Credit Agreement and is at the lowest margin tier for the LIBOR, Alternate Base Rate, CDOR and Canadian Prime Rate loans and the lowest tier for the Unused Revolving Credit Facility Fee.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sources of pretax income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37,876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27,346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677</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30,490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30,616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39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23495</wp:posOffset>
            </wp:positionV>
            <wp:extent cx="31730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80" w:type="dxa"/>
            <w:vAlign w:val="bottom"/>
          </w:tcPr>
          <w:p>
            <w:pPr>
              <w:jc w:val="right"/>
              <w:ind w:right="473"/>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6,104</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604</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3,837</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389</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7"/>
        </w:trPr>
        <w:tc>
          <w:tcPr>
            <w:tcW w:w="6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3,840</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1" w:right="2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difference between the expected income tax provision applying the domestic federal statutory tax rate and the reported income tax provision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provision for Federal income taxes at the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1,095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without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non-deductible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IRC S199 deduction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 Credit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 differential</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11,908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11,634</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7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Bad debt reserve</w:t>
            </w:r>
          </w:p>
        </w:tc>
        <w:tc>
          <w:tcPr>
            <w:tcW w:w="386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Paid-time-off accrual</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Insurance reserve</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Legal reserve</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Net operating loss benefit and credit carryforwards</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Accrued compensation and pension</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Stock compensation expense on nonvested deferred shares</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Accrued losses</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Other—net</w:t>
            </w:r>
          </w:p>
        </w:tc>
        <w:tc>
          <w:tcPr>
            <w:tcW w:w="2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7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Tax over book depreciation</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9,064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over book amortization</w:t>
            </w:r>
          </w:p>
        </w:tc>
        <w:tc>
          <w:tcPr>
            <w:tcW w:w="2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Prepaid insurance</w:t>
            </w:r>
          </w:p>
        </w:tc>
        <w:tc>
          <w:tcPr>
            <w:tcW w:w="2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Other—net</w:t>
            </w:r>
          </w:p>
        </w:tc>
        <w:tc>
          <w:tcPr>
            <w:tcW w:w="2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7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11,418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86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(1,793)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994"/>
              <w:spacing w:after="0"/>
              <w:rPr>
                <w:sz w:val="20"/>
                <w:szCs w:val="20"/>
                <w:color w:val="auto"/>
              </w:rPr>
            </w:pPr>
            <w:r>
              <w:rPr>
                <w:rFonts w:ascii="Arial" w:cs="Arial" w:eastAsia="Arial" w:hAnsi="Arial"/>
                <w:sz w:val="18"/>
                <w:szCs w:val="18"/>
                <w:color w:val="auto"/>
              </w:rPr>
              <w:t>54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reported in the consolidated balance sheets: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53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80" w:type="dxa"/>
            <w:vAlign w:val="bottom"/>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r>
      <w:tr>
        <w:trPr>
          <w:trHeight w:val="250"/>
        </w:trPr>
        <w:tc>
          <w:tcPr>
            <w:tcW w:w="7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6,024</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(7,450)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(6,075)</w:t>
            </w:r>
          </w:p>
        </w:tc>
      </w:tr>
      <w:tr>
        <w:trPr>
          <w:trHeight w:val="27"/>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(1,793)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has state operating loss carryforwards, state investment tax credit carryforwards and federal foreign tax credit carryforwards of which a portion relates to an acquisition. The valuation allowance at June 30, 2013 and June 30, 2012 reduces the recognized tax benefit of these carryforwards to an amount that will more likely than not be realized. The carryforwards generally expire between 2017 and 2028. The $0.1 million change between June 30, 2012 and June 30, 2013 is the result of the release of the valuation allowance on state net operating loss carryovers which have now been determined to be utilizable.</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general, it is the practice and intention of the Company to reinvest the earnings of its Canadian subsidiaries in these operations. Such amounts become subject to United States taxation upon the remittance of dividends and under certain other circumstances. As of June 30, 2013, unremitted earnings of foreign subsidiaries, which have been or are intended to be permanently invested, aggregated to approximately $3.5 million. The amount of deferred tax liability related to investments in these foreign subsidiaries is $0.4 million.</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files tax returns in several taxing jurisdictions in the United States and Canada. With few exceptions, the Company is no longer subject to examination by taxing authorities through fiscal 2008. At June 30, 2013, the Company updated its evaluation of its open tax years in all known jurisdictions. Based on this evaluation, the Company did not identify any uncertain tax positions.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As of June 30, 2013 and June 30, 2012, costs and estimated earnings in excess of billings on uncompleted contracts included revenues for unapproved change orders and claims of $9.1 million and $8.5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8—Operating Leases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2013 total $9.3 million and are payable as follows: fiscal 2014—$3.6 million; fiscal 2015—$3.2 million; fiscal 2016—$1.6 million; fiscal 2017—$0.5 million; fiscal 2018—$0.3 million and thereafter—$0.1 million. Operating lease expense was $4.5 million, $4.1 million and $3.6 million for the twelve months ended June 30, 2013, June 30, 2012 and June 30,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5.0 million shares of preferred stock authorized, none of which was issued or outstanding at June 30, 2013 or June 30,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On November 6, 2012 our Board of Directors approved an extension of a stock buyback program that allows the Company to purchase up to 2,113,497 shares of common stock provided that such purchases do not exceed $25.0 million in any calendar year through calendar year 2014 if sufficient liquidity exists and we believe that it is in the best interest of the stockholders. The Company may elect to purchase shares under this program.</w:t>
      </w:r>
    </w:p>
    <w:p>
      <w:pPr>
        <w:spacing w:after="0" w:line="93"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addition to the stock buyback program, the Company may withhold shares of common stock to satisfy the tax withholding obligations upon vesting of an employee’s deferred shares. Matrix withheld 107,344 and 52,992 shares of common stock during fiscal 2013 and fiscal 2012, respectively, to satisfy these obligations. These shares were returned to the Company’s pool of treasury shares. The Company has 1,779,593 treasury shares as of June 30, 2013 and intends to utilize these treasury shares solely in connection with equity awards under the Company’s stock incentive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Total stock-based compensation expense for the twelve months ended June 30, 2013, June 30, 2012, and June 30, 2011 was $3.8 million, $3.5 million and $2.4 million, respectively. Measured but unrecognized stock-based compensation expense at June 30, 2013 was $9.1 million, of which $8.5 million related to nonvested deferred shares and $0.6 million related to stock options. These amounts are expected to be recognized as expense over a weighted average period of 1.9 years. The recognized tax benefit related to the stock-based compensation expense for the 12 months ended June 30, 2013, June 30, 2012 and June 30, 2011 totaled $1.6 million, $1.3 million and $0.9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17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Matrix Service Company's 2012 Stock and Incentive Compensation Plan ("2012 Plan") provides stock-based and cash-based incentives for officers, other key employees and directors. Stock options, restricted stock, restricted stock units, stock appreciation rights and performance shares can be issued under this plan. All future grants of stock awards will be made through the 2012 Plan. Upon approval of the 2012 Plan by the Company's stockholders, the 2004 Stock Incentive Plan ("2004 Plan") was frozen with the exception of normal vesting, forfeiture and other activity associated with awards previously granted under the 2004 Plan. Awards totaling 2,300,000 shares and 1,300,000 shares have been authorized under the 2004 and 2012 Plans, respectively. At June 30, 2013, there were approximately 1,078,000 shares available for grant under the 2012 Plan.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2013.</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and related information for the year ended June 30, 2013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7"/>
                <w:szCs w:val="17"/>
                <w:color w:val="auto"/>
              </w:rPr>
            </w:pPr>
          </w:p>
        </w:tc>
        <w:tc>
          <w:tcPr>
            <w:tcW w:w="140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200" w:type="dxa"/>
            <w:vAlign w:val="bottom"/>
          </w:tcPr>
          <w:p>
            <w:pPr>
              <w:spacing w:after="0"/>
              <w:rPr>
                <w:sz w:val="18"/>
                <w:szCs w:val="18"/>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2012</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491,040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(97,840)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2013</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392,000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Vested or expected to vest at June 30, 2013</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387,703</w:t>
            </w:r>
          </w:p>
        </w:tc>
        <w:tc>
          <w:tcPr>
            <w:tcW w:w="17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51"/>
        </w:trPr>
        <w:tc>
          <w:tcPr>
            <w:tcW w:w="48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June 30, 2013</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167,800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uses the Black-Scholes option pricing model to estimate grant date fair value for each stock option granted. Expected volatility is based on the historic volatility of the Company’s stock. The risk-free rate is based on the applicable United States Treasury Note rate. The expected life of the option is based on historical and expected future exercise behavior.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Assumptions used to calculate the fiscal 2012 grant date fair value and the fair value calculated was as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$5.61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0.88%</w:t>
            </w:r>
          </w:p>
        </w:tc>
      </w:tr>
      <w:tr>
        <w:trPr>
          <w:trHeight w:val="27"/>
        </w:trPr>
        <w:tc>
          <w:tcPr>
            <w:tcW w:w="9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66.19%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5.00</w:t>
            </w:r>
          </w:p>
        </w:tc>
      </w:tr>
      <w:tr>
        <w:trPr>
          <w:trHeight w:val="27"/>
        </w:trPr>
        <w:tc>
          <w:tcPr>
            <w:tcW w:w="9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93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intrinsic value of stock options exercised during fiscal 2013, 2012, and 2011 was $0.6 million, $0.1 million and $0.2 million, respectively.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at June 30, 2013:</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Arial" w:cs="Arial" w:eastAsia="Arial" w:hAnsi="Arial"/>
                <w:sz w:val="16"/>
                <w:szCs w:val="16"/>
                <w:b w:val="1"/>
                <w:bCs w:val="1"/>
                <w:color w:val="auto"/>
              </w:rPr>
              <w:t>Stock Options Outstanding</w:t>
            </w:r>
          </w:p>
        </w:tc>
        <w:tc>
          <w:tcPr>
            <w:tcW w:w="1320" w:type="dxa"/>
            <w:vAlign w:val="bottom"/>
          </w:tcPr>
          <w:p>
            <w:pPr>
              <w:spacing w:after="0"/>
              <w:rPr>
                <w:sz w:val="18"/>
                <w:szCs w:val="18"/>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0"/>
              </w:rPr>
              <w:t>Stock Options Exercisable</w:t>
            </w:r>
          </w:p>
        </w:tc>
        <w:tc>
          <w:tcPr>
            <w:tcW w:w="1280" w:type="dxa"/>
            <w:vAlign w:val="bottom"/>
          </w:tcPr>
          <w:p>
            <w:pPr>
              <w:spacing w:after="0"/>
              <w:rPr>
                <w:sz w:val="18"/>
                <w:szCs w:val="18"/>
                <w:color w:val="auto"/>
              </w:rPr>
            </w:pPr>
          </w:p>
        </w:tc>
      </w:tr>
      <w:tr>
        <w:trPr>
          <w:trHeight w:val="33"/>
        </w:trPr>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Weighted-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320" w:type="dxa"/>
            <w:vAlign w:val="bottom"/>
          </w:tcPr>
          <w:p>
            <w:pPr>
              <w:jc w:val="right"/>
              <w:ind w:right="294"/>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Average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r>
      <w:tr>
        <w:trPr>
          <w:trHeight w:val="176"/>
        </w:trPr>
        <w:tc>
          <w:tcPr>
            <w:tcW w:w="300" w:type="dxa"/>
            <w:vAlign w:val="bottom"/>
          </w:tcPr>
          <w:p>
            <w:pPr>
              <w:spacing w:after="0"/>
              <w:rPr>
                <w:sz w:val="15"/>
                <w:szCs w:val="15"/>
                <w:color w:val="auto"/>
              </w:rPr>
            </w:pPr>
          </w:p>
        </w:tc>
        <w:tc>
          <w:tcPr>
            <w:tcW w:w="206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Range of Exercise Price</w:t>
            </w:r>
          </w:p>
        </w:tc>
        <w:tc>
          <w:tcPr>
            <w:tcW w:w="1220" w:type="dxa"/>
            <w:vAlign w:val="bottom"/>
          </w:tcPr>
          <w:p>
            <w:pPr>
              <w:jc w:val="right"/>
              <w:ind w:right="54"/>
              <w:spacing w:after="0" w:line="176" w:lineRule="exact"/>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89"/>
              </w:rPr>
              <w:t>Exercise Price</w:t>
            </w:r>
          </w:p>
        </w:tc>
        <w:tc>
          <w:tcPr>
            <w:tcW w:w="146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5"/>
              </w:rPr>
              <w:t>Contractual Life</w:t>
            </w:r>
          </w:p>
        </w:tc>
        <w:tc>
          <w:tcPr>
            <w:tcW w:w="1320" w:type="dxa"/>
            <w:vAlign w:val="bottom"/>
          </w:tcPr>
          <w:p>
            <w:pPr>
              <w:jc w:val="right"/>
              <w:ind w:right="174"/>
              <w:spacing w:after="0" w:line="176" w:lineRule="exact"/>
              <w:rPr>
                <w:sz w:val="20"/>
                <w:szCs w:val="20"/>
                <w:color w:val="auto"/>
              </w:rPr>
            </w:pPr>
            <w:r>
              <w:rPr>
                <w:rFonts w:ascii="Arial" w:cs="Arial" w:eastAsia="Arial" w:hAnsi="Arial"/>
                <w:sz w:val="16"/>
                <w:szCs w:val="16"/>
                <w:b w:val="1"/>
                <w:bCs w:val="1"/>
                <w:color w:val="auto"/>
              </w:rPr>
              <w:t>Exercisable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center"/>
              <w:ind w:right="380"/>
              <w:spacing w:after="0" w:line="176" w:lineRule="exact"/>
              <w:rPr>
                <w:sz w:val="20"/>
                <w:szCs w:val="20"/>
                <w:color w:val="auto"/>
              </w:rPr>
            </w:pPr>
            <w:r>
              <w:rPr>
                <w:rFonts w:ascii="Arial" w:cs="Arial" w:eastAsia="Arial" w:hAnsi="Arial"/>
                <w:sz w:val="16"/>
                <w:szCs w:val="16"/>
                <w:b w:val="1"/>
                <w:bCs w:val="1"/>
                <w:color w:val="auto"/>
                <w:w w:val="89"/>
              </w:rPr>
              <w:t>Exercise Price</w:t>
            </w: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Contractual Life</w:t>
            </w:r>
          </w:p>
        </w:tc>
      </w:tr>
      <w:tr>
        <w:trPr>
          <w:trHeight w:val="48"/>
        </w:trPr>
        <w:tc>
          <w:tcPr>
            <w:tcW w:w="30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35"/>
        </w:trPr>
        <w:tc>
          <w:tcPr>
            <w:tcW w:w="2240" w:type="dxa"/>
            <w:vAlign w:val="bottom"/>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88"/>
              </w:rPr>
              <w:t>$4.60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30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left="1293"/>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2240" w:type="dxa"/>
            <w:vAlign w:val="bottom"/>
            <w:tcBorders>
              <w:bottom w:val="single" w:sz="8" w:color="CCEEFF"/>
            </w:tcBorders>
            <w:gridSpan w:val="3"/>
            <w:shd w:val="clear" w:color="auto" w:fill="CCEEFF"/>
          </w:tcPr>
          <w:p>
            <w:pPr>
              <w:jc w:val="center"/>
              <w:ind w:left="1710"/>
              <w:spacing w:after="0"/>
              <w:rPr>
                <w:sz w:val="20"/>
                <w:szCs w:val="20"/>
                <w:color w:val="auto"/>
              </w:rPr>
            </w:pPr>
            <w:r>
              <w:rPr>
                <w:rFonts w:ascii="Arial" w:cs="Arial" w:eastAsia="Arial" w:hAnsi="Arial"/>
                <w:sz w:val="18"/>
                <w:szCs w:val="18"/>
                <w:color w:val="auto"/>
                <w:w w:val="91"/>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229"/>
        </w:trPr>
        <w:tc>
          <w:tcPr>
            <w:tcW w:w="2240" w:type="dxa"/>
            <w:vAlign w:val="bottom"/>
            <w:gridSpan w:val="3"/>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2240" w:type="dxa"/>
            <w:vAlign w:val="bottom"/>
            <w:gridSpan w:val="3"/>
          </w:tcPr>
          <w:p>
            <w:pPr>
              <w:jc w:val="center"/>
              <w:ind w:left="1710"/>
              <w:spacing w:after="0"/>
              <w:rPr>
                <w:sz w:val="20"/>
                <w:szCs w:val="20"/>
                <w:color w:val="auto"/>
              </w:rPr>
            </w:pPr>
            <w:r>
              <w:rPr>
                <w:rFonts w:ascii="Arial" w:cs="Arial" w:eastAsia="Arial" w:hAnsi="Arial"/>
                <w:sz w:val="18"/>
                <w:szCs w:val="18"/>
                <w:color w:val="auto"/>
                <w:w w:val="88"/>
              </w:rPr>
              <w:t>12.20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326,300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102,100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1.5</w:t>
            </w:r>
          </w:p>
        </w:tc>
      </w:tr>
      <w:tr>
        <w:trPr>
          <w:trHeight w:val="27"/>
        </w:trPr>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30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$4.60 –</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2"/>
        </w:trPr>
        <w:tc>
          <w:tcPr>
            <w:tcW w:w="2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167,800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Deferred Shares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6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based awards—Employee awards generally vest in four or five year equal annual installments beginning one year after the grant date. Director awards cliff vest on the earlier of three years or upon retirement from the Board.</w:t>
      </w:r>
    </w:p>
    <w:p>
      <w:pPr>
        <w:spacing w:after="0" w:line="116" w:lineRule="exact"/>
        <w:rPr>
          <w:rFonts w:ascii="Arial" w:cs="Arial" w:eastAsia="Arial" w:hAnsi="Arial"/>
          <w:sz w:val="18"/>
          <w:szCs w:val="18"/>
          <w:color w:val="auto"/>
        </w:rPr>
      </w:pPr>
    </w:p>
    <w:p>
      <w:pPr>
        <w:ind w:left="640" w:right="360" w:hanging="321"/>
        <w:spacing w:after="0" w:line="302"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 based awards—These awards are in the form of perfomance units which vest 3 years after the grant date only if the Company’s common stock achieves certain levels when compared to the total shareholder return of a peer group of companies as selected by the Compensation Committee of the Board of Directors. The payout is pro-rated and can range from zero to 200% of the original award. These awards are settled entirely in stock. As of June 30, 2013, there are approximately 228,000 performance units that are scheduled to vest in fiscal 2016.</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awards vest upon the death or disability of the participant or upon a change of control of the Company.</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grant date fair value of the time based awards is determined by the market value of the Company's common stock on the grant date. The grant date fair value of the market based awards is calculated using a Monte Carlo model. For the fiscal 2013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over the performance period.</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deferred share activity for the twelve months ended June 30, 2013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Weighted Average Grant</w:t>
            </w:r>
          </w:p>
        </w:tc>
      </w:tr>
      <w:tr>
        <w:trPr>
          <w:trHeight w:val="210"/>
        </w:trPr>
        <w:tc>
          <w:tcPr>
            <w:tcW w:w="7220" w:type="dxa"/>
            <w:vAlign w:val="bottom"/>
          </w:tcPr>
          <w:p>
            <w:pPr>
              <w:spacing w:after="0"/>
              <w:rPr>
                <w:sz w:val="18"/>
                <w:szCs w:val="18"/>
                <w:color w:val="auto"/>
              </w:rPr>
            </w:pPr>
          </w:p>
        </w:tc>
        <w:tc>
          <w:tcPr>
            <w:tcW w:w="2020" w:type="dxa"/>
            <w:vAlign w:val="bottom"/>
          </w:tcPr>
          <w:p>
            <w:pPr>
              <w:jc w:val="right"/>
              <w:ind w:right="6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2012</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970,994</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granted</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503,268</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10.96</w:t>
            </w:r>
          </w:p>
        </w:tc>
      </w:tr>
      <w:tr>
        <w:trPr>
          <w:trHeight w:val="27"/>
        </w:trPr>
        <w:tc>
          <w:tcPr>
            <w:tcW w:w="7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released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(367,449)</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cancelled</w:t>
            </w:r>
          </w:p>
        </w:tc>
        <w:tc>
          <w:tcPr>
            <w:tcW w:w="2020" w:type="dxa"/>
            <w:vAlign w:val="bottom"/>
          </w:tcPr>
          <w:p>
            <w:pPr>
              <w:jc w:val="right"/>
              <w:spacing w:after="0"/>
              <w:rPr>
                <w:sz w:val="20"/>
                <w:szCs w:val="20"/>
                <w:color w:val="auto"/>
              </w:rPr>
            </w:pPr>
            <w:r>
              <w:rPr>
                <w:rFonts w:ascii="Arial" w:cs="Arial" w:eastAsia="Arial" w:hAnsi="Arial"/>
                <w:sz w:val="18"/>
                <w:szCs w:val="18"/>
                <w:color w:val="auto"/>
              </w:rPr>
              <w:t>(76,153)</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2013</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1,030,660</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0"/>
        </w:trPr>
        <w:tc>
          <w:tcPr>
            <w:tcW w:w="7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There were 364,600 and 405,500 deferred shares granted in fiscal 2012 and 2011 with average grant date fair values of $9.99 and $10.57, respectively. There were 367,449, 184,149 and 126,428 deferred shares that vested and were released in fiscal 2013, 2012 and 2011 with weighted average fair values of $10.69, $10.23 and $9.52 per share,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Common Share</w:t>
      </w:r>
    </w:p>
    <w:p>
      <w:pPr>
        <w:spacing w:after="0" w:line="17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or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computation of basic and diluted EPS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12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24,008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shares outstanding—basic</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25,962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c>
          <w:tcPr>
            <w:tcW w:w="158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June 30,</w:t>
            </w:r>
          </w:p>
        </w:tc>
        <w:tc>
          <w:tcPr>
            <w:tcW w:w="15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5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2011</w:t>
            </w:r>
          </w:p>
        </w:tc>
      </w:tr>
      <w:tr>
        <w:trPr>
          <w:trHeight w:val="250"/>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Borders>
              <w:top w:val="single" w:sz="8" w:color="auto"/>
            </w:tcBorders>
          </w:tcPr>
          <w:p>
            <w:pPr>
              <w:spacing w:after="0"/>
              <w:rPr>
                <w:sz w:val="21"/>
                <w:szCs w:val="21"/>
                <w:color w:val="auto"/>
              </w:rPr>
            </w:pPr>
          </w:p>
        </w:tc>
      </w:tr>
      <w:tr>
        <w:trPr>
          <w:trHeight w:val="25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Nonvested deferred shares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13</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matching contributions were $3.4 million, $3.3 million and $3.0 million for the twelve months ended June 30, 2013, 2012, and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contributes to various union sponsored multiemployer benefit plans in the U.S. and Canada. Benefits under these plans are generally based on compensation levels and years of service.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Company, the financial risks of participating in multiemployer plans are different from single-employer plans in the following respects:</w:t>
      </w:r>
    </w:p>
    <w:p>
      <w:pPr>
        <w:spacing w:after="0" w:line="183"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82" w:lineRule="exact"/>
        <w:rPr>
          <w:rFonts w:ascii="Arial" w:cs="Arial" w:eastAsia="Arial" w:hAnsi="Arial"/>
          <w:sz w:val="17"/>
          <w:szCs w:val="17"/>
          <w:color w:val="auto"/>
        </w:rPr>
      </w:pPr>
    </w:p>
    <w:p>
      <w:pPr>
        <w:ind w:left="640" w:right="28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right="6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16"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September 2011, the FASB issued ASU 2011-9, requiring employers to provide additional quantitative and qualitative disclosures for multiemployer plans. Our participation in significant plans for the fiscal year ended June 30, 2013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6"/>
              </w:rPr>
              <w:t>Pension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FIP/RP</w:t>
            </w: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Date of</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vMerge w:val="restart"/>
          </w:tcPr>
          <w:p>
            <w:pPr>
              <w:jc w:val="center"/>
              <w:ind w:right="240"/>
              <w:spacing w:after="0"/>
              <w:rPr>
                <w:sz w:val="20"/>
                <w:szCs w:val="20"/>
                <w:color w:val="auto"/>
              </w:rPr>
            </w:pPr>
            <w:r>
              <w:rPr>
                <w:rFonts w:ascii="Arial" w:cs="Arial" w:eastAsia="Arial" w:hAnsi="Arial"/>
                <w:sz w:val="16"/>
                <w:szCs w:val="16"/>
                <w:b w:val="1"/>
                <w:bCs w:val="1"/>
                <w:color w:val="auto"/>
                <w:w w:val="91"/>
              </w:rPr>
              <w:t>Protection Act</w:t>
            </w: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gridSpan w:val="6"/>
            <w:vMerge w:val="restart"/>
          </w:tcPr>
          <w:p>
            <w:pPr>
              <w:jc w:val="center"/>
              <w:ind w:left="339"/>
              <w:spacing w:after="0"/>
              <w:rPr>
                <w:sz w:val="20"/>
                <w:szCs w:val="20"/>
                <w:color w:val="auto"/>
              </w:rPr>
            </w:pPr>
            <w:r>
              <w:rPr>
                <w:rFonts w:ascii="Arial" w:cs="Arial" w:eastAsia="Arial" w:hAnsi="Arial"/>
                <w:sz w:val="16"/>
                <w:szCs w:val="16"/>
                <w:b w:val="1"/>
                <w:bCs w:val="1"/>
                <w:color w:val="auto"/>
                <w:w w:val="93"/>
              </w:rPr>
              <w:t>Company Contributions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Status</w:t>
            </w:r>
          </w:p>
        </w:tc>
        <w:tc>
          <w:tcPr>
            <w:tcW w:w="200" w:type="dxa"/>
            <w:vAlign w:val="bottom"/>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Collective-</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9"/>
              </w:rPr>
              <w:t>Zone Status</w:t>
            </w: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2"/>
              </w:rPr>
              <w:t>Fiscal Year</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EIN/Pension</w:t>
            </w:r>
          </w:p>
        </w:tc>
        <w:tc>
          <w:tcPr>
            <w:tcW w:w="1720" w:type="dxa"/>
            <w:vAlign w:val="bottom"/>
            <w:gridSpan w:val="5"/>
            <w:vMerge w:val="continue"/>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Pending or</w:t>
            </w: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Surcharge</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Bargaining</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Pension Fund</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Plan Number</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Implemented</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9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Imposed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(In thousands)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Joint Pension Fund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Local Union 164</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500" w:type="dxa"/>
            <w:vAlign w:val="bottom"/>
            <w:gridSpan w:val="2"/>
            <w:shd w:val="clear" w:color="auto" w:fill="CCEEFF"/>
          </w:tcPr>
          <w:p>
            <w:pPr>
              <w:jc w:val="center"/>
              <w:ind w:right="120"/>
              <w:spacing w:after="0" w:line="239" w:lineRule="exact"/>
              <w:rPr>
                <w:sz w:val="20"/>
                <w:szCs w:val="20"/>
                <w:color w:val="auto"/>
              </w:rPr>
            </w:pPr>
            <w:r>
              <w:rPr>
                <w:rFonts w:ascii="Arial" w:cs="Arial" w:eastAsia="Arial" w:hAnsi="Arial"/>
                <w:sz w:val="16"/>
                <w:szCs w:val="16"/>
                <w:color w:val="auto"/>
                <w:w w:val="92"/>
              </w:rPr>
              <w:t xml:space="preserve">IBEW </w:t>
            </w:r>
            <w:r>
              <w:rPr>
                <w:rFonts w:ascii="Arial" w:cs="Arial" w:eastAsia="Arial" w:hAnsi="Arial"/>
                <w:sz w:val="21"/>
                <w:szCs w:val="21"/>
                <w:color w:val="auto"/>
                <w:w w:val="92"/>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22-6031199/001</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Yellow</w:t>
            </w:r>
          </w:p>
        </w:tc>
        <w:tc>
          <w:tcPr>
            <w:tcW w:w="92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7"/>
              </w:rPr>
              <w:t>Yellow</w:t>
            </w:r>
          </w:p>
        </w:tc>
        <w:tc>
          <w:tcPr>
            <w:tcW w:w="12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5/31/2014</w:t>
            </w:r>
          </w:p>
        </w:tc>
        <w:tc>
          <w:tcPr>
            <w:tcW w:w="0" w:type="dxa"/>
            <w:vAlign w:val="bottom"/>
          </w:tcPr>
          <w:p>
            <w:pPr>
              <w:spacing w:after="0"/>
              <w:rPr>
                <w:sz w:val="1"/>
                <w:szCs w:val="1"/>
                <w:color w:val="auto"/>
              </w:rPr>
            </w:pPr>
          </w:p>
        </w:tc>
      </w:tr>
      <w:tr>
        <w:trPr>
          <w:trHeight w:val="22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Boilermaker-</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Blacksmith</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National Pension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Described</w:t>
            </w:r>
          </w:p>
        </w:tc>
        <w:tc>
          <w:tcPr>
            <w:tcW w:w="0" w:type="dxa"/>
            <w:vAlign w:val="bottom"/>
          </w:tcPr>
          <w:p>
            <w:pPr>
              <w:spacing w:after="0"/>
              <w:rPr>
                <w:sz w:val="1"/>
                <w:szCs w:val="1"/>
                <w:color w:val="auto"/>
              </w:rPr>
            </w:pPr>
          </w:p>
        </w:tc>
      </w:tr>
      <w:tr>
        <w:trPr>
          <w:trHeight w:val="239"/>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Trust</w:t>
            </w:r>
          </w:p>
        </w:tc>
        <w:tc>
          <w:tcPr>
            <w:tcW w:w="1500" w:type="dxa"/>
            <w:vAlign w:val="bottom"/>
          </w:tcPr>
          <w:p>
            <w:pPr>
              <w:jc w:val="right"/>
              <w:spacing w:after="0"/>
              <w:rPr>
                <w:sz w:val="20"/>
                <w:szCs w:val="20"/>
                <w:color w:val="auto"/>
              </w:rPr>
            </w:pPr>
            <w:r>
              <w:rPr>
                <w:rFonts w:ascii="Arial" w:cs="Arial" w:eastAsia="Arial" w:hAnsi="Arial"/>
                <w:sz w:val="16"/>
                <w:szCs w:val="16"/>
                <w:color w:val="auto"/>
              </w:rPr>
              <w:t>48-6168020/001</w:t>
            </w:r>
          </w:p>
        </w:tc>
        <w:tc>
          <w:tcPr>
            <w:tcW w:w="12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Yellow</w:t>
            </w:r>
          </w:p>
        </w:tc>
        <w:tc>
          <w:tcPr>
            <w:tcW w:w="920" w:type="dxa"/>
            <w:vAlign w:val="bottom"/>
            <w:gridSpan w:val="3"/>
          </w:tcPr>
          <w:p>
            <w:pPr>
              <w:jc w:val="center"/>
              <w:ind w:right="220"/>
              <w:spacing w:after="0"/>
              <w:rPr>
                <w:sz w:val="20"/>
                <w:szCs w:val="20"/>
                <w:color w:val="auto"/>
              </w:rPr>
            </w:pPr>
            <w:r>
              <w:rPr>
                <w:rFonts w:ascii="Arial" w:cs="Arial" w:eastAsia="Arial" w:hAnsi="Arial"/>
                <w:sz w:val="16"/>
                <w:szCs w:val="16"/>
                <w:color w:val="auto"/>
                <w:w w:val="97"/>
              </w:rPr>
              <w:t>Yellow</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3,783</w:t>
            </w: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tcPr>
          <w:p>
            <w:pPr>
              <w:jc w:val="center"/>
              <w:spacing w:after="0" w:line="239" w:lineRule="exact"/>
              <w:rPr>
                <w:sz w:val="20"/>
                <w:szCs w:val="20"/>
                <w:color w:val="auto"/>
              </w:rPr>
            </w:pPr>
            <w:r>
              <w:rPr>
                <w:rFonts w:ascii="Arial" w:cs="Arial" w:eastAsia="Arial" w:hAnsi="Arial"/>
                <w:sz w:val="16"/>
                <w:szCs w:val="16"/>
                <w:color w:val="auto"/>
                <w:w w:val="88"/>
              </w:rPr>
              <w:t xml:space="preserve">below </w:t>
            </w:r>
            <w:r>
              <w:rPr>
                <w:rFonts w:ascii="Arial" w:cs="Arial" w:eastAsia="Arial" w:hAnsi="Arial"/>
                <w:sz w:val="21"/>
                <w:szCs w:val="21"/>
                <w:color w:val="auto"/>
                <w:w w:val="88"/>
                <w:vertAlign w:val="superscript"/>
              </w:rPr>
              <w:t>(2)</w:t>
            </w:r>
          </w:p>
        </w:tc>
        <w:tc>
          <w:tcPr>
            <w:tcW w:w="0" w:type="dxa"/>
            <w:vAlign w:val="bottom"/>
          </w:tcPr>
          <w:p>
            <w:pPr>
              <w:spacing w:after="0"/>
              <w:rPr>
                <w:sz w:val="1"/>
                <w:szCs w:val="1"/>
                <w:color w:val="auto"/>
              </w:rPr>
            </w:pPr>
          </w:p>
        </w:tc>
      </w:tr>
      <w:tr>
        <w:trPr>
          <w:trHeight w:val="220"/>
        </w:trPr>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Joint Pension Fund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of Local Union No</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22-1615726/001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Green</w:t>
            </w:r>
          </w:p>
        </w:tc>
        <w:tc>
          <w:tcPr>
            <w:tcW w:w="92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85"/>
              </w:rPr>
              <w:t>Green</w:t>
            </w:r>
          </w:p>
        </w:tc>
        <w:tc>
          <w:tcPr>
            <w:tcW w:w="12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5/31/2014</w:t>
            </w:r>
          </w:p>
        </w:tc>
        <w:tc>
          <w:tcPr>
            <w:tcW w:w="0" w:type="dxa"/>
            <w:vAlign w:val="bottom"/>
          </w:tcPr>
          <w:p>
            <w:pPr>
              <w:spacing w:after="0"/>
              <w:rPr>
                <w:sz w:val="1"/>
                <w:szCs w:val="1"/>
                <w:color w:val="auto"/>
              </w:rPr>
            </w:pPr>
          </w:p>
        </w:tc>
      </w:tr>
      <w:tr>
        <w:trPr>
          <w:trHeight w:val="22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IBEW Local 456</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Pension Plan</w:t>
            </w:r>
          </w:p>
        </w:tc>
        <w:tc>
          <w:tcPr>
            <w:tcW w:w="1500" w:type="dxa"/>
            <w:vAlign w:val="bottom"/>
          </w:tcPr>
          <w:p>
            <w:pPr>
              <w:jc w:val="right"/>
              <w:spacing w:after="0"/>
              <w:rPr>
                <w:sz w:val="20"/>
                <w:szCs w:val="20"/>
                <w:color w:val="auto"/>
              </w:rPr>
            </w:pPr>
            <w:r>
              <w:rPr>
                <w:rFonts w:ascii="Arial" w:cs="Arial" w:eastAsia="Arial" w:hAnsi="Arial"/>
                <w:sz w:val="16"/>
                <w:szCs w:val="16"/>
                <w:color w:val="auto"/>
              </w:rPr>
              <w:t>22-6238995/001</w:t>
            </w:r>
          </w:p>
        </w:tc>
        <w:tc>
          <w:tcPr>
            <w:tcW w:w="12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Yellow</w:t>
            </w:r>
          </w:p>
        </w:tc>
        <w:tc>
          <w:tcPr>
            <w:tcW w:w="920" w:type="dxa"/>
            <w:vAlign w:val="bottom"/>
            <w:gridSpan w:val="3"/>
          </w:tcPr>
          <w:p>
            <w:pPr>
              <w:jc w:val="center"/>
              <w:ind w:right="220"/>
              <w:spacing w:after="0"/>
              <w:rPr>
                <w:sz w:val="20"/>
                <w:szCs w:val="20"/>
                <w:color w:val="auto"/>
              </w:rPr>
            </w:pPr>
            <w:r>
              <w:rPr>
                <w:rFonts w:ascii="Arial" w:cs="Arial" w:eastAsia="Arial" w:hAnsi="Arial"/>
                <w:sz w:val="16"/>
                <w:szCs w:val="16"/>
                <w:color w:val="auto"/>
                <w:w w:val="97"/>
              </w:rPr>
              <w:t>Yellow</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11/30/2013</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Local 351 IBEW</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Pension 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22-3417366/001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Yellow</w:t>
            </w:r>
          </w:p>
        </w:tc>
        <w:tc>
          <w:tcPr>
            <w:tcW w:w="92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7"/>
              </w:rPr>
              <w:t>Yellow</w:t>
            </w:r>
          </w:p>
        </w:tc>
        <w:tc>
          <w:tcPr>
            <w:tcW w:w="12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9/30/2013</w:t>
            </w:r>
          </w:p>
        </w:tc>
        <w:tc>
          <w:tcPr>
            <w:tcW w:w="0" w:type="dxa"/>
            <w:vAlign w:val="bottom"/>
          </w:tcPr>
          <w:p>
            <w:pPr>
              <w:spacing w:after="0"/>
              <w:rPr>
                <w:sz w:val="1"/>
                <w:szCs w:val="1"/>
                <w:color w:val="auto"/>
              </w:rPr>
            </w:pPr>
          </w:p>
        </w:tc>
      </w:tr>
      <w:tr>
        <w:trPr>
          <w:trHeight w:val="22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Steamfitters Local</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Union No 420</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Pension Plan</w:t>
            </w:r>
          </w:p>
        </w:tc>
        <w:tc>
          <w:tcPr>
            <w:tcW w:w="1500" w:type="dxa"/>
            <w:vAlign w:val="bottom"/>
          </w:tcPr>
          <w:p>
            <w:pPr>
              <w:jc w:val="right"/>
              <w:spacing w:after="0"/>
              <w:rPr>
                <w:sz w:val="20"/>
                <w:szCs w:val="20"/>
                <w:color w:val="auto"/>
              </w:rPr>
            </w:pPr>
            <w:r>
              <w:rPr>
                <w:rFonts w:ascii="Arial" w:cs="Arial" w:eastAsia="Arial" w:hAnsi="Arial"/>
                <w:sz w:val="16"/>
                <w:szCs w:val="16"/>
                <w:color w:val="auto"/>
              </w:rPr>
              <w:t>23-2004424/001</w:t>
            </w:r>
          </w:p>
        </w:tc>
        <w:tc>
          <w:tcPr>
            <w:tcW w:w="12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Red</w:t>
            </w:r>
          </w:p>
        </w:tc>
        <w:tc>
          <w:tcPr>
            <w:tcW w:w="92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Red</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2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No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4/30/2014</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Contributions to other multiemployer plans</w:t>
            </w: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5"/>
          </w:tcPr>
          <w:p>
            <w:pPr>
              <w:ind w:left="20"/>
              <w:spacing w:after="0"/>
              <w:rPr>
                <w:sz w:val="20"/>
                <w:szCs w:val="20"/>
                <w:color w:val="auto"/>
              </w:rPr>
            </w:pPr>
            <w:r>
              <w:rPr>
                <w:rFonts w:ascii="Arial" w:cs="Arial" w:eastAsia="Arial" w:hAnsi="Arial"/>
                <w:sz w:val="16"/>
                <w:szCs w:val="16"/>
                <w:color w:val="auto"/>
                <w:w w:val="95"/>
              </w:rPr>
              <w:t>Total contributions made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16,537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20,803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contributions for the Joint Pension Fund Local Union 164 IBEW exceeded 5% of total contributions for the 2011 plan year. This information was not available for 2012.</w:t>
      </w:r>
    </w:p>
    <w:p>
      <w:pPr>
        <w:spacing w:after="0" w:line="13" w:lineRule="exact"/>
        <w:rPr>
          <w:rFonts w:ascii="Arial" w:cs="Arial" w:eastAsia="Arial" w:hAnsi="Arial"/>
          <w:sz w:val="14"/>
          <w:szCs w:val="14"/>
          <w:color w:val="auto"/>
        </w:rPr>
      </w:pPr>
    </w:p>
    <w:p>
      <w:pPr>
        <w:ind w:left="460" w:right="520" w:hanging="330"/>
        <w:spacing w:after="0" w:line="255"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collective bargaining agreements with the Boilermaker-Blacksmith National Pension Trust are under a National Maintenance Agreement platform which is evergreen in terms of expiration. However, the agreements allow for termination of the collective bargaining agreement by either party with a predetermined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660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4,452 shares were issued in fiscal 2013, 4,395 shares in fiscal 2012, and 699 shares in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33" w:lineRule="exact"/>
        <w:rPr>
          <w:sz w:val="20"/>
          <w:szCs w:val="20"/>
          <w:color w:val="auto"/>
        </w:rPr>
      </w:pPr>
    </w:p>
    <w:p>
      <w:pPr>
        <w:ind w:right="540" w:firstLine="432"/>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93"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LNG, LIN/LOX, and LPG tanks and other specialty vessels including spheres. Finally, the Storage Solutions segment includes balance of plant work in storage terminals and tank farms.</w:t>
      </w:r>
    </w:p>
    <w:p>
      <w:pPr>
        <w:spacing w:after="0" w:line="9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fertilizer production facilities, as well as work for clients in other industrial markets.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recognized.</w:t>
      </w:r>
    </w:p>
    <w:p>
      <w:pPr>
        <w:spacing w:after="0" w:line="14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and goodwill.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June 30,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171,204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273,979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395,794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895,298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273,848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409,978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Twelve months ended June 30, 2012</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741,588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739,046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79,618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323,135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June 30, 2011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151,065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143,753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299,762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628,514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151,058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143,354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627,052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306,436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675"/>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50"/>
        </w:trPr>
        <w:tc>
          <w:tcPr>
            <w:tcW w:w="6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814,879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674,496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596,756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77,695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64,550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30,296</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892,574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739,046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627,052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Long-Lived Assets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101,581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85,290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12,378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6,693</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91,422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90,005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Significant Customers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fiscal 2013, one customer accounted for 10.7% of our consolidated revenue and 24.3% of our Storage Solutions revenue and an additional customer accounted for 10.6% of our Storage Solutions revenue. Four other customers accounted for 24.9%, 19.6%, 12.6% and 11.1% of our Electrical Infrastructure revenue, respectively. An additional three customers accounted for 20.7%, 16.1% and 10.0% of our Oil Gas &amp; Chemical revenue, respectively. Three more customers accounted for 23.3%, 20.5% and 16.4% of our Industrial revenue, respectively.</w:t>
      </w:r>
    </w:p>
    <w:p>
      <w:pPr>
        <w:spacing w:after="0" w:line="13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fiscal 2012, one customer accounted for 11.0% of our consolidated revenue and 35.1% of our Oil Gas &amp; Chemical revenue and an additional customer accounted for 16.2% of our Oil Gas &amp; Chemical revenue. Another customer accounted for 10.7% of our consolidated revenue and 20.9% of our Storage Solutions revenue. Three other customers accounted for 18.6%, 11.8% and 11.2% of our Electrical Infrastructure revenue, respectively. An additional four customers accounted for 25.7%, 18.1%, 15.3% and 12.2% of our Industrial revenue, respectively.</w:t>
      </w:r>
    </w:p>
    <w:p>
      <w:pPr>
        <w:spacing w:after="0" w:line="117" w:lineRule="exact"/>
        <w:rPr>
          <w:sz w:val="20"/>
          <w:szCs w:val="20"/>
          <w:color w:val="auto"/>
        </w:rPr>
      </w:pPr>
    </w:p>
    <w:p>
      <w:pPr>
        <w:ind w:right="560" w:firstLine="432"/>
        <w:spacing w:after="0" w:line="259" w:lineRule="auto"/>
        <w:rPr>
          <w:sz w:val="20"/>
          <w:szCs w:val="20"/>
          <w:color w:val="auto"/>
        </w:rPr>
      </w:pPr>
      <w:r>
        <w:rPr>
          <w:rFonts w:ascii="Arial" w:cs="Arial" w:eastAsia="Arial" w:hAnsi="Arial"/>
          <w:sz w:val="18"/>
          <w:szCs w:val="18"/>
          <w:color w:val="auto"/>
        </w:rPr>
        <w:t>In fiscal 2011, three customers accounted for 34.9%, 20.3% and 11.5% of our Electrical Infrastructure revenue, respectively. Another customer accounted for 38.4% of our Oil Gas &amp; Chemical revenue. An additional four customers accounted for 13.2%, 13.1%, 12.3% and 11.4% of our Storage Solutions revenue, respectively. Three other customers accounted for 31.9%, 21.8% and 16.7% of our Industrial revenue, respectively. No customers accounted for greater than 10% of our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June 30, 2013 and June 30, 2012</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320" w:type="dxa"/>
            <w:vAlign w:val="bottom"/>
          </w:tcPr>
          <w:p>
            <w:pPr>
              <w:jc w:val="right"/>
              <w:ind w:right="454"/>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4"/>
                <w:szCs w:val="14"/>
                <w:color w:val="auto"/>
              </w:rPr>
            </w:pPr>
          </w:p>
        </w:tc>
        <w:tc>
          <w:tcPr>
            <w:tcW w:w="1200" w:type="dxa"/>
            <w:vAlign w:val="bottom"/>
          </w:tcPr>
          <w:p>
            <w:pPr>
              <w:jc w:val="right"/>
              <w:ind w:right="493"/>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20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(a)</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(b)</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2013</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209,608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221,436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225,970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235,560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22,244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22,333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23,126</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7,924</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8,772</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8,431</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11,587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4,684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0.25</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0.21</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169,321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200,964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183,899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184,862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18,093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23,098</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19,771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6,610</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11,200</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7,415</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6,410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3,509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0.27</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0.27</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0.07</w:t>
            </w:r>
          </w:p>
        </w:tc>
      </w:tr>
    </w:tbl>
    <w:p>
      <w:pPr>
        <w:spacing w:after="0" w:line="319"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second quarter of fiscal 2013 includes a pretax charge on a Canadian project of $3.3 million.</w:t>
      </w:r>
    </w:p>
    <w:p>
      <w:pPr>
        <w:spacing w:after="0" w:line="13" w:lineRule="exact"/>
        <w:rPr>
          <w:rFonts w:ascii="Arial" w:cs="Arial" w:eastAsia="Arial" w:hAnsi="Arial"/>
          <w:sz w:val="14"/>
          <w:szCs w:val="14"/>
          <w:color w:val="auto"/>
        </w:rPr>
      </w:pPr>
    </w:p>
    <w:p>
      <w:pPr>
        <w:ind w:left="540" w:right="440" w:hanging="316"/>
        <w:spacing w:after="0" w:line="293" w:lineRule="auto"/>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fourth quarter of fiscal 2013 includes a pretax charge on a Canadian project of $0.6 million. The fourth quarter of fiscal 2012 included an income tax charge of $3.1 million. The income tax charge represents adjustments of $2.1 million for prior fiscal years and $1.0 million in fiscal 2012, of which $0.2 million related to fourth quarter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660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A detailed discussion of the Canadian project charges are included in Note 3 of the Notes to Consolidated Financial Statements included in Part II, Item 8 of this Report on Form 10-K.</w:t>
      </w:r>
    </w:p>
    <w:p>
      <w:pPr>
        <w:spacing w:after="0" w:line="16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June 30, 2012, and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9"/>
              </w:rPr>
              <w:t>COL. C</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1620"/>
              <w:spacing w:after="0"/>
              <w:rPr>
                <w:sz w:val="20"/>
                <w:szCs w:val="20"/>
                <w:color w:val="auto"/>
              </w:rPr>
            </w:pPr>
            <w:r>
              <w:rPr>
                <w:rFonts w:ascii="Arial" w:cs="Arial" w:eastAsia="Arial" w:hAnsi="Arial"/>
                <w:sz w:val="16"/>
                <w:szCs w:val="16"/>
                <w:b w:val="1"/>
                <w:bCs w:val="1"/>
                <w:color w:val="auto"/>
              </w:rPr>
              <w:t>COL. A</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COL. B</w:t>
            </w:r>
          </w:p>
        </w:tc>
        <w:tc>
          <w:tcPr>
            <w:tcW w:w="180" w:type="dxa"/>
            <w:vAlign w:val="bottom"/>
          </w:tcPr>
          <w:p>
            <w:pPr>
              <w:spacing w:after="0"/>
              <w:rPr>
                <w:sz w:val="18"/>
                <w:szCs w:val="18"/>
                <w:color w:val="auto"/>
              </w:rPr>
            </w:pPr>
          </w:p>
        </w:tc>
        <w:tc>
          <w:tcPr>
            <w:tcW w:w="1720" w:type="dxa"/>
            <w:vAlign w:val="bottom"/>
            <w:gridSpan w:val="3"/>
          </w:tcPr>
          <w:p>
            <w:pPr>
              <w:jc w:val="center"/>
              <w:ind w:left="715"/>
              <w:spacing w:after="0"/>
              <w:rPr>
                <w:sz w:val="20"/>
                <w:szCs w:val="20"/>
                <w:color w:val="auto"/>
              </w:rPr>
            </w:pPr>
            <w:r>
              <w:rPr>
                <w:rFonts w:ascii="Arial" w:cs="Arial" w:eastAsia="Arial" w:hAnsi="Arial"/>
                <w:sz w:val="16"/>
                <w:szCs w:val="16"/>
                <w:b w:val="1"/>
                <w:bCs w:val="1"/>
                <w:color w:val="auto"/>
              </w:rPr>
              <w:t>ADDITIONS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9"/>
              </w:rPr>
              <w:t>COL. D</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rPr>
              <w:t>COL. E</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659"/>
              <w:spacing w:after="0"/>
              <w:rPr>
                <w:sz w:val="20"/>
                <w:szCs w:val="20"/>
                <w:color w:val="auto"/>
              </w:rPr>
            </w:pPr>
            <w:r>
              <w:rPr>
                <w:rFonts w:ascii="Arial" w:cs="Arial" w:eastAsia="Arial" w:hAnsi="Arial"/>
                <w:sz w:val="14"/>
                <w:szCs w:val="14"/>
                <w:b w:val="1"/>
                <w:bCs w:val="1"/>
                <w:color w:val="auto"/>
                <w:w w:val="94"/>
              </w:rPr>
              <w:t>Charged to</w:t>
            </w: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5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Deductions—</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520" w:type="dxa"/>
            <w:vAlign w:val="bottom"/>
            <w:gridSpan w:val="2"/>
          </w:tcPr>
          <w:p>
            <w:pPr>
              <w:jc w:val="center"/>
              <w:ind w:right="639"/>
              <w:spacing w:after="0" w:line="149" w:lineRule="exact"/>
              <w:rPr>
                <w:sz w:val="20"/>
                <w:szCs w:val="20"/>
                <w:color w:val="auto"/>
              </w:rPr>
            </w:pPr>
            <w:r>
              <w:rPr>
                <w:rFonts w:ascii="Arial" w:cs="Arial" w:eastAsia="Arial" w:hAnsi="Arial"/>
                <w:sz w:val="14"/>
                <w:szCs w:val="14"/>
                <w:b w:val="1"/>
                <w:bCs w:val="1"/>
                <w:color w:val="auto"/>
                <w:w w:val="88"/>
              </w:rPr>
              <w:t>Costs and</w:t>
            </w: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Accounts—</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520" w:type="dxa"/>
            <w:vAlign w:val="bottom"/>
            <w:gridSpan w:val="2"/>
          </w:tcPr>
          <w:p>
            <w:pPr>
              <w:jc w:val="center"/>
              <w:ind w:right="639"/>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Describe</w:t>
            </w:r>
          </w:p>
        </w:tc>
        <w:tc>
          <w:tcPr>
            <w:tcW w:w="140" w:type="dxa"/>
            <w:vAlign w:val="bottom"/>
          </w:tcPr>
          <w:p>
            <w:pPr>
              <w:spacing w:after="0"/>
              <w:rPr>
                <w:sz w:val="16"/>
                <w:szCs w:val="16"/>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Describe</w:t>
            </w:r>
          </w:p>
        </w:tc>
        <w:tc>
          <w:tcPr>
            <w:tcW w:w="180" w:type="dxa"/>
            <w:vAlign w:val="bottom"/>
          </w:tcPr>
          <w:p>
            <w:pPr>
              <w:spacing w:after="0"/>
              <w:rPr>
                <w:sz w:val="16"/>
                <w:szCs w:val="16"/>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725</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(666)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(465) (B)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w:t>
            </w: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Fiscal Year 2012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(250) (A)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(544) (C)</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9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Fiscal Year 2011</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Collection of a fully reserved receivable recognized as revenue.</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Receivables written off against allowance for doubtful accounts.</w:t>
      </w:r>
    </w:p>
    <w:p>
      <w:pPr>
        <w:spacing w:after="0" w:line="1" w:lineRule="exact"/>
        <w:rPr>
          <w:rFonts w:ascii="Arial" w:cs="Arial" w:eastAsia="Arial" w:hAnsi="Arial"/>
          <w:sz w:val="14"/>
          <w:szCs w:val="14"/>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Release of the valuation allowance on foreign tax credit carryovers which have now been determined to be utilizable.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660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2013. Based on the foregoing, our Chief Executive Officer and Chief Financial Officer concluded that our disclosure controls and procedures were effective at the reasonable assurance level at June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There have been no changes during the fourth fiscal quarter that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2013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and “Executive Officer Compensation”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“Proposal Number 1: Election of Directors” and “Certain Relationships and Related Transactions”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 of the Company</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180" w:type="dxa"/>
            <w:vAlign w:val="bottom"/>
            <w:gridSpan w:val="12"/>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Reports of Independent Registered Public Accounting Firm (Deloitte &amp; Touche LLP)</w:t>
              </w:r>
            </w:hyperlink>
          </w:p>
        </w:tc>
        <w:tc>
          <w:tcPr>
            <w:tcW w:w="180" w:type="dxa"/>
            <w:vAlign w:val="bottom"/>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5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Consolidated Statements of Income for the Years Ended June 30, 2013, June 30, 2012 and June 30, 2011</w:t>
              </w:r>
            </w:hyperlink>
          </w:p>
        </w:tc>
        <w:tc>
          <w:tcPr>
            <w:tcW w:w="326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372"/>
        </w:trPr>
        <w:tc>
          <w:tcPr>
            <w:tcW w:w="340" w:type="dxa"/>
            <w:vAlign w:val="bottom"/>
          </w:tcPr>
          <w:p>
            <w:pPr>
              <w:spacing w:after="0"/>
              <w:rPr>
                <w:sz w:val="24"/>
                <w:szCs w:val="24"/>
                <w:color w:val="auto"/>
              </w:rPr>
            </w:pPr>
          </w:p>
        </w:tc>
        <w:tc>
          <w:tcPr>
            <w:tcW w:w="87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Consolidated Statements of Comprehensive Income for the Years Ended June 30, 2013, June 30, 2012 and June 30, 2011</w:t>
              </w:r>
            </w:hyperlink>
          </w:p>
        </w:tc>
        <w:tc>
          <w:tcPr>
            <w:tcW w:w="20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372"/>
        </w:trPr>
        <w:tc>
          <w:tcPr>
            <w:tcW w:w="340" w:type="dxa"/>
            <w:vAlign w:val="bottom"/>
          </w:tcPr>
          <w:p>
            <w:pPr>
              <w:spacing w:after="0"/>
              <w:rPr>
                <w:sz w:val="24"/>
                <w:szCs w:val="24"/>
                <w:color w:val="auto"/>
              </w:rPr>
            </w:pPr>
          </w:p>
        </w:tc>
        <w:tc>
          <w:tcPr>
            <w:tcW w:w="49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Consolidated Balance Sheets as of June 30, 2013 and June 30, 2012</w:t>
              </w:r>
            </w:hyperlink>
          </w:p>
        </w:tc>
        <w:tc>
          <w:tcPr>
            <w:tcW w:w="594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Cash Flows for the Years Ended June 30, 2013, June 30, 2012 and June 30, 2011</w:t>
              </w:r>
            </w:hyperlink>
          </w:p>
        </w:tc>
        <w:tc>
          <w:tcPr>
            <w:tcW w:w="180" w:type="dxa"/>
            <w:vAlign w:val="bottom"/>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0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Consolidated Statements of Changes in Stockholders’ Equity for the Years Ended June 30, 2013, June 30, 2012 and June 30,</w:t>
              </w:r>
            </w:hyperlink>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43">
              <w:r>
                <w:rPr>
                  <w:rFonts w:ascii="Arial" w:cs="Arial" w:eastAsia="Arial" w:hAnsi="Arial"/>
                  <w:sz w:val="18"/>
                  <w:szCs w:val="18"/>
                  <w:color w:val="0000FF"/>
                  <w:w w:val="84"/>
                </w:rPr>
                <w:t>2011</w:t>
              </w:r>
            </w:hyperlink>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372"/>
        </w:trPr>
        <w:tc>
          <w:tcPr>
            <w:tcW w:w="27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r>
      <w:tr>
        <w:trPr>
          <w:trHeight w:val="372"/>
        </w:trPr>
        <w:tc>
          <w:tcPr>
            <w:tcW w:w="11180" w:type="dxa"/>
            <w:vAlign w:val="bottom"/>
            <w:gridSpan w:val="1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Schedule II—Valuation and Qualifying Accounts</w:t>
              </w:r>
            </w:hyperlink>
          </w:p>
        </w:tc>
        <w:tc>
          <w:tcPr>
            <w:tcW w:w="180" w:type="dxa"/>
            <w:vAlign w:val="bottom"/>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0"/>
        </w:trPr>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financial statement schedule is filed as a part of this report under Schedule II—Valuation and Qualifying Accounts for the three fiscal years ended June 30, 2013, June 30, 2012 and June 30, 2011,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The following documents are included as exhibits to this Annual Report on Form 10-K:</w:t>
      </w:r>
    </w:p>
    <w:p>
      <w:pPr>
        <w:spacing w:after="0" w:line="175"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jc w:val="center"/>
        <w:ind w:left="680" w:right="420"/>
        <w:spacing w:after="0" w:line="308" w:lineRule="auto"/>
        <w:rPr>
          <w:sz w:val="20"/>
          <w:szCs w:val="20"/>
          <w:color w:val="auto"/>
        </w:rPr>
      </w:pPr>
      <w:r>
        <w:rPr>
          <w:rFonts w:ascii="Arial" w:cs="Arial" w:eastAsia="Arial" w:hAnsi="Arial"/>
          <w:sz w:val="17"/>
          <w:szCs w:val="17"/>
          <w:color w:val="auto"/>
        </w:rPr>
        <w:t>3.2   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106" w:lineRule="exact"/>
        <w:rPr>
          <w:sz w:val="20"/>
          <w:szCs w:val="20"/>
          <w:color w:val="auto"/>
        </w:rPr>
      </w:pPr>
    </w:p>
    <w:p>
      <w:pPr>
        <w:ind w:left="1340" w:right="160" w:hanging="480"/>
        <w:spacing w:after="0" w:line="264" w:lineRule="auto"/>
        <w:tabs>
          <w:tab w:leader="none" w:pos="132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40" w:right="260" w:hanging="480"/>
        <w:spacing w:after="0" w:line="264" w:lineRule="auto"/>
        <w:tabs>
          <w:tab w:leader="none" w:pos="132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40" w:right="60" w:hanging="480"/>
        <w:spacing w:after="0" w:line="277" w:lineRule="auto"/>
        <w:tabs>
          <w:tab w:leader="none" w:pos="1320" w:val="left"/>
        </w:tabs>
        <w:rPr>
          <w:sz w:val="20"/>
          <w:szCs w:val="20"/>
          <w:color w:val="auto"/>
        </w:rPr>
      </w:pPr>
      <w:r>
        <w:rPr>
          <w:rFonts w:ascii="Arial" w:cs="Arial" w:eastAsia="Arial" w:hAnsi="Arial"/>
          <w:sz w:val="18"/>
          <w:szCs w:val="18"/>
          <w:color w:val="auto"/>
        </w:rPr>
        <w:t>3.5</w:t>
        <w:tab/>
        <w:t>Amended and Restated Bylaws (Exhibit 3 to the Company’s Current Report on Form 8-K (File No. 1-15461) filed April 9, 2009, is hereby incorporated by reference).</w:t>
      </w:r>
    </w:p>
    <w:p>
      <w:pPr>
        <w:spacing w:after="0" w:line="130" w:lineRule="exact"/>
        <w:rPr>
          <w:sz w:val="20"/>
          <w:szCs w:val="20"/>
          <w:color w:val="auto"/>
        </w:rPr>
      </w:pPr>
    </w:p>
    <w:p>
      <w:pPr>
        <w:ind w:left="1340" w:hanging="341"/>
        <w:spacing w:after="0" w:line="277"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1990 Incentive Stock Option Plan (Exhibit 10.14 to the Company’s Registration Statement on Form S-1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33-36081) filed June 12, 1990, is hereby incorporated by reference).</w:t>
      </w:r>
    </w:p>
    <w:p>
      <w:pPr>
        <w:spacing w:after="0" w:line="17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Matrix Service Company 1991 Incentive Stock Option Plan (Exhibit 10.1 to the Company’s Registration Statement on Form S-8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333-56945) filed June 16, 1998, is hereby incorporated by reference).</w:t>
      </w:r>
    </w:p>
    <w:p>
      <w:pPr>
        <w:spacing w:after="0" w:line="170" w:lineRule="exact"/>
        <w:rPr>
          <w:sz w:val="20"/>
          <w:szCs w:val="20"/>
          <w:color w:val="auto"/>
        </w:rPr>
      </w:pPr>
    </w:p>
    <w:p>
      <w:pPr>
        <w:ind w:left="1340" w:right="40" w:hanging="672"/>
        <w:spacing w:after="0" w:line="277" w:lineRule="auto"/>
        <w:tabs>
          <w:tab w:leader="none" w:pos="1320" w:val="left"/>
        </w:tabs>
        <w:rPr>
          <w:sz w:val="20"/>
          <w:szCs w:val="20"/>
          <w:color w:val="auto"/>
        </w:rPr>
      </w:pPr>
      <w:r>
        <w:rPr>
          <w:rFonts w:ascii="Arial" w:cs="Arial" w:eastAsia="Arial" w:hAnsi="Arial"/>
          <w:sz w:val="18"/>
          <w:szCs w:val="18"/>
          <w:color w:val="auto"/>
        </w:rPr>
        <w:t>+10.3</w:t>
        <w:tab/>
        <w:t>Matrix Service Company 1995 Nonemployee Directors’ Stock Option Plan (Exhibit 4.3 to the Company’s Registration Statement on Form S-8 (File No. 333-02771) filed April 23, 1996, is hereby incorporated by reference).</w:t>
      </w:r>
    </w:p>
    <w:p>
      <w:pPr>
        <w:spacing w:after="0" w:line="130" w:lineRule="exact"/>
        <w:rPr>
          <w:sz w:val="20"/>
          <w:szCs w:val="20"/>
          <w:color w:val="auto"/>
        </w:rPr>
      </w:pPr>
    </w:p>
    <w:p>
      <w:pPr>
        <w:ind w:left="1340" w:right="260" w:hanging="672"/>
        <w:spacing w:after="0" w:line="277" w:lineRule="auto"/>
        <w:tabs>
          <w:tab w:leader="none" w:pos="1320" w:val="left"/>
        </w:tabs>
        <w:rPr>
          <w:sz w:val="20"/>
          <w:szCs w:val="20"/>
          <w:color w:val="auto"/>
        </w:rPr>
      </w:pPr>
      <w:r>
        <w:rPr>
          <w:rFonts w:ascii="Arial" w:cs="Arial" w:eastAsia="Arial" w:hAnsi="Arial"/>
          <w:sz w:val="18"/>
          <w:szCs w:val="18"/>
          <w:color w:val="auto"/>
        </w:rPr>
        <w:t>+10.4</w:t>
        <w:tab/>
        <w:t>Amendment No. 1 to the Matrix Service Company 1995 Nonemployee Directors’ Stock Option Plan (Exhibit B to the Company’s 2005 Proxy Statement filed September 16, 2005 (File No. 1-15461),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Stock Option Award Agreement (1995 Directors' Plan) (Exhibit 10.6 to the Company’s Annual Report on Form 10-K (File No. 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15461) filed August 4, 2006, is hereby incorporated by reference).</w:t>
      </w:r>
    </w:p>
    <w:p>
      <w:pPr>
        <w:spacing w:after="0" w:line="17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1-15461), is hereby incorporated by reference).</w:t>
      </w:r>
    </w:p>
    <w:p>
      <w:pPr>
        <w:spacing w:after="0" w:line="170" w:lineRule="exact"/>
        <w:rPr>
          <w:sz w:val="20"/>
          <w:szCs w:val="20"/>
          <w:color w:val="auto"/>
        </w:rPr>
      </w:pPr>
    </w:p>
    <w:p>
      <w:pPr>
        <w:ind w:left="1340" w:right="200" w:hanging="672"/>
        <w:spacing w:after="0" w:line="277" w:lineRule="auto"/>
        <w:tabs>
          <w:tab w:leader="none" w:pos="1320" w:val="left"/>
        </w:tabs>
        <w:rPr>
          <w:sz w:val="20"/>
          <w:szCs w:val="20"/>
          <w:color w:val="auto"/>
        </w:rPr>
      </w:pPr>
      <w:r>
        <w:rPr>
          <w:rFonts w:ascii="Arial" w:cs="Arial" w:eastAsia="Arial" w:hAnsi="Arial"/>
          <w:sz w:val="18"/>
          <w:szCs w:val="18"/>
          <w:color w:val="auto"/>
        </w:rPr>
        <w:t>+10.7</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40" w:right="140" w:hanging="672"/>
        <w:spacing w:after="0" w:line="277" w:lineRule="auto"/>
        <w:tabs>
          <w:tab w:leader="none" w:pos="1320" w:val="left"/>
        </w:tabs>
        <w:rPr>
          <w:sz w:val="20"/>
          <w:szCs w:val="20"/>
          <w:color w:val="auto"/>
        </w:rPr>
      </w:pPr>
      <w:r>
        <w:rPr>
          <w:rFonts w:ascii="Arial" w:cs="Arial" w:eastAsia="Arial" w:hAnsi="Arial"/>
          <w:sz w:val="18"/>
          <w:szCs w:val="18"/>
          <w:color w:val="auto"/>
        </w:rPr>
        <w:t>+10.8</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40" w:right="120" w:hanging="762"/>
        <w:spacing w:after="0" w:line="342" w:lineRule="auto"/>
        <w:tabs>
          <w:tab w:leader="none" w:pos="13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ind w:left="1340" w:right="40" w:hanging="755"/>
        <w:spacing w:after="0" w:line="342" w:lineRule="auto"/>
        <w:tabs>
          <w:tab w:leader="none" w:pos="13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Restricted Stock Unit Award Agreement for employees (2004 Stock Incentive Plan - time-based) (Exhibit 10.11 to the Company's Annual Report on Form 10-K (File No. 1-15461) filed September 6, 2012 (the "2012 10-K"), is hereby incorporated by reference).</w:t>
      </w:r>
    </w:p>
    <w:p>
      <w:pPr>
        <w:spacing w:after="0" w:line="83"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170" w:lineRule="exact"/>
        <w:rPr>
          <w:sz w:val="20"/>
          <w:szCs w:val="20"/>
          <w:color w:val="auto"/>
        </w:rPr>
      </w:pPr>
    </w:p>
    <w:p>
      <w:pPr>
        <w:ind w:left="1340" w:right="60" w:hanging="762"/>
        <w:spacing w:after="0" w:line="277" w:lineRule="auto"/>
        <w:tabs>
          <w:tab w:leader="none" w:pos="1320" w:val="left"/>
        </w:tabs>
        <w:rPr>
          <w:sz w:val="20"/>
          <w:szCs w:val="20"/>
          <w:color w:val="auto"/>
        </w:rPr>
      </w:pPr>
      <w:r>
        <w:rPr>
          <w:rFonts w:ascii="Arial" w:cs="Arial" w:eastAsia="Arial" w:hAnsi="Arial"/>
          <w:sz w:val="18"/>
          <w:szCs w:val="18"/>
          <w:color w:val="auto"/>
        </w:rPr>
        <w:t>+10.13</w:t>
        <w:tab/>
        <w:t>Form of Stock Option Award Agreement (2004 Stock Incentive Plan – Incentive Stock Options) (Exhibit 10.13 to the 2012 10-K is hereby incorporated by reference).</w:t>
      </w:r>
    </w:p>
    <w:p>
      <w:pPr>
        <w:spacing w:after="0" w:line="130" w:lineRule="exact"/>
        <w:rPr>
          <w:sz w:val="20"/>
          <w:szCs w:val="20"/>
          <w:color w:val="auto"/>
        </w:rPr>
      </w:pPr>
    </w:p>
    <w:p>
      <w:pPr>
        <w:ind w:left="1340" w:right="780" w:hanging="762"/>
        <w:spacing w:after="0" w:line="277" w:lineRule="auto"/>
        <w:tabs>
          <w:tab w:leader="none" w:pos="1320" w:val="left"/>
        </w:tabs>
        <w:rPr>
          <w:sz w:val="20"/>
          <w:szCs w:val="20"/>
          <w:color w:val="auto"/>
        </w:rPr>
      </w:pPr>
      <w:r>
        <w:rPr>
          <w:rFonts w:ascii="Arial" w:cs="Arial" w:eastAsia="Arial" w:hAnsi="Arial"/>
          <w:sz w:val="18"/>
          <w:szCs w:val="18"/>
          <w:color w:val="auto"/>
        </w:rPr>
        <w:t>+10.14</w:t>
        <w:tab/>
        <w:t>Form of Stock Option Award Agreement (2004 Stock Incentive Plan – Non-qualified) (Exhibit 10.14 to the 2012 10-K is hereby incorporated by reference).</w:t>
      </w:r>
    </w:p>
    <w:p>
      <w:pPr>
        <w:spacing w:after="0" w:line="130"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Matrix Service Company 2012 Stock and Incentive Compensation Plan (Attachment A to the Company's Proxy Statement (File No. 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15461) filed October 10, 2012, is hereby incorporated by reference).</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80"/>
          </w:cols>
          <w:pgMar w:left="240" w:top="125" w:right="27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2013,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Form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75"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Arial" w:cs="Arial" w:eastAsia="Arial" w:hAnsi="Arial"/>
          <w:sz w:val="18"/>
          <w:szCs w:val="18"/>
          <w:color w:val="auto"/>
        </w:rPr>
        <w:t>Date : September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John R. Hewitt, President and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Chief Executive Officer</w:t>
      </w:r>
    </w:p>
    <w:p>
      <w:pPr>
        <w:spacing w:after="0" w:line="16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8"/>
              </w:rPr>
              <w:t>Signatures</w:t>
            </w:r>
          </w:p>
        </w:tc>
        <w:tc>
          <w:tcPr>
            <w:tcW w:w="4920" w:type="dxa"/>
            <w:vAlign w:val="bottom"/>
            <w:gridSpan w:val="3"/>
          </w:tcPr>
          <w:p>
            <w:pPr>
              <w:jc w:val="center"/>
              <w:ind w:left="151"/>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620" w:type="dxa"/>
            <w:vAlign w:val="bottom"/>
          </w:tcPr>
          <w:p>
            <w:pPr>
              <w:ind w:left="13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4"/>
              </w:rPr>
              <w:t>John R. Hewitt</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2"/>
              </w:rPr>
              <w:t>President, Chief Executive Officer and 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gridSpan w:val="3"/>
            <w:vMerge w:val="restart"/>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4"/>
              </w:rPr>
              <w:t>John R. Hewitt</w:t>
            </w:r>
          </w:p>
        </w:tc>
        <w:tc>
          <w:tcPr>
            <w:tcW w:w="492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16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vMerge w:val="restart"/>
          </w:tcPr>
          <w:p>
            <w:pPr>
              <w:jc w:val="center"/>
              <w:ind w:right="1240"/>
              <w:spacing w:after="0"/>
              <w:rPr>
                <w:sz w:val="20"/>
                <w:szCs w:val="20"/>
                <w:color w:val="auto"/>
              </w:rPr>
            </w:pPr>
            <w:r>
              <w:rPr>
                <w:rFonts w:ascii="Arial" w:cs="Arial" w:eastAsia="Arial" w:hAnsi="Arial"/>
                <w:sz w:val="18"/>
                <w:szCs w:val="18"/>
                <w:b w:val="1"/>
                <w:bCs w:val="1"/>
                <w:color w:val="auto"/>
                <w:w w:val="91"/>
              </w:rPr>
              <w:t>Kevin S. Cavanah</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89"/>
              </w:rPr>
              <w:t>Vice President</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2620" w:type="dxa"/>
            <w:vAlign w:val="bottom"/>
            <w:gridSpan w:val="3"/>
            <w:vMerge w:val="continue"/>
          </w:tcPr>
          <w:p>
            <w:pPr>
              <w:spacing w:after="0"/>
              <w:rPr>
                <w:sz w:val="20"/>
                <w:szCs w:val="20"/>
                <w:color w:val="auto"/>
              </w:rPr>
            </w:pPr>
          </w:p>
        </w:tc>
        <w:tc>
          <w:tcPr>
            <w:tcW w:w="4920" w:type="dxa"/>
            <w:vAlign w:val="bottom"/>
            <w:gridSpan w:val="3"/>
          </w:tcPr>
          <w:p>
            <w:pPr>
              <w:jc w:val="center"/>
              <w:ind w:left="131"/>
              <w:spacing w:after="0"/>
              <w:rPr>
                <w:sz w:val="20"/>
                <w:szCs w:val="20"/>
                <w:color w:val="auto"/>
              </w:rPr>
            </w:pPr>
            <w:r>
              <w:rPr>
                <w:rFonts w:ascii="Arial" w:cs="Arial" w:eastAsia="Arial" w:hAnsi="Arial"/>
                <w:sz w:val="18"/>
                <w:szCs w:val="18"/>
                <w:color w:val="auto"/>
                <w:w w:val="93"/>
              </w:rPr>
              <w:t>and Chief Financial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20" w:type="dxa"/>
            <w:vAlign w:val="bottom"/>
            <w:gridSpan w:val="3"/>
            <w:vMerge w:val="restart"/>
          </w:tcPr>
          <w:p>
            <w:pPr>
              <w:jc w:val="center"/>
              <w:ind w:left="131"/>
              <w:spacing w:after="0"/>
              <w:rPr>
                <w:sz w:val="20"/>
                <w:szCs w:val="20"/>
                <w:color w:val="auto"/>
              </w:rPr>
            </w:pPr>
            <w:r>
              <w:rPr>
                <w:rFonts w:ascii="Arial" w:cs="Arial" w:eastAsia="Arial" w:hAnsi="Arial"/>
                <w:sz w:val="18"/>
                <w:szCs w:val="18"/>
                <w:color w:val="auto"/>
                <w:w w:val="93"/>
              </w:rPr>
              <w:t>(Principal Accounting and</w:t>
            </w: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Kevin S. Cavanah</w:t>
            </w:r>
          </w:p>
        </w:tc>
        <w:tc>
          <w:tcPr>
            <w:tcW w:w="4920" w:type="dxa"/>
            <w:vAlign w:val="bottom"/>
            <w:gridSpan w:val="3"/>
            <w:vMerge w:val="continue"/>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Financial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620" w:type="dxa"/>
            <w:vAlign w:val="bottom"/>
          </w:tcPr>
          <w:p>
            <w:pPr>
              <w:ind w:left="13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5"/>
              </w:rPr>
              <w:t>Michael J. Hall</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2"/>
              </w:rPr>
              <w:t>Chairman of the Board of Directors</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7"/>
              </w:rPr>
              <w:t>Michael J. Hall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26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7"/>
              </w:rPr>
              <w:t>I. Edgar Hendrix</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I. Edgar Hendrix</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36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ind w:left="80"/>
              <w:spacing w:after="0"/>
              <w:rPr>
                <w:sz w:val="20"/>
                <w:szCs w:val="20"/>
                <w:color w:val="auto"/>
              </w:rPr>
            </w:pPr>
            <w:r>
              <w:rPr>
                <w:rFonts w:ascii="Arial" w:cs="Arial" w:eastAsia="Arial" w:hAnsi="Arial"/>
                <w:sz w:val="18"/>
                <w:szCs w:val="18"/>
                <w:b w:val="1"/>
                <w:bCs w:val="1"/>
                <w:color w:val="auto"/>
              </w:rPr>
              <w:t>Paul K. Lackey</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7"/>
              </w:rPr>
              <w:t>Paul K. Lackey</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30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3"/>
              </w:rPr>
              <w:t>Tom E. Maxwell</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5"/>
              </w:rPr>
              <w:t>Tom E. Maxwell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420"/>
              <w:spacing w:after="0"/>
              <w:rPr>
                <w:sz w:val="20"/>
                <w:szCs w:val="20"/>
                <w:color w:val="auto"/>
              </w:rPr>
            </w:pPr>
            <w:r>
              <w:rPr>
                <w:rFonts w:ascii="Arial" w:cs="Arial" w:eastAsia="Arial" w:hAnsi="Arial"/>
                <w:sz w:val="18"/>
                <w:szCs w:val="18"/>
                <w:b w:val="1"/>
                <w:bCs w:val="1"/>
                <w:color w:val="auto"/>
                <w:w w:val="81"/>
              </w:rPr>
              <w:t>/S/</w:t>
            </w:r>
          </w:p>
        </w:tc>
        <w:tc>
          <w:tcPr>
            <w:tcW w:w="180" w:type="dxa"/>
            <w:vAlign w:val="bottom"/>
          </w:tcPr>
          <w:p>
            <w:pPr>
              <w:spacing w:after="0"/>
              <w:rPr>
                <w:sz w:val="24"/>
                <w:szCs w:val="24"/>
                <w:color w:val="auto"/>
              </w:rPr>
            </w:pPr>
          </w:p>
        </w:tc>
        <w:tc>
          <w:tcPr>
            <w:tcW w:w="244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1"/>
              </w:rPr>
              <w:t>Jim W. Mogg</w:t>
            </w:r>
          </w:p>
        </w:tc>
        <w:tc>
          <w:tcPr>
            <w:tcW w:w="4920" w:type="dxa"/>
            <w:vAlign w:val="bottom"/>
            <w:gridSpan w:val="3"/>
          </w:tcPr>
          <w:p>
            <w:pPr>
              <w:jc w:val="center"/>
              <w:ind w:left="151"/>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September 6, 2013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4"/>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80"/>
          </w:cols>
          <w:pgMar w:left="24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Exhibits</w:t>
      </w:r>
    </w:p>
    <w:p>
      <w:pPr>
        <w:spacing w:after="0" w:line="364"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ind w:left="1300" w:right="440" w:hanging="386"/>
        <w:spacing w:after="0" w:line="342"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83" w:lineRule="exact"/>
        <w:rPr>
          <w:sz w:val="20"/>
          <w:szCs w:val="20"/>
          <w:color w:val="auto"/>
        </w:rPr>
      </w:pPr>
    </w:p>
    <w:p>
      <w:pPr>
        <w:ind w:left="1300" w:right="160" w:hanging="386"/>
        <w:spacing w:after="0" w:line="264" w:lineRule="auto"/>
        <w:tabs>
          <w:tab w:leader="none" w:pos="128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00" w:right="260" w:hanging="386"/>
        <w:spacing w:after="0" w:line="264" w:lineRule="auto"/>
        <w:tabs>
          <w:tab w:leader="none" w:pos="128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00" w:right="60" w:hanging="386"/>
        <w:spacing w:after="0" w:line="277" w:lineRule="auto"/>
        <w:tabs>
          <w:tab w:leader="none" w:pos="1280" w:val="left"/>
        </w:tabs>
        <w:rPr>
          <w:sz w:val="20"/>
          <w:szCs w:val="20"/>
          <w:color w:val="auto"/>
        </w:rPr>
      </w:pPr>
      <w:r>
        <w:rPr>
          <w:rFonts w:ascii="Arial" w:cs="Arial" w:eastAsia="Arial" w:hAnsi="Arial"/>
          <w:sz w:val="18"/>
          <w:szCs w:val="18"/>
          <w:color w:val="auto"/>
        </w:rPr>
        <w:t>3.5</w:t>
        <w:tab/>
        <w:t>Amended and Restated Bylaws (Exhibit 3 to the Company’s Current Report on Form 8-K (File No. 1-15461) filed April 9, 2009, is hereby incorporated by reference).</w:t>
      </w:r>
    </w:p>
    <w:p>
      <w:pPr>
        <w:spacing w:after="0" w:line="130" w:lineRule="exact"/>
        <w:rPr>
          <w:sz w:val="20"/>
          <w:szCs w:val="20"/>
          <w:color w:val="auto"/>
        </w:rPr>
      </w:pPr>
    </w:p>
    <w:p>
      <w:pPr>
        <w:ind w:left="1300" w:right="20" w:hanging="261"/>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1990 Incentive Stock Option Plan (Exhibit 10.14 to the Company’s Registration Statement on Form S-1 (File No.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33-36081) filed June 12, 1990, is hereby incorporated by reference).</w:t>
      </w:r>
    </w:p>
    <w:p>
      <w:pPr>
        <w:spacing w:after="0" w:line="17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Matrix Service Company 1991 Incentive Stock Option Plan (Exhibit 10.1 to the Company’s Registration Statement on Form S-8 (File No.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333-56945) filed June 16, 1998, is hereby incorporated by reference).</w:t>
      </w:r>
    </w:p>
    <w:p>
      <w:pPr>
        <w:spacing w:after="0" w:line="170" w:lineRule="exact"/>
        <w:rPr>
          <w:sz w:val="20"/>
          <w:szCs w:val="20"/>
          <w:color w:val="auto"/>
        </w:rPr>
      </w:pPr>
    </w:p>
    <w:p>
      <w:pPr>
        <w:ind w:left="1300" w:right="60" w:hanging="577"/>
        <w:spacing w:after="0" w:line="277" w:lineRule="auto"/>
        <w:tabs>
          <w:tab w:leader="none" w:pos="1280" w:val="left"/>
        </w:tabs>
        <w:rPr>
          <w:sz w:val="20"/>
          <w:szCs w:val="20"/>
          <w:color w:val="auto"/>
        </w:rPr>
      </w:pPr>
      <w:r>
        <w:rPr>
          <w:rFonts w:ascii="Arial" w:cs="Arial" w:eastAsia="Arial" w:hAnsi="Arial"/>
          <w:sz w:val="18"/>
          <w:szCs w:val="18"/>
          <w:color w:val="auto"/>
        </w:rPr>
        <w:t>+10.3</w:t>
        <w:tab/>
        <w:t>Matrix Service Company 1995 Nonemployee Directors’ Stock Option Plan (Exhibit 4.3 to the Company’s Registration Statement on Form S-8 (File No. 333-02771) filed April 23, 1996, is hereby incorporated by reference).</w:t>
      </w:r>
    </w:p>
    <w:p>
      <w:pPr>
        <w:spacing w:after="0" w:line="130" w:lineRule="exact"/>
        <w:rPr>
          <w:sz w:val="20"/>
          <w:szCs w:val="20"/>
          <w:color w:val="auto"/>
        </w:rPr>
      </w:pPr>
    </w:p>
    <w:p>
      <w:pPr>
        <w:ind w:left="1300" w:right="280" w:hanging="577"/>
        <w:spacing w:after="0" w:line="277" w:lineRule="auto"/>
        <w:tabs>
          <w:tab w:leader="none" w:pos="1280" w:val="left"/>
        </w:tabs>
        <w:rPr>
          <w:sz w:val="20"/>
          <w:szCs w:val="20"/>
          <w:color w:val="auto"/>
        </w:rPr>
      </w:pPr>
      <w:r>
        <w:rPr>
          <w:rFonts w:ascii="Arial" w:cs="Arial" w:eastAsia="Arial" w:hAnsi="Arial"/>
          <w:sz w:val="18"/>
          <w:szCs w:val="18"/>
          <w:color w:val="auto"/>
        </w:rPr>
        <w:t>+10.4</w:t>
        <w:tab/>
        <w:t>Amendment No. 1 to the Matrix Service Company 1995 Nonemployee Directors’ Stock Option Plan (Exhibit B to the Company’s 2005 Proxy Statement filed September 16, 2005 (File No. 1-15461),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Stock Option Award Agreement (1995 Directors' Plan) (Exhibit 10.6 to the Company’s Annual report on Form 10-K (File No, 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15461) filed August 4, 2006, is hereby incorporated by reference).</w:t>
      </w:r>
    </w:p>
    <w:p>
      <w:pPr>
        <w:spacing w:after="0" w:line="17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 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15461), is hereby incorporated by reference).</w:t>
      </w:r>
    </w:p>
    <w:p>
      <w:pPr>
        <w:spacing w:after="0" w:line="170" w:lineRule="exact"/>
        <w:rPr>
          <w:sz w:val="20"/>
          <w:szCs w:val="20"/>
          <w:color w:val="auto"/>
        </w:rPr>
      </w:pPr>
    </w:p>
    <w:p>
      <w:pPr>
        <w:ind w:left="1300" w:right="220" w:hanging="577"/>
        <w:spacing w:after="0" w:line="277" w:lineRule="auto"/>
        <w:tabs>
          <w:tab w:leader="none" w:pos="1280" w:val="left"/>
        </w:tabs>
        <w:rPr>
          <w:sz w:val="20"/>
          <w:szCs w:val="20"/>
          <w:color w:val="auto"/>
        </w:rPr>
      </w:pPr>
      <w:r>
        <w:rPr>
          <w:rFonts w:ascii="Arial" w:cs="Arial" w:eastAsia="Arial" w:hAnsi="Arial"/>
          <w:sz w:val="18"/>
          <w:szCs w:val="18"/>
          <w:color w:val="auto"/>
        </w:rPr>
        <w:t>+10.7</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00" w:right="160" w:hanging="577"/>
        <w:spacing w:after="0" w:line="277" w:lineRule="auto"/>
        <w:tabs>
          <w:tab w:leader="none" w:pos="1280" w:val="left"/>
        </w:tabs>
        <w:rPr>
          <w:sz w:val="20"/>
          <w:szCs w:val="20"/>
          <w:color w:val="auto"/>
        </w:rPr>
      </w:pPr>
      <w:r>
        <w:rPr>
          <w:rFonts w:ascii="Arial" w:cs="Arial" w:eastAsia="Arial" w:hAnsi="Arial"/>
          <w:sz w:val="18"/>
          <w:szCs w:val="18"/>
          <w:color w:val="auto"/>
        </w:rPr>
        <w:t>+10.8</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00" w:right="140" w:hanging="667"/>
        <w:spacing w:after="0" w:line="342" w:lineRule="auto"/>
        <w:tabs>
          <w:tab w:leader="none" w:pos="12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jc w:val="center"/>
        <w:ind w:left="800" w:right="60"/>
        <w:spacing w:after="0" w:line="308" w:lineRule="auto"/>
        <w:rPr>
          <w:sz w:val="20"/>
          <w:szCs w:val="20"/>
          <w:color w:val="auto"/>
        </w:rPr>
      </w:pPr>
      <w:r>
        <w:rPr>
          <w:rFonts w:ascii="Arial" w:cs="Arial" w:eastAsia="Arial" w:hAnsi="Arial"/>
          <w:sz w:val="17"/>
          <w:szCs w:val="17"/>
          <w:color w:val="auto"/>
        </w:rPr>
        <w:t>+10.11  Form of Restricted Stock Unit Award Agreement for employees (2004 Stock Incentive Plan - time-based) (Exhibit 10.11 to the Company's Annual Report on Form 10-K (File No. 1-15461) filed September 6, 2012 (the "2012 10-K"), is hereby incorporated by reference.</w:t>
      </w:r>
    </w:p>
    <w:p>
      <w:pPr>
        <w:spacing w:after="0" w:line="10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170" w:lineRule="exact"/>
        <w:rPr>
          <w:sz w:val="20"/>
          <w:szCs w:val="20"/>
          <w:color w:val="auto"/>
        </w:rPr>
      </w:pPr>
    </w:p>
    <w:p>
      <w:pPr>
        <w:ind w:left="1300" w:right="60" w:hanging="667"/>
        <w:spacing w:after="0" w:line="277" w:lineRule="auto"/>
        <w:tabs>
          <w:tab w:leader="none" w:pos="1280" w:val="left"/>
        </w:tabs>
        <w:rPr>
          <w:sz w:val="20"/>
          <w:szCs w:val="20"/>
          <w:color w:val="auto"/>
        </w:rPr>
      </w:pPr>
      <w:r>
        <w:rPr>
          <w:rFonts w:ascii="Arial" w:cs="Arial" w:eastAsia="Arial" w:hAnsi="Arial"/>
          <w:sz w:val="18"/>
          <w:szCs w:val="18"/>
          <w:color w:val="auto"/>
        </w:rPr>
        <w:t>+10.13</w:t>
        <w:tab/>
        <w:t>Form of Stock Option Award Agreement (2004 Stock Incentive Plan – Incentive Stock Options) (Exhibit 10.13 to the 2012 10-K is hereby incorporated by reference).</w:t>
      </w:r>
    </w:p>
    <w:p>
      <w:pPr>
        <w:spacing w:after="0" w:line="130" w:lineRule="exact"/>
        <w:rPr>
          <w:sz w:val="20"/>
          <w:szCs w:val="20"/>
          <w:color w:val="auto"/>
        </w:rPr>
      </w:pPr>
    </w:p>
    <w:p>
      <w:pPr>
        <w:ind w:left="1300" w:right="800" w:hanging="667"/>
        <w:spacing w:after="0" w:line="277" w:lineRule="auto"/>
        <w:tabs>
          <w:tab w:leader="none" w:pos="1280" w:val="left"/>
        </w:tabs>
        <w:rPr>
          <w:sz w:val="20"/>
          <w:szCs w:val="20"/>
          <w:color w:val="auto"/>
        </w:rPr>
      </w:pPr>
      <w:r>
        <w:rPr>
          <w:rFonts w:ascii="Arial" w:cs="Arial" w:eastAsia="Arial" w:hAnsi="Arial"/>
          <w:sz w:val="18"/>
          <w:szCs w:val="18"/>
          <w:color w:val="auto"/>
        </w:rPr>
        <w:t>+10.14</w:t>
        <w:tab/>
        <w:t>Form of Stock Option Award Agreement (2004 Stock Incentive Plan – Non-qualified) (Exhibit 10.14 to the 2012 10-K is hereby incorporated by reference).</w:t>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40"/>
          </w:cols>
          <w:pgMar w:left="240" w:top="125" w:right="3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Matrix Service Company 2012 Stock and Incentive Compensation Plan (Attachment A to the Company's Proxy Statement (File No. 1-</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15461) filed October 10,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From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Canada, an Ontario,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Aquatic Solutions, Inc., an Oklahoma corporation</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following Registration Statements of Matrix Service Company of our reports dated September 6, 2013 relating to the consolidated financial statements and financial statement schedule of Matrix Service Company and the effectiveness of Matrix Service Company's internal control over financial reporting, appearing in this Annual Report on Form 10-K for the year ended June 30, 2013:</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333-184982) related to the Matrix Service Company 2012 Stock and Incentive Compensation Plan</w:t>
      </w:r>
    </w:p>
    <w:p>
      <w:pPr>
        <w:spacing w:after="0" w:line="23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Registration Statement on Form S-3 (File No. 333-178926) related to the registration of $400,000,000 of Common Stock, Preferred Stock, Debt Securities, Warrants and Units</w:t>
      </w:r>
    </w:p>
    <w:p>
      <w:pPr>
        <w:spacing w:after="0" w:line="170" w:lineRule="exact"/>
        <w:rPr>
          <w:sz w:val="20"/>
          <w:szCs w:val="20"/>
          <w:color w:val="auto"/>
        </w:rPr>
      </w:pPr>
    </w:p>
    <w:p>
      <w:pPr>
        <w:ind w:left="340" w:right="1280"/>
        <w:spacing w:after="0" w:line="530" w:lineRule="auto"/>
        <w:rPr>
          <w:sz w:val="20"/>
          <w:szCs w:val="20"/>
          <w:color w:val="auto"/>
        </w:rPr>
      </w:pPr>
      <w:r>
        <w:rPr>
          <w:rFonts w:ascii="Arial" w:cs="Arial" w:eastAsia="Arial" w:hAnsi="Arial"/>
          <w:sz w:val="17"/>
          <w:szCs w:val="17"/>
          <w:color w:val="auto"/>
        </w:rPr>
        <w:t>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 Registration Statement on Form S-8 (File No. 33-36081) related to the Matrix Service Company 1990 Incentive Stock Option Plan Registration Statement on Form S-8 (File No. 333-56945) related to the Matrix Service Company 1991 Stock Option Plan Registration Statement on Form S-8 (File No. 33-71604) related to the Matrix Service Company 1991 Stock Option Plan</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of Form S-8 (File No. 333-02771) related to the Matrix Service Company 1995 Nonemployee Directors'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2013</w:t>
      </w:r>
    </w:p>
    <w:p>
      <w:pPr>
        <w:sectPr>
          <w:pgSz w:w="11900" w:h="16838" w:orient="portrait"/>
          <w:cols w:equalWidth="0" w:num="1">
            <w:col w:w="11420"/>
          </w:cols>
          <w:pgMar w:left="240" w:top="66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September 6,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8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September 6,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September 6,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6,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upperLetter"/>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lvl w:ilvl="1">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Roman"/>
      <w:start w:val="3"/>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upperLetter"/>
      <w:start w:val="1"/>
    </w:lvl>
  </w:abstractNum>
  <w:abstractNum w:abstractNumId="34">
    <w:nsid w:val="7724C67E"/>
    <w:multiLevelType w:val="hybridMultilevel"/>
    <w:lvl w:ilvl="0">
      <w:lvlJc w:val="left"/>
      <w:lvlText w:val="4"/>
      <w:numFmt w:val="bullet"/>
      <w:start w:val="1"/>
    </w:lvl>
  </w:abstractNum>
  <w:abstractNum w:abstractNumId="35">
    <w:nsid w:val="5C482A97"/>
    <w:multiLevelType w:val="hybridMultilevel"/>
    <w:lvl w:ilvl="0">
      <w:lvlJc w:val="left"/>
      <w:lvlText w:val="4"/>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2019-12-06T04:37:45Z</dcterms:created>
  <dcterms:modified xsi:type="dcterms:W3CDTF">2019-12-06T04:37:45Z</dcterms:modified>
</cp:coreProperties>
</file>